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39277D">
            <w:bookmarkStart w:id="0" w:name="_GoBack"/>
            <w:bookmarkEnd w:id="0"/>
          </w:p>
        </w:tc>
        <w:tc>
          <w:tcPr>
            <w:tcW w:w="2268" w:type="dxa"/>
            <w:tcBorders>
              <w:bottom w:val="single" w:sz="4" w:space="0" w:color="auto"/>
            </w:tcBorders>
            <w:vAlign w:val="bottom"/>
          </w:tcPr>
          <w:p w:rsidR="00132EA9" w:rsidRPr="00DB58B5" w:rsidRDefault="00132EA9" w:rsidP="00D8059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39277D" w:rsidP="0039277D">
            <w:pPr>
              <w:jc w:val="right"/>
            </w:pPr>
            <w:r w:rsidRPr="0039277D">
              <w:rPr>
                <w:sz w:val="40"/>
              </w:rPr>
              <w:t>ST</w:t>
            </w:r>
            <w:r>
              <w:t>/SG/AC.10/C.3/98</w:t>
            </w:r>
          </w:p>
        </w:tc>
      </w:tr>
      <w:tr w:rsidR="00132EA9" w:rsidRPr="00DB58B5" w:rsidTr="00D80597">
        <w:trPr>
          <w:trHeight w:hRule="exact" w:val="2835"/>
        </w:trPr>
        <w:tc>
          <w:tcPr>
            <w:tcW w:w="1276" w:type="dxa"/>
            <w:tcBorders>
              <w:top w:val="single" w:sz="4" w:space="0" w:color="auto"/>
              <w:bottom w:val="single" w:sz="12" w:space="0" w:color="auto"/>
            </w:tcBorders>
          </w:tcPr>
          <w:p w:rsidR="00132EA9" w:rsidRPr="00DB58B5" w:rsidRDefault="00132EA9" w:rsidP="00D80597">
            <w:pPr>
              <w:spacing w:before="120"/>
              <w:jc w:val="center"/>
            </w:pPr>
            <w:r>
              <w:rPr>
                <w:noProof/>
                <w:lang w:val="en-GB" w:eastAsia="en-GB"/>
              </w:rPr>
              <w:drawing>
                <wp:inline distT="0" distB="0" distL="0" distR="0" wp14:anchorId="126DBCB7" wp14:editId="16ED82F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D80597">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39277D" w:rsidP="00D80597">
            <w:pPr>
              <w:spacing w:before="240"/>
            </w:pPr>
            <w:r>
              <w:t>Distr. générale</w:t>
            </w:r>
          </w:p>
          <w:p w:rsidR="0039277D" w:rsidRDefault="0039277D" w:rsidP="0039277D">
            <w:pPr>
              <w:spacing w:line="240" w:lineRule="exact"/>
            </w:pPr>
            <w:r>
              <w:t>22 juillet 2016</w:t>
            </w:r>
          </w:p>
          <w:p w:rsidR="0039277D" w:rsidRDefault="0039277D" w:rsidP="0039277D">
            <w:pPr>
              <w:spacing w:line="240" w:lineRule="exact"/>
            </w:pPr>
            <w:r>
              <w:t>Français</w:t>
            </w:r>
          </w:p>
          <w:p w:rsidR="0039277D" w:rsidRPr="00DB58B5" w:rsidRDefault="0039277D" w:rsidP="0039277D">
            <w:pPr>
              <w:spacing w:line="240" w:lineRule="exact"/>
            </w:pPr>
            <w:r>
              <w:t>Original : anglais</w:t>
            </w:r>
          </w:p>
        </w:tc>
      </w:tr>
    </w:tbl>
    <w:p w:rsidR="0039277D" w:rsidRPr="0004101D" w:rsidRDefault="0039277D" w:rsidP="0039277D">
      <w:pPr>
        <w:spacing w:before="120"/>
        <w:rPr>
          <w:b/>
          <w:sz w:val="24"/>
          <w:szCs w:val="24"/>
        </w:rPr>
      </w:pPr>
      <w:r w:rsidRPr="005F5B20">
        <w:rPr>
          <w:b/>
          <w:sz w:val="24"/>
          <w:szCs w:val="24"/>
          <w:lang w:val="fr-FR"/>
        </w:rPr>
        <w:t>Comité d</w:t>
      </w:r>
      <w:r>
        <w:rPr>
          <w:b/>
          <w:sz w:val="24"/>
          <w:szCs w:val="24"/>
          <w:lang w:val="fr-FR"/>
        </w:rPr>
        <w:t>’</w:t>
      </w:r>
      <w:r w:rsidRPr="005F5B20">
        <w:rPr>
          <w:b/>
          <w:sz w:val="24"/>
          <w:szCs w:val="24"/>
          <w:lang w:val="fr-FR"/>
        </w:rPr>
        <w:t xml:space="preserve">experts du transport des marchandises </w:t>
      </w:r>
      <w:r w:rsidR="00595A1C">
        <w:rPr>
          <w:b/>
          <w:sz w:val="24"/>
          <w:szCs w:val="24"/>
          <w:lang w:val="fr-FR"/>
        </w:rPr>
        <w:br/>
      </w:r>
      <w:r w:rsidRPr="005F5B20">
        <w:rPr>
          <w:b/>
          <w:sz w:val="24"/>
          <w:szCs w:val="24"/>
          <w:lang w:val="fr-FR"/>
        </w:rPr>
        <w:t xml:space="preserve">dangereuses et du Système général harmonisé de </w:t>
      </w:r>
      <w:r w:rsidR="00595A1C">
        <w:rPr>
          <w:b/>
          <w:sz w:val="24"/>
          <w:szCs w:val="24"/>
          <w:lang w:val="fr-FR"/>
        </w:rPr>
        <w:br/>
      </w:r>
      <w:r w:rsidRPr="005F5B20">
        <w:rPr>
          <w:b/>
          <w:sz w:val="24"/>
          <w:szCs w:val="24"/>
          <w:lang w:val="fr-FR"/>
        </w:rPr>
        <w:t xml:space="preserve">classification </w:t>
      </w:r>
      <w:r w:rsidR="004B0CB3">
        <w:rPr>
          <w:b/>
          <w:sz w:val="24"/>
          <w:szCs w:val="24"/>
          <w:lang w:val="fr-FR"/>
        </w:rPr>
        <w:t xml:space="preserve"> </w:t>
      </w:r>
      <w:r w:rsidRPr="005F5B20">
        <w:rPr>
          <w:b/>
          <w:sz w:val="24"/>
          <w:szCs w:val="24"/>
          <w:lang w:val="fr-FR"/>
        </w:rPr>
        <w:t>et d</w:t>
      </w:r>
      <w:r>
        <w:rPr>
          <w:b/>
          <w:sz w:val="24"/>
          <w:szCs w:val="24"/>
          <w:lang w:val="fr-FR"/>
        </w:rPr>
        <w:t>’</w:t>
      </w:r>
      <w:r w:rsidRPr="005F5B20">
        <w:rPr>
          <w:b/>
          <w:sz w:val="24"/>
          <w:szCs w:val="24"/>
          <w:lang w:val="fr-FR"/>
        </w:rPr>
        <w:t>étiquetage des produits chimiques</w:t>
      </w:r>
    </w:p>
    <w:p w:rsidR="0039277D" w:rsidRPr="0004101D" w:rsidRDefault="0039277D" w:rsidP="0039277D">
      <w:pPr>
        <w:tabs>
          <w:tab w:val="left" w:pos="0"/>
          <w:tab w:val="left" w:pos="6361"/>
          <w:tab w:val="left" w:pos="6939"/>
        </w:tabs>
        <w:spacing w:before="120"/>
        <w:outlineLvl w:val="0"/>
        <w:rPr>
          <w:b/>
        </w:rPr>
      </w:pPr>
      <w:r w:rsidRPr="005F5B20">
        <w:rPr>
          <w:b/>
          <w:lang w:val="fr-FR"/>
        </w:rPr>
        <w:t>Sous-Comité d</w:t>
      </w:r>
      <w:r>
        <w:rPr>
          <w:b/>
          <w:lang w:val="fr-FR"/>
        </w:rPr>
        <w:t>’</w:t>
      </w:r>
      <w:r w:rsidRPr="005F5B20">
        <w:rPr>
          <w:b/>
          <w:lang w:val="fr-FR"/>
        </w:rPr>
        <w:t>experts du transport des marchandises dangereuses</w:t>
      </w:r>
    </w:p>
    <w:p w:rsidR="00D80597" w:rsidRPr="0039277D" w:rsidRDefault="00D80597" w:rsidP="0039277D">
      <w:pPr>
        <w:pStyle w:val="HChG"/>
        <w:rPr>
          <w:lang w:val="fr-FR"/>
        </w:rPr>
      </w:pPr>
      <w:r w:rsidRPr="0039277D">
        <w:rPr>
          <w:lang w:val="fr-FR"/>
        </w:rPr>
        <w:tab/>
      </w:r>
      <w:r w:rsidRPr="0039277D">
        <w:rPr>
          <w:lang w:val="fr-FR"/>
        </w:rPr>
        <w:tab/>
        <w:t>Rapport du Sous-Comité d</w:t>
      </w:r>
      <w:r w:rsidR="0039277D" w:rsidRPr="0039277D">
        <w:rPr>
          <w:lang w:val="fr-FR"/>
        </w:rPr>
        <w:t>’</w:t>
      </w:r>
      <w:r w:rsidRPr="0039277D">
        <w:rPr>
          <w:lang w:val="fr-FR"/>
        </w:rPr>
        <w:t xml:space="preserve">experts du transport des marchandises dangereuses sur </w:t>
      </w:r>
      <w:r w:rsidR="00B1297F">
        <w:rPr>
          <w:lang w:val="fr-FR"/>
        </w:rPr>
        <w:br/>
      </w:r>
      <w:r w:rsidRPr="0039277D">
        <w:rPr>
          <w:lang w:val="fr-FR"/>
        </w:rPr>
        <w:t>sa quarante-neuvième session</w:t>
      </w:r>
    </w:p>
    <w:p w:rsidR="00D80597" w:rsidRPr="0039277D" w:rsidRDefault="00D80597" w:rsidP="0039277D">
      <w:pPr>
        <w:pStyle w:val="H56G"/>
        <w:rPr>
          <w:b/>
          <w:lang w:val="fr-FR"/>
        </w:rPr>
      </w:pPr>
      <w:r w:rsidRPr="0039277D">
        <w:rPr>
          <w:lang w:val="fr-FR"/>
        </w:rPr>
        <w:tab/>
      </w:r>
      <w:r w:rsidRPr="0039277D">
        <w:rPr>
          <w:lang w:val="fr-FR"/>
        </w:rPr>
        <w:tab/>
        <w:t>tenue à Genève du 27 juin au 6 juillet 2016</w:t>
      </w:r>
    </w:p>
    <w:p w:rsidR="00D80597" w:rsidRPr="0039277D" w:rsidRDefault="00D80597" w:rsidP="0039277D">
      <w:pPr>
        <w:spacing w:after="120"/>
        <w:rPr>
          <w:rFonts w:eastAsiaTheme="minorHAnsi"/>
          <w:sz w:val="28"/>
        </w:rPr>
      </w:pPr>
      <w:r w:rsidRPr="0039277D">
        <w:rPr>
          <w:rFonts w:eastAsiaTheme="minorHAnsi"/>
          <w:sz w:val="28"/>
        </w:rPr>
        <w:t>Table des matières</w:t>
      </w:r>
    </w:p>
    <w:p w:rsidR="00D80597" w:rsidRPr="0039277D" w:rsidRDefault="00D80597" w:rsidP="0039277D">
      <w:pPr>
        <w:tabs>
          <w:tab w:val="right" w:pos="8929"/>
          <w:tab w:val="right" w:pos="9638"/>
        </w:tabs>
        <w:spacing w:after="120"/>
        <w:ind w:left="283"/>
        <w:rPr>
          <w:rFonts w:eastAsiaTheme="minorHAnsi"/>
          <w:i/>
          <w:sz w:val="18"/>
        </w:rPr>
      </w:pPr>
      <w:r w:rsidRPr="0039277D">
        <w:rPr>
          <w:rFonts w:eastAsiaTheme="minorHAnsi"/>
          <w:i/>
          <w:sz w:val="18"/>
        </w:rPr>
        <w:tab/>
        <w:t>Paragraphes</w:t>
      </w:r>
      <w:r w:rsidRPr="0039277D">
        <w:rPr>
          <w:rFonts w:eastAsiaTheme="minorHAnsi"/>
          <w:i/>
          <w:sz w:val="18"/>
        </w:rPr>
        <w:tab/>
        <w:t>Page</w:t>
      </w:r>
    </w:p>
    <w:p w:rsidR="00D80597" w:rsidRPr="0039277D" w:rsidRDefault="00D80597" w:rsidP="0039277D">
      <w:pPr>
        <w:tabs>
          <w:tab w:val="right" w:pos="850"/>
          <w:tab w:val="right" w:leader="dot" w:pos="7654"/>
          <w:tab w:val="right" w:pos="8929"/>
          <w:tab w:val="right" w:pos="9638"/>
        </w:tabs>
        <w:spacing w:after="120"/>
        <w:ind w:left="1134" w:hanging="1134"/>
        <w:rPr>
          <w:lang w:val="fr-FR"/>
        </w:rPr>
      </w:pPr>
      <w:r w:rsidRPr="0039277D">
        <w:rPr>
          <w:lang w:val="fr-FR"/>
        </w:rPr>
        <w:tab/>
        <w:t>I.</w:t>
      </w:r>
      <w:r w:rsidRPr="0039277D">
        <w:rPr>
          <w:lang w:val="fr-FR"/>
        </w:rPr>
        <w:tab/>
      </w:r>
      <w:r w:rsidR="008D1FF7" w:rsidRPr="0039277D">
        <w:rPr>
          <w:lang w:val="fr-FR"/>
        </w:rPr>
        <w:t>Participation</w:t>
      </w:r>
      <w:r w:rsidRPr="0039277D">
        <w:rPr>
          <w:lang w:val="fr-FR"/>
        </w:rPr>
        <w:tab/>
      </w:r>
      <w:r w:rsidRPr="0039277D">
        <w:rPr>
          <w:lang w:val="fr-FR"/>
        </w:rPr>
        <w:tab/>
        <w:t>1</w:t>
      </w:r>
      <w:r w:rsidR="008D1FF7">
        <w:rPr>
          <w:lang w:val="fr-FR"/>
        </w:rPr>
        <w:t>-</w:t>
      </w:r>
      <w:r w:rsidRPr="0039277D">
        <w:rPr>
          <w:lang w:val="fr-FR"/>
        </w:rPr>
        <w:t>6</w:t>
      </w:r>
      <w:r w:rsidRPr="0039277D">
        <w:rPr>
          <w:lang w:val="fr-FR"/>
        </w:rPr>
        <w:tab/>
      </w:r>
      <w:r w:rsidR="008D1FF7">
        <w:rPr>
          <w:lang w:val="fr-FR"/>
        </w:rPr>
        <w:t>7</w:t>
      </w:r>
    </w:p>
    <w:p w:rsidR="00D80597" w:rsidRPr="0039277D" w:rsidRDefault="00D80597" w:rsidP="00D80597">
      <w:pPr>
        <w:tabs>
          <w:tab w:val="right" w:pos="850"/>
          <w:tab w:val="right" w:leader="dot" w:pos="7654"/>
          <w:tab w:val="right" w:pos="8929"/>
          <w:tab w:val="right" w:pos="9638"/>
        </w:tabs>
        <w:spacing w:after="120"/>
        <w:ind w:left="1134" w:hanging="1134"/>
        <w:rPr>
          <w:lang w:val="fr-FR"/>
        </w:rPr>
      </w:pPr>
      <w:r w:rsidRPr="0039277D">
        <w:rPr>
          <w:lang w:val="fr-FR"/>
        </w:rPr>
        <w:tab/>
        <w:t>II.</w:t>
      </w:r>
      <w:r w:rsidRPr="0039277D">
        <w:rPr>
          <w:lang w:val="fr-FR"/>
        </w:rPr>
        <w:tab/>
      </w:r>
      <w:r w:rsidR="008D1FF7" w:rsidRPr="0039277D">
        <w:rPr>
          <w:lang w:val="fr-FR"/>
        </w:rPr>
        <w:t>Adoption de l’ordre du jour (point 1 de l’ordre du jour)</w:t>
      </w:r>
      <w:r w:rsidRPr="0039277D">
        <w:rPr>
          <w:lang w:val="fr-FR"/>
        </w:rPr>
        <w:tab/>
      </w:r>
      <w:r w:rsidRPr="0039277D">
        <w:rPr>
          <w:lang w:val="fr-FR"/>
        </w:rPr>
        <w:tab/>
        <w:t>7</w:t>
      </w:r>
      <w:r w:rsidRPr="0039277D">
        <w:rPr>
          <w:lang w:val="fr-FR"/>
        </w:rPr>
        <w:tab/>
      </w:r>
      <w:r w:rsidR="008D1FF7">
        <w:rPr>
          <w:lang w:val="fr-FR"/>
        </w:rPr>
        <w:t>8</w:t>
      </w:r>
    </w:p>
    <w:p w:rsidR="00D80597" w:rsidRPr="0039277D" w:rsidRDefault="00D80597" w:rsidP="00D80597">
      <w:pPr>
        <w:tabs>
          <w:tab w:val="right" w:pos="850"/>
          <w:tab w:val="right" w:leader="dot" w:pos="7654"/>
          <w:tab w:val="right" w:pos="8929"/>
          <w:tab w:val="right" w:pos="9638"/>
        </w:tabs>
        <w:spacing w:after="120"/>
        <w:ind w:left="1134" w:hanging="1134"/>
        <w:rPr>
          <w:bCs/>
          <w:lang w:val="fr-FR"/>
        </w:rPr>
      </w:pPr>
      <w:r w:rsidRPr="0039277D">
        <w:rPr>
          <w:lang w:val="fr-FR"/>
        </w:rPr>
        <w:tab/>
        <w:t>III.</w:t>
      </w:r>
      <w:r w:rsidRPr="0039277D">
        <w:rPr>
          <w:lang w:val="fr-FR"/>
        </w:rPr>
        <w:tab/>
      </w:r>
      <w:r w:rsidR="008D1FF7" w:rsidRPr="0039277D">
        <w:rPr>
          <w:lang w:val="fr-FR"/>
        </w:rPr>
        <w:t>Explosifs et questions connexes (point 2 de l’ordre du jour)</w:t>
      </w:r>
      <w:r w:rsidRPr="0039277D">
        <w:rPr>
          <w:lang w:val="fr-FR"/>
        </w:rPr>
        <w:tab/>
      </w:r>
      <w:r w:rsidRPr="0039277D">
        <w:rPr>
          <w:lang w:val="fr-FR"/>
        </w:rPr>
        <w:tab/>
        <w:t>8</w:t>
      </w:r>
      <w:r w:rsidR="008D1FF7">
        <w:rPr>
          <w:lang w:val="fr-FR"/>
        </w:rPr>
        <w:t>-</w:t>
      </w:r>
      <w:r w:rsidRPr="0039277D">
        <w:rPr>
          <w:lang w:val="fr-FR"/>
        </w:rPr>
        <w:t>31</w:t>
      </w:r>
      <w:r w:rsidRPr="0039277D">
        <w:rPr>
          <w:lang w:val="fr-FR"/>
        </w:rPr>
        <w:tab/>
      </w:r>
      <w:r w:rsidR="008D1FF7">
        <w:rPr>
          <w:lang w:val="fr-FR"/>
        </w:rPr>
        <w:t>8</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A.</w:t>
      </w:r>
      <w:r w:rsidRPr="0039277D">
        <w:rPr>
          <w:lang w:val="fr-FR"/>
        </w:rPr>
        <w:tab/>
      </w:r>
      <w:r w:rsidR="008D1FF7" w:rsidRPr="0039277D">
        <w:rPr>
          <w:lang w:val="fr-FR"/>
        </w:rPr>
        <w:t>Épreuves et critères relatifs aux compositions éclair</w:t>
      </w:r>
      <w:r w:rsidRPr="0039277D">
        <w:rPr>
          <w:lang w:val="fr-FR"/>
        </w:rPr>
        <w:tab/>
      </w:r>
      <w:r w:rsidRPr="0039277D">
        <w:rPr>
          <w:lang w:val="fr-FR"/>
        </w:rPr>
        <w:tab/>
        <w:t>11</w:t>
      </w:r>
      <w:r w:rsidRPr="0039277D">
        <w:rPr>
          <w:lang w:val="fr-FR"/>
        </w:rPr>
        <w:tab/>
      </w:r>
      <w:r w:rsidR="008D1FF7">
        <w:rPr>
          <w:lang w:val="fr-FR"/>
        </w:rPr>
        <w:t>8</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B.</w:t>
      </w:r>
      <w:r w:rsidRPr="0039277D">
        <w:rPr>
          <w:lang w:val="fr-FR"/>
        </w:rPr>
        <w:tab/>
      </w:r>
      <w:r w:rsidR="008D1FF7" w:rsidRPr="0039277D">
        <w:rPr>
          <w:lang w:val="fr-FR"/>
        </w:rPr>
        <w:t>Révision des épreuves de la série 6</w:t>
      </w:r>
      <w:r w:rsidR="00CD7394">
        <w:rPr>
          <w:lang w:val="fr-FR"/>
        </w:rPr>
        <w:tab/>
      </w:r>
      <w:r w:rsidR="00CD7394">
        <w:rPr>
          <w:lang w:val="fr-FR"/>
        </w:rPr>
        <w:tab/>
      </w:r>
      <w:r w:rsidRPr="0039277D">
        <w:rPr>
          <w:lang w:val="fr-FR"/>
        </w:rPr>
        <w:t>12</w:t>
      </w:r>
      <w:r w:rsidRPr="0039277D">
        <w:rPr>
          <w:lang w:val="fr-FR"/>
        </w:rPr>
        <w:tab/>
      </w:r>
      <w:r w:rsidR="008D1FF7">
        <w:rPr>
          <w:lang w:val="fr-FR"/>
        </w:rPr>
        <w:t>8</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C.</w:t>
      </w:r>
      <w:r w:rsidRPr="0039277D">
        <w:rPr>
          <w:lang w:val="fr-FR"/>
        </w:rPr>
        <w:tab/>
      </w:r>
      <w:r w:rsidR="008D1FF7" w:rsidRPr="0039277D">
        <w:rPr>
          <w:lang w:val="fr-FR"/>
        </w:rPr>
        <w:t xml:space="preserve">Révision des épreuves des parties I et II du Manuel d’épreuves </w:t>
      </w:r>
      <w:r w:rsidR="008D1FF7" w:rsidRPr="0039277D">
        <w:rPr>
          <w:lang w:val="fr-FR"/>
        </w:rPr>
        <w:br/>
        <w:t>et de critères</w:t>
      </w:r>
      <w:r w:rsidRPr="0039277D">
        <w:rPr>
          <w:lang w:val="fr-FR"/>
        </w:rPr>
        <w:tab/>
      </w:r>
      <w:r w:rsidRPr="0039277D">
        <w:rPr>
          <w:lang w:val="fr-FR"/>
        </w:rPr>
        <w:tab/>
        <w:t>13</w:t>
      </w:r>
      <w:r w:rsidR="008D1FF7">
        <w:rPr>
          <w:lang w:val="fr-FR"/>
        </w:rPr>
        <w:t>-</w:t>
      </w:r>
      <w:r w:rsidRPr="0039277D">
        <w:rPr>
          <w:lang w:val="fr-FR"/>
        </w:rPr>
        <w:t>16</w:t>
      </w:r>
      <w:r w:rsidRPr="0039277D">
        <w:rPr>
          <w:lang w:val="fr-FR"/>
        </w:rPr>
        <w:tab/>
      </w:r>
      <w:r w:rsidR="008D1FF7">
        <w:rPr>
          <w:lang w:val="fr-FR"/>
        </w:rPr>
        <w:t>9</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1.</w:t>
      </w:r>
      <w:r w:rsidRPr="0039277D">
        <w:rPr>
          <w:lang w:val="fr-FR"/>
        </w:rPr>
        <w:tab/>
      </w:r>
      <w:r w:rsidR="008D1FF7" w:rsidRPr="0039277D">
        <w:rPr>
          <w:lang w:val="fr-FR"/>
        </w:rPr>
        <w:t xml:space="preserve">Amélioration de l’épreuve de </w:t>
      </w:r>
      <w:proofErr w:type="spellStart"/>
      <w:r w:rsidR="008D1FF7" w:rsidRPr="0039277D">
        <w:rPr>
          <w:lang w:val="fr-FR"/>
        </w:rPr>
        <w:t>Koenen</w:t>
      </w:r>
      <w:proofErr w:type="spellEnd"/>
      <w:r w:rsidRPr="0039277D">
        <w:rPr>
          <w:lang w:val="fr-FR"/>
        </w:rPr>
        <w:tab/>
      </w:r>
      <w:r w:rsidRPr="0039277D">
        <w:rPr>
          <w:lang w:val="fr-FR"/>
        </w:rPr>
        <w:tab/>
        <w:t>13</w:t>
      </w:r>
      <w:r w:rsidRPr="0039277D">
        <w:rPr>
          <w:lang w:val="fr-FR"/>
        </w:rPr>
        <w:tab/>
      </w:r>
      <w:r w:rsidR="008D1FF7">
        <w:rPr>
          <w:lang w:val="fr-FR"/>
        </w:rPr>
        <w:t>9</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2.</w:t>
      </w:r>
      <w:r w:rsidRPr="0039277D">
        <w:rPr>
          <w:lang w:val="fr-FR"/>
        </w:rPr>
        <w:tab/>
      </w:r>
      <w:r w:rsidR="008D1FF7" w:rsidRPr="0039277D">
        <w:rPr>
          <w:lang w:val="fr-FR"/>
        </w:rPr>
        <w:t xml:space="preserve">Proposition tendant à remplacer le </w:t>
      </w:r>
      <w:proofErr w:type="spellStart"/>
      <w:r w:rsidR="008D1FF7" w:rsidRPr="0039277D">
        <w:rPr>
          <w:lang w:val="fr-FR"/>
        </w:rPr>
        <w:t>phthalate</w:t>
      </w:r>
      <w:proofErr w:type="spellEnd"/>
      <w:r w:rsidR="008D1FF7" w:rsidRPr="0039277D">
        <w:rPr>
          <w:lang w:val="fr-FR"/>
        </w:rPr>
        <w:t xml:space="preserve"> de </w:t>
      </w:r>
      <w:proofErr w:type="spellStart"/>
      <w:r w:rsidR="008D1FF7" w:rsidRPr="0039277D">
        <w:rPr>
          <w:lang w:val="fr-FR"/>
        </w:rPr>
        <w:t>dibutyle</w:t>
      </w:r>
      <w:proofErr w:type="spellEnd"/>
      <w:r w:rsidR="008D1FF7" w:rsidRPr="0039277D">
        <w:rPr>
          <w:lang w:val="fr-FR"/>
        </w:rPr>
        <w:t xml:space="preserve"> dans le cadre </w:t>
      </w:r>
      <w:r w:rsidR="008D1FF7">
        <w:rPr>
          <w:lang w:val="fr-FR"/>
        </w:rPr>
        <w:br/>
      </w:r>
      <w:r w:rsidR="008D1FF7" w:rsidRPr="0039277D">
        <w:rPr>
          <w:lang w:val="fr-FR"/>
        </w:rPr>
        <w:t xml:space="preserve">de l’épreuve de </w:t>
      </w:r>
      <w:proofErr w:type="spellStart"/>
      <w:r w:rsidR="008D1FF7" w:rsidRPr="0039277D">
        <w:rPr>
          <w:lang w:val="fr-FR"/>
        </w:rPr>
        <w:t>Koenen</w:t>
      </w:r>
      <w:proofErr w:type="spellEnd"/>
      <w:r w:rsidRPr="0039277D">
        <w:rPr>
          <w:lang w:val="fr-FR"/>
        </w:rPr>
        <w:tab/>
      </w:r>
      <w:r w:rsidRPr="0039277D">
        <w:rPr>
          <w:lang w:val="fr-FR"/>
        </w:rPr>
        <w:tab/>
        <w:t>14</w:t>
      </w:r>
      <w:r w:rsidRPr="0039277D">
        <w:rPr>
          <w:lang w:val="fr-FR"/>
        </w:rPr>
        <w:tab/>
      </w:r>
      <w:r w:rsidR="008D1FF7">
        <w:rPr>
          <w:lang w:val="fr-FR"/>
        </w:rPr>
        <w:t>9</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3.</w:t>
      </w:r>
      <w:r w:rsidRPr="0039277D">
        <w:rPr>
          <w:lang w:val="fr-FR"/>
        </w:rPr>
        <w:tab/>
      </w:r>
      <w:r w:rsidR="008D1FF7" w:rsidRPr="0039277D">
        <w:rPr>
          <w:lang w:val="fr-FR"/>
        </w:rPr>
        <w:t>Détonateur normalisé de l’ONU</w:t>
      </w:r>
      <w:r w:rsidRPr="0039277D">
        <w:rPr>
          <w:lang w:val="fr-FR"/>
        </w:rPr>
        <w:tab/>
      </w:r>
      <w:r w:rsidRPr="0039277D">
        <w:rPr>
          <w:lang w:val="fr-FR"/>
        </w:rPr>
        <w:tab/>
        <w:t>15</w:t>
      </w:r>
      <w:r w:rsidRPr="0039277D">
        <w:rPr>
          <w:lang w:val="fr-FR"/>
        </w:rPr>
        <w:tab/>
      </w:r>
      <w:r w:rsidR="008D1FF7">
        <w:rPr>
          <w:lang w:val="fr-FR"/>
        </w:rPr>
        <w:t>9</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4.</w:t>
      </w:r>
      <w:r w:rsidRPr="0039277D">
        <w:rPr>
          <w:lang w:val="fr-FR"/>
        </w:rPr>
        <w:tab/>
      </w:r>
      <w:r w:rsidR="008D1FF7" w:rsidRPr="0039277D">
        <w:rPr>
          <w:lang w:val="fr-FR"/>
        </w:rPr>
        <w:t xml:space="preserve">Épreuve relative à la pression minimale de combustion : </w:t>
      </w:r>
      <w:r w:rsidR="008D1FF7">
        <w:rPr>
          <w:lang w:val="fr-FR"/>
        </w:rPr>
        <w:br/>
      </w:r>
      <w:r w:rsidR="008D1FF7" w:rsidRPr="0039277D">
        <w:rPr>
          <w:lang w:val="fr-FR"/>
        </w:rPr>
        <w:t xml:space="preserve">une éventuelle solution de rechange ou de remplacement </w:t>
      </w:r>
      <w:r w:rsidR="008D1FF7">
        <w:rPr>
          <w:lang w:val="fr-FR"/>
        </w:rPr>
        <w:br/>
      </w:r>
      <w:r w:rsidR="008D1FF7" w:rsidRPr="0039277D">
        <w:rPr>
          <w:lang w:val="fr-FR"/>
        </w:rPr>
        <w:t>pour les épreuves 8 c) et/ou 8 d)</w:t>
      </w:r>
      <w:r w:rsidRPr="0039277D">
        <w:rPr>
          <w:lang w:val="fr-FR"/>
        </w:rPr>
        <w:tab/>
      </w:r>
      <w:r w:rsidRPr="0039277D">
        <w:rPr>
          <w:lang w:val="fr-FR"/>
        </w:rPr>
        <w:tab/>
        <w:t>16</w:t>
      </w:r>
      <w:r w:rsidRPr="0039277D">
        <w:rPr>
          <w:lang w:val="fr-FR"/>
        </w:rPr>
        <w:tab/>
      </w:r>
      <w:r w:rsidR="008D1FF7">
        <w:rPr>
          <w:lang w:val="fr-FR"/>
        </w:rPr>
        <w:t>9</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D.</w:t>
      </w:r>
      <w:r w:rsidRPr="0039277D">
        <w:rPr>
          <w:lang w:val="fr-FR"/>
        </w:rPr>
        <w:tab/>
      </w:r>
      <w:r w:rsidR="008D1FF7" w:rsidRPr="0039277D">
        <w:rPr>
          <w:lang w:val="fr-FR"/>
        </w:rPr>
        <w:t>Révision des instructions d’emballage relatives aux explosifs</w:t>
      </w:r>
      <w:r w:rsidR="00CD7394">
        <w:rPr>
          <w:lang w:val="fr-FR"/>
        </w:rPr>
        <w:tab/>
      </w:r>
      <w:r w:rsidR="00CD7394">
        <w:rPr>
          <w:lang w:val="fr-FR"/>
        </w:rPr>
        <w:tab/>
      </w:r>
      <w:r w:rsidRPr="0039277D">
        <w:rPr>
          <w:lang w:val="fr-FR"/>
        </w:rPr>
        <w:t>17</w:t>
      </w:r>
      <w:r w:rsidRPr="0039277D">
        <w:rPr>
          <w:lang w:val="fr-FR"/>
        </w:rPr>
        <w:tab/>
      </w:r>
      <w:r w:rsidR="008D1FF7">
        <w:rPr>
          <w:lang w:val="fr-FR"/>
        </w:rPr>
        <w:t>9</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E.</w:t>
      </w:r>
      <w:r w:rsidRPr="0039277D">
        <w:rPr>
          <w:lang w:val="fr-FR"/>
        </w:rPr>
        <w:tab/>
      </w:r>
      <w:r w:rsidR="008D1FF7" w:rsidRPr="0039277D">
        <w:rPr>
          <w:lang w:val="fr-FR"/>
        </w:rPr>
        <w:t xml:space="preserve">Norme générale harmonisée applicable aux marques de sûreté </w:t>
      </w:r>
      <w:r w:rsidR="008D1FF7">
        <w:rPr>
          <w:lang w:val="fr-FR"/>
        </w:rPr>
        <w:br/>
      </w:r>
      <w:r w:rsidR="008D1FF7" w:rsidRPr="0039277D">
        <w:rPr>
          <w:lang w:val="fr-FR"/>
        </w:rPr>
        <w:t>pour explosifs</w:t>
      </w:r>
      <w:r w:rsidR="00CD7394">
        <w:rPr>
          <w:lang w:val="fr-FR"/>
        </w:rPr>
        <w:tab/>
      </w:r>
      <w:r w:rsidR="00CD7394">
        <w:rPr>
          <w:lang w:val="fr-FR"/>
        </w:rPr>
        <w:tab/>
      </w:r>
      <w:r w:rsidRPr="0039277D">
        <w:rPr>
          <w:lang w:val="fr-FR"/>
        </w:rPr>
        <w:t>18</w:t>
      </w:r>
      <w:r w:rsidR="008D1FF7">
        <w:rPr>
          <w:lang w:val="fr-FR"/>
        </w:rPr>
        <w:t>-</w:t>
      </w:r>
      <w:r w:rsidRPr="0039277D">
        <w:rPr>
          <w:lang w:val="fr-FR"/>
        </w:rPr>
        <w:t>19</w:t>
      </w:r>
      <w:r w:rsidRPr="0039277D">
        <w:rPr>
          <w:lang w:val="fr-FR"/>
        </w:rPr>
        <w:tab/>
      </w:r>
      <w:r w:rsidR="008D1FF7">
        <w:rPr>
          <w:lang w:val="fr-FR"/>
        </w:rPr>
        <w:t>10</w:t>
      </w:r>
    </w:p>
    <w:p w:rsidR="00D80597" w:rsidRPr="0039277D" w:rsidRDefault="00E12FEC" w:rsidP="00D80597">
      <w:pPr>
        <w:tabs>
          <w:tab w:val="right" w:leader="dot" w:pos="7654"/>
          <w:tab w:val="right" w:pos="8929"/>
          <w:tab w:val="right" w:pos="9638"/>
        </w:tabs>
        <w:spacing w:after="120"/>
        <w:ind w:left="1559" w:hanging="425"/>
        <w:rPr>
          <w:lang w:val="fr-FR"/>
        </w:rPr>
      </w:pPr>
      <w:r>
        <w:rPr>
          <w:lang w:val="fr-FR"/>
        </w:rPr>
        <w:br w:type="page"/>
      </w:r>
      <w:r w:rsidR="00D80597" w:rsidRPr="0039277D">
        <w:rPr>
          <w:lang w:val="fr-FR"/>
        </w:rPr>
        <w:lastRenderedPageBreak/>
        <w:t>F.</w:t>
      </w:r>
      <w:r w:rsidR="00D80597" w:rsidRPr="0039277D">
        <w:rPr>
          <w:lang w:val="fr-FR"/>
        </w:rPr>
        <w:tab/>
      </w:r>
      <w:r w:rsidR="008D1FF7" w:rsidRPr="0039277D">
        <w:rPr>
          <w:lang w:val="fr-FR"/>
        </w:rPr>
        <w:t>Classement des artifices de divertissement</w:t>
      </w:r>
      <w:r w:rsidR="00D80597" w:rsidRPr="0039277D">
        <w:rPr>
          <w:lang w:val="fr-FR"/>
        </w:rPr>
        <w:tab/>
      </w:r>
      <w:r w:rsidR="00D80597" w:rsidRPr="0039277D">
        <w:rPr>
          <w:lang w:val="fr-FR"/>
        </w:rPr>
        <w:tab/>
        <w:t>20</w:t>
      </w:r>
      <w:r w:rsidR="00D80597" w:rsidRPr="0039277D">
        <w:rPr>
          <w:lang w:val="fr-FR"/>
        </w:rPr>
        <w:tab/>
      </w:r>
      <w:r w:rsidR="008D1FF7">
        <w:rPr>
          <w:lang w:val="fr-FR"/>
        </w:rPr>
        <w:t>10</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G.</w:t>
      </w:r>
      <w:r w:rsidRPr="0039277D">
        <w:rPr>
          <w:lang w:val="fr-FR"/>
        </w:rPr>
        <w:tab/>
      </w:r>
      <w:r w:rsidR="008D1FF7" w:rsidRPr="0039277D">
        <w:rPr>
          <w:lang w:val="fr-FR"/>
        </w:rPr>
        <w:t xml:space="preserve">Classement des objets sous le </w:t>
      </w:r>
      <w:r w:rsidR="008D1FF7">
        <w:rPr>
          <w:lang w:val="fr-FR"/>
        </w:rPr>
        <w:t>No </w:t>
      </w:r>
      <w:r w:rsidR="008D1FF7" w:rsidRPr="0039277D">
        <w:rPr>
          <w:lang w:val="fr-FR"/>
        </w:rPr>
        <w:t>ONU 0349</w:t>
      </w:r>
      <w:r w:rsidRPr="0039277D">
        <w:rPr>
          <w:lang w:val="fr-FR"/>
        </w:rPr>
        <w:tab/>
      </w:r>
      <w:r w:rsidRPr="0039277D">
        <w:rPr>
          <w:lang w:val="fr-FR"/>
        </w:rPr>
        <w:tab/>
        <w:t>21</w:t>
      </w:r>
      <w:r w:rsidRPr="0039277D">
        <w:rPr>
          <w:lang w:val="fr-FR"/>
        </w:rPr>
        <w:tab/>
      </w:r>
      <w:r w:rsidR="008D1FF7">
        <w:rPr>
          <w:lang w:val="fr-FR"/>
        </w:rPr>
        <w:t>10</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H.</w:t>
      </w:r>
      <w:r w:rsidRPr="0039277D">
        <w:rPr>
          <w:lang w:val="fr-FR"/>
        </w:rPr>
        <w:tab/>
      </w:r>
      <w:r w:rsidR="008D1FF7" w:rsidRPr="0039277D">
        <w:rPr>
          <w:lang w:val="fr-FR"/>
        </w:rPr>
        <w:t>Examen du chapitre 2.1 du SGH</w:t>
      </w:r>
      <w:r w:rsidRPr="0039277D">
        <w:rPr>
          <w:lang w:val="fr-FR"/>
        </w:rPr>
        <w:tab/>
      </w:r>
      <w:r w:rsidRPr="0039277D">
        <w:rPr>
          <w:lang w:val="fr-FR"/>
        </w:rPr>
        <w:tab/>
        <w:t>22</w:t>
      </w:r>
      <w:r w:rsidRPr="0039277D">
        <w:rPr>
          <w:lang w:val="fr-FR"/>
        </w:rPr>
        <w:tab/>
      </w:r>
      <w:r w:rsidR="008D1FF7">
        <w:rPr>
          <w:lang w:val="fr-FR"/>
        </w:rPr>
        <w:t>10</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I.</w:t>
      </w:r>
      <w:r w:rsidRPr="0039277D">
        <w:rPr>
          <w:lang w:val="fr-FR"/>
        </w:rPr>
        <w:tab/>
      </w:r>
      <w:r w:rsidR="008D1FF7" w:rsidRPr="0039277D">
        <w:rPr>
          <w:lang w:val="fr-FR"/>
        </w:rPr>
        <w:t>Divers</w:t>
      </w:r>
      <w:r>
        <w:rPr>
          <w:lang w:val="fr-FR"/>
        </w:rPr>
        <w:tab/>
      </w:r>
      <w:r>
        <w:rPr>
          <w:lang w:val="fr-FR"/>
        </w:rPr>
        <w:tab/>
      </w:r>
      <w:r w:rsidRPr="0039277D">
        <w:rPr>
          <w:lang w:val="fr-FR"/>
        </w:rPr>
        <w:t>23</w:t>
      </w:r>
      <w:r w:rsidR="008D1FF7">
        <w:rPr>
          <w:lang w:val="fr-FR"/>
        </w:rPr>
        <w:t>-</w:t>
      </w:r>
      <w:r w:rsidRPr="0039277D">
        <w:rPr>
          <w:lang w:val="fr-FR"/>
        </w:rPr>
        <w:t>31</w:t>
      </w:r>
      <w:r w:rsidRPr="0039277D">
        <w:rPr>
          <w:lang w:val="fr-FR"/>
        </w:rPr>
        <w:tab/>
      </w:r>
      <w:r w:rsidR="008D1FF7">
        <w:rPr>
          <w:lang w:val="fr-FR"/>
        </w:rPr>
        <w:t>11</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1.</w:t>
      </w:r>
      <w:r w:rsidRPr="0039277D">
        <w:rPr>
          <w:lang w:val="fr-FR"/>
        </w:rPr>
        <w:tab/>
      </w:r>
      <w:r w:rsidR="008D1FF7" w:rsidRPr="0039277D">
        <w:rPr>
          <w:lang w:val="fr-FR"/>
        </w:rPr>
        <w:t>Rubriques supplémentaires pour la disposition spéciale 347</w:t>
      </w:r>
      <w:r w:rsidRPr="0039277D">
        <w:rPr>
          <w:lang w:val="fr-FR"/>
        </w:rPr>
        <w:tab/>
      </w:r>
      <w:r w:rsidRPr="0039277D">
        <w:rPr>
          <w:lang w:val="fr-FR"/>
        </w:rPr>
        <w:tab/>
        <w:t>23</w:t>
      </w:r>
      <w:r w:rsidRPr="0039277D">
        <w:rPr>
          <w:lang w:val="fr-FR"/>
        </w:rPr>
        <w:tab/>
      </w:r>
      <w:r w:rsidR="008D1FF7">
        <w:rPr>
          <w:lang w:val="fr-FR"/>
        </w:rPr>
        <w:t>11</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2.</w:t>
      </w:r>
      <w:r w:rsidRPr="0039277D">
        <w:rPr>
          <w:lang w:val="fr-FR"/>
        </w:rPr>
        <w:tab/>
      </w:r>
      <w:r w:rsidR="008D1FF7" w:rsidRPr="0039277D">
        <w:rPr>
          <w:lang w:val="fr-FR"/>
        </w:rPr>
        <w:t xml:space="preserve">Amendements au paragraphe 1.1.2 et au paragraphe 2.3 </w:t>
      </w:r>
      <w:r w:rsidR="008D1FF7">
        <w:rPr>
          <w:lang w:val="fr-FR"/>
        </w:rPr>
        <w:br/>
      </w:r>
      <w:r w:rsidR="008D1FF7" w:rsidRPr="0039277D">
        <w:rPr>
          <w:lang w:val="fr-FR"/>
        </w:rPr>
        <w:t>de l’appendice 6 du Manuel d’épreuves et de critères</w:t>
      </w:r>
      <w:r w:rsidRPr="0039277D">
        <w:rPr>
          <w:lang w:val="fr-FR"/>
        </w:rPr>
        <w:tab/>
      </w:r>
      <w:r w:rsidRPr="0039277D">
        <w:rPr>
          <w:lang w:val="fr-FR"/>
        </w:rPr>
        <w:tab/>
        <w:t>24</w:t>
      </w:r>
      <w:r w:rsidRPr="0039277D">
        <w:rPr>
          <w:lang w:val="fr-FR"/>
        </w:rPr>
        <w:tab/>
      </w:r>
      <w:r w:rsidR="008D1FF7">
        <w:rPr>
          <w:lang w:val="fr-FR"/>
        </w:rPr>
        <w:t>11</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3.</w:t>
      </w:r>
      <w:r w:rsidRPr="0039277D">
        <w:rPr>
          <w:lang w:val="fr-FR"/>
        </w:rPr>
        <w:tab/>
      </w:r>
      <w:r w:rsidR="008D1FF7" w:rsidRPr="0039277D">
        <w:rPr>
          <w:lang w:val="fr-FR"/>
        </w:rPr>
        <w:t xml:space="preserve">Classification des engrais au nitrate d’ammonium </w:t>
      </w:r>
      <w:r w:rsidR="008D1FF7">
        <w:rPr>
          <w:lang w:val="fr-FR"/>
        </w:rPr>
        <w:br/>
      </w:r>
      <w:r w:rsidR="008D1FF7" w:rsidRPr="0039277D">
        <w:rPr>
          <w:lang w:val="fr-FR"/>
        </w:rPr>
        <w:t>(</w:t>
      </w:r>
      <w:r w:rsidR="008D1FF7">
        <w:rPr>
          <w:lang w:val="fr-FR"/>
        </w:rPr>
        <w:t>Nos </w:t>
      </w:r>
      <w:r w:rsidR="008D1FF7" w:rsidRPr="0039277D">
        <w:rPr>
          <w:lang w:val="fr-FR"/>
        </w:rPr>
        <w:t>ONU 2067 et 2071 et disposition spéciale 307)</w:t>
      </w:r>
      <w:r w:rsidRPr="0039277D">
        <w:rPr>
          <w:lang w:val="fr-FR"/>
        </w:rPr>
        <w:tab/>
      </w:r>
      <w:r w:rsidRPr="0039277D">
        <w:rPr>
          <w:lang w:val="fr-FR"/>
        </w:rPr>
        <w:tab/>
        <w:t>25</w:t>
      </w:r>
      <w:r w:rsidR="008D1FF7">
        <w:rPr>
          <w:lang w:val="fr-FR"/>
        </w:rPr>
        <w:t>-</w:t>
      </w:r>
      <w:r w:rsidRPr="0039277D">
        <w:rPr>
          <w:lang w:val="fr-FR"/>
        </w:rPr>
        <w:t>26</w:t>
      </w:r>
      <w:r w:rsidRPr="0039277D">
        <w:rPr>
          <w:lang w:val="fr-FR"/>
        </w:rPr>
        <w:tab/>
      </w:r>
      <w:r w:rsidR="008D1FF7">
        <w:rPr>
          <w:lang w:val="fr-FR"/>
        </w:rPr>
        <w:t>11</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4.</w:t>
      </w:r>
      <w:r w:rsidRPr="0039277D">
        <w:rPr>
          <w:lang w:val="fr-FR"/>
        </w:rPr>
        <w:tab/>
      </w:r>
      <w:r w:rsidR="008D1FF7" w:rsidRPr="0039277D">
        <w:rPr>
          <w:lang w:val="fr-FR"/>
        </w:rPr>
        <w:t>Transport d’objets de la classe 1 en quantités limitées</w:t>
      </w:r>
      <w:r w:rsidRPr="0039277D">
        <w:rPr>
          <w:lang w:val="fr-FR"/>
        </w:rPr>
        <w:tab/>
      </w:r>
      <w:r w:rsidRPr="0039277D">
        <w:rPr>
          <w:lang w:val="fr-FR"/>
        </w:rPr>
        <w:tab/>
        <w:t>27</w:t>
      </w:r>
      <w:r w:rsidR="008D1FF7">
        <w:rPr>
          <w:lang w:val="fr-FR"/>
        </w:rPr>
        <w:t>-</w:t>
      </w:r>
      <w:r w:rsidRPr="0039277D">
        <w:rPr>
          <w:lang w:val="fr-FR"/>
        </w:rPr>
        <w:t>28</w:t>
      </w:r>
      <w:r w:rsidRPr="0039277D">
        <w:rPr>
          <w:lang w:val="fr-FR"/>
        </w:rPr>
        <w:tab/>
      </w:r>
      <w:r w:rsidR="008D1FF7">
        <w:rPr>
          <w:lang w:val="fr-FR"/>
        </w:rPr>
        <w:t>11</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5.</w:t>
      </w:r>
      <w:r w:rsidRPr="0039277D">
        <w:rPr>
          <w:lang w:val="fr-FR"/>
        </w:rPr>
        <w:tab/>
      </w:r>
      <w:r w:rsidR="00837FAE" w:rsidRPr="0039277D">
        <w:rPr>
          <w:lang w:val="fr-FR"/>
        </w:rPr>
        <w:t>Précisions concernant la disposition spéciale 364</w:t>
      </w:r>
      <w:r w:rsidRPr="0039277D">
        <w:rPr>
          <w:lang w:val="fr-FR"/>
        </w:rPr>
        <w:tab/>
      </w:r>
      <w:r w:rsidRPr="0039277D">
        <w:rPr>
          <w:lang w:val="fr-FR"/>
        </w:rPr>
        <w:tab/>
        <w:t>29</w:t>
      </w:r>
      <w:r w:rsidRPr="0039277D">
        <w:rPr>
          <w:lang w:val="fr-FR"/>
        </w:rPr>
        <w:tab/>
      </w:r>
      <w:r w:rsidR="008D1FF7">
        <w:rPr>
          <w:lang w:val="fr-FR"/>
        </w:rPr>
        <w:t>12</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6.</w:t>
      </w:r>
      <w:r w:rsidRPr="0039277D">
        <w:rPr>
          <w:lang w:val="fr-FR"/>
        </w:rPr>
        <w:tab/>
      </w:r>
      <w:r w:rsidR="00837FAE" w:rsidRPr="0039277D">
        <w:rPr>
          <w:lang w:val="fr-FR"/>
        </w:rPr>
        <w:t xml:space="preserve">Transport de TÉTRANITRATE DE PENTAÉRYTHRITE (PETN) </w:t>
      </w:r>
      <w:r w:rsidR="00837FAE">
        <w:rPr>
          <w:lang w:val="fr-FR"/>
        </w:rPr>
        <w:br/>
      </w:r>
      <w:r w:rsidR="00837FAE" w:rsidRPr="0039277D">
        <w:rPr>
          <w:lang w:val="fr-FR"/>
        </w:rPr>
        <w:t>contenant moins de 25</w:t>
      </w:r>
      <w:r w:rsidR="00837FAE">
        <w:rPr>
          <w:lang w:val="fr-FR"/>
        </w:rPr>
        <w:t> </w:t>
      </w:r>
      <w:r w:rsidR="00837FAE" w:rsidRPr="0039277D">
        <w:rPr>
          <w:lang w:val="fr-FR"/>
        </w:rPr>
        <w:t>% d’eau mais plus de 9</w:t>
      </w:r>
      <w:r w:rsidR="00837FAE">
        <w:rPr>
          <w:lang w:val="fr-FR"/>
        </w:rPr>
        <w:t> </w:t>
      </w:r>
      <w:r w:rsidR="00837FAE" w:rsidRPr="0039277D">
        <w:rPr>
          <w:lang w:val="fr-FR"/>
        </w:rPr>
        <w:t>% d’eau</w:t>
      </w:r>
      <w:r w:rsidRPr="0039277D">
        <w:rPr>
          <w:lang w:val="fr-FR"/>
        </w:rPr>
        <w:tab/>
      </w:r>
      <w:r w:rsidRPr="0039277D">
        <w:rPr>
          <w:lang w:val="fr-FR"/>
        </w:rPr>
        <w:tab/>
        <w:t>30</w:t>
      </w:r>
      <w:r w:rsidRPr="0039277D">
        <w:rPr>
          <w:lang w:val="fr-FR"/>
        </w:rPr>
        <w:tab/>
      </w:r>
      <w:r w:rsidR="008D1FF7">
        <w:rPr>
          <w:lang w:val="fr-FR"/>
        </w:rPr>
        <w:t>12</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7.</w:t>
      </w:r>
      <w:r w:rsidRPr="0039277D">
        <w:rPr>
          <w:lang w:val="fr-FR"/>
        </w:rPr>
        <w:tab/>
      </w:r>
      <w:r w:rsidR="00837FAE" w:rsidRPr="0039277D">
        <w:rPr>
          <w:lang w:val="fr-FR"/>
        </w:rPr>
        <w:t>Transport d’échantillons énergétiques en vue d’essais ultérieurs</w:t>
      </w:r>
      <w:r w:rsidRPr="0039277D">
        <w:rPr>
          <w:lang w:val="fr-FR"/>
        </w:rPr>
        <w:tab/>
      </w:r>
      <w:r w:rsidRPr="0039277D">
        <w:rPr>
          <w:lang w:val="fr-FR"/>
        </w:rPr>
        <w:tab/>
        <w:t>31</w:t>
      </w:r>
      <w:r w:rsidRPr="0039277D">
        <w:rPr>
          <w:lang w:val="fr-FR"/>
        </w:rPr>
        <w:tab/>
      </w:r>
      <w:r w:rsidR="008D1FF7">
        <w:rPr>
          <w:lang w:val="fr-FR"/>
        </w:rPr>
        <w:t>12</w:t>
      </w:r>
    </w:p>
    <w:p w:rsidR="00D80597" w:rsidRPr="0039277D" w:rsidRDefault="00D80597" w:rsidP="00D80597">
      <w:pPr>
        <w:tabs>
          <w:tab w:val="right" w:pos="850"/>
          <w:tab w:val="right" w:leader="dot" w:pos="7654"/>
          <w:tab w:val="right" w:pos="8929"/>
          <w:tab w:val="right" w:pos="9638"/>
        </w:tabs>
        <w:spacing w:after="120"/>
        <w:ind w:left="1134" w:hanging="1134"/>
        <w:rPr>
          <w:lang w:val="fr-FR"/>
        </w:rPr>
      </w:pPr>
      <w:r w:rsidRPr="0039277D">
        <w:rPr>
          <w:lang w:val="fr-FR"/>
        </w:rPr>
        <w:tab/>
        <w:t>IV.</w:t>
      </w:r>
      <w:r w:rsidRPr="0039277D">
        <w:rPr>
          <w:lang w:val="fr-FR"/>
        </w:rPr>
        <w:tab/>
      </w:r>
      <w:r w:rsidR="00837FAE" w:rsidRPr="0039277D">
        <w:rPr>
          <w:lang w:val="fr-FR"/>
        </w:rPr>
        <w:t>Inscription, classement et emballage (point 3 de l’ordre du jour)</w:t>
      </w:r>
      <w:r w:rsidRPr="0039277D">
        <w:rPr>
          <w:lang w:val="fr-FR"/>
        </w:rPr>
        <w:tab/>
      </w:r>
      <w:r w:rsidRPr="0039277D">
        <w:rPr>
          <w:lang w:val="fr-FR"/>
        </w:rPr>
        <w:tab/>
        <w:t>32</w:t>
      </w:r>
      <w:r w:rsidR="008D1FF7">
        <w:rPr>
          <w:lang w:val="fr-FR"/>
        </w:rPr>
        <w:t>-</w:t>
      </w:r>
      <w:r w:rsidRPr="0039277D">
        <w:rPr>
          <w:lang w:val="fr-FR"/>
        </w:rPr>
        <w:t>59</w:t>
      </w:r>
      <w:r w:rsidRPr="0039277D">
        <w:rPr>
          <w:lang w:val="fr-FR"/>
        </w:rPr>
        <w:tab/>
      </w:r>
      <w:r w:rsidR="008D1FF7">
        <w:rPr>
          <w:lang w:val="fr-FR"/>
        </w:rPr>
        <w:t>12</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A.</w:t>
      </w:r>
      <w:r w:rsidRPr="0039277D">
        <w:rPr>
          <w:lang w:val="fr-FR"/>
        </w:rPr>
        <w:tab/>
      </w:r>
      <w:r w:rsidR="00837FAE" w:rsidRPr="0039277D">
        <w:rPr>
          <w:lang w:val="fr-FR"/>
        </w:rPr>
        <w:t>Matières qui polymérisent</w:t>
      </w:r>
      <w:r w:rsidRPr="0039277D">
        <w:rPr>
          <w:lang w:val="fr-FR"/>
        </w:rPr>
        <w:tab/>
      </w:r>
      <w:r w:rsidRPr="0039277D">
        <w:rPr>
          <w:lang w:val="fr-FR"/>
        </w:rPr>
        <w:tab/>
        <w:t>32</w:t>
      </w:r>
      <w:r w:rsidR="008D1FF7">
        <w:rPr>
          <w:lang w:val="fr-FR"/>
        </w:rPr>
        <w:t>-</w:t>
      </w:r>
      <w:r w:rsidRPr="0039277D">
        <w:rPr>
          <w:lang w:val="fr-FR"/>
        </w:rPr>
        <w:t>34</w:t>
      </w:r>
      <w:r w:rsidRPr="0039277D">
        <w:rPr>
          <w:lang w:val="fr-FR"/>
        </w:rPr>
        <w:tab/>
      </w:r>
      <w:r w:rsidR="008D1FF7">
        <w:rPr>
          <w:lang w:val="fr-FR"/>
        </w:rPr>
        <w:t>12</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1.</w:t>
      </w:r>
      <w:r w:rsidRPr="0039277D">
        <w:rPr>
          <w:lang w:val="fr-FR"/>
        </w:rPr>
        <w:tab/>
      </w:r>
      <w:r w:rsidR="00837FAE">
        <w:rPr>
          <w:lang w:val="fr-FR"/>
        </w:rPr>
        <w:t>No ONU 3302 −</w:t>
      </w:r>
      <w:r w:rsidR="00837FAE" w:rsidRPr="0039277D">
        <w:rPr>
          <w:lang w:val="fr-FR"/>
        </w:rPr>
        <w:t xml:space="preserve"> ACRYLATE DE 2-DIMÉTHYLAMINOÉTHYLE</w:t>
      </w:r>
      <w:r w:rsidRPr="0039277D">
        <w:rPr>
          <w:lang w:val="fr-FR"/>
        </w:rPr>
        <w:tab/>
      </w:r>
      <w:r w:rsidRPr="0039277D">
        <w:rPr>
          <w:lang w:val="fr-FR"/>
        </w:rPr>
        <w:tab/>
        <w:t>32</w:t>
      </w:r>
      <w:r w:rsidRPr="0039277D">
        <w:rPr>
          <w:lang w:val="fr-FR"/>
        </w:rPr>
        <w:tab/>
      </w:r>
      <w:r w:rsidR="008D1FF7">
        <w:rPr>
          <w:lang w:val="fr-FR"/>
        </w:rPr>
        <w:t>12</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2.</w:t>
      </w:r>
      <w:r w:rsidRPr="0039277D">
        <w:rPr>
          <w:lang w:val="fr-FR"/>
        </w:rPr>
        <w:tab/>
      </w:r>
      <w:r w:rsidR="00837FAE" w:rsidRPr="0039277D">
        <w:rPr>
          <w:lang w:val="fr-FR"/>
        </w:rPr>
        <w:t xml:space="preserve">Classement d’une matière qui polymérise, inflammable, toxique, </w:t>
      </w:r>
      <w:r w:rsidR="00837FAE">
        <w:rPr>
          <w:lang w:val="fr-FR"/>
        </w:rPr>
        <w:br/>
      </w:r>
      <w:r w:rsidR="00837FAE" w:rsidRPr="0039277D">
        <w:rPr>
          <w:lang w:val="fr-FR"/>
        </w:rPr>
        <w:t>stabilisée,</w:t>
      </w:r>
      <w:r w:rsidR="00837FAE">
        <w:rPr>
          <w:lang w:val="fr-FR"/>
        </w:rPr>
        <w:t xml:space="preserve"> </w:t>
      </w:r>
      <w:r w:rsidR="00837FAE" w:rsidRPr="0039277D">
        <w:rPr>
          <w:lang w:val="fr-FR"/>
        </w:rPr>
        <w:t>avec régulation de température</w:t>
      </w:r>
      <w:r w:rsidRPr="0039277D">
        <w:rPr>
          <w:lang w:val="fr-FR"/>
        </w:rPr>
        <w:tab/>
      </w:r>
      <w:r w:rsidRPr="0039277D">
        <w:rPr>
          <w:lang w:val="fr-FR"/>
        </w:rPr>
        <w:tab/>
        <w:t>33</w:t>
      </w:r>
      <w:r w:rsidRPr="0039277D">
        <w:rPr>
          <w:lang w:val="fr-FR"/>
        </w:rPr>
        <w:tab/>
      </w:r>
      <w:r w:rsidR="00837FAE">
        <w:rPr>
          <w:lang w:val="fr-FR"/>
        </w:rPr>
        <w:t>13</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3.</w:t>
      </w:r>
      <w:r w:rsidRPr="0039277D">
        <w:rPr>
          <w:lang w:val="fr-FR"/>
        </w:rPr>
        <w:tab/>
      </w:r>
      <w:r w:rsidR="00837FAE" w:rsidRPr="0039277D">
        <w:rPr>
          <w:lang w:val="fr-FR"/>
        </w:rPr>
        <w:t>Exemptions pour les matières qui polymérisent</w:t>
      </w:r>
      <w:r w:rsidRPr="0039277D">
        <w:rPr>
          <w:lang w:val="fr-FR"/>
        </w:rPr>
        <w:tab/>
      </w:r>
      <w:r w:rsidRPr="0039277D">
        <w:rPr>
          <w:lang w:val="fr-FR"/>
        </w:rPr>
        <w:tab/>
        <w:t>34</w:t>
      </w:r>
      <w:r w:rsidRPr="0039277D">
        <w:rPr>
          <w:lang w:val="fr-FR"/>
        </w:rPr>
        <w:tab/>
      </w:r>
      <w:r w:rsidR="00837FAE">
        <w:rPr>
          <w:lang w:val="fr-FR"/>
        </w:rPr>
        <w:t>13</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B.</w:t>
      </w:r>
      <w:r w:rsidRPr="0039277D">
        <w:rPr>
          <w:lang w:val="fr-FR"/>
        </w:rPr>
        <w:tab/>
      </w:r>
      <w:r w:rsidR="00837FAE" w:rsidRPr="0039277D">
        <w:rPr>
          <w:lang w:val="fr-FR"/>
        </w:rPr>
        <w:t>Matières infectieuses</w:t>
      </w:r>
      <w:r w:rsidRPr="0039277D">
        <w:rPr>
          <w:lang w:val="fr-FR"/>
        </w:rPr>
        <w:tab/>
      </w:r>
      <w:r w:rsidRPr="0039277D">
        <w:rPr>
          <w:lang w:val="fr-FR"/>
        </w:rPr>
        <w:tab/>
        <w:t>35</w:t>
      </w:r>
      <w:r w:rsidR="008D1FF7">
        <w:rPr>
          <w:lang w:val="fr-FR"/>
        </w:rPr>
        <w:t>-</w:t>
      </w:r>
      <w:r w:rsidRPr="0039277D">
        <w:rPr>
          <w:lang w:val="fr-FR"/>
        </w:rPr>
        <w:t>40</w:t>
      </w:r>
      <w:r w:rsidRPr="0039277D">
        <w:rPr>
          <w:lang w:val="fr-FR"/>
        </w:rPr>
        <w:tab/>
      </w:r>
      <w:r w:rsidR="00837FAE">
        <w:rPr>
          <w:lang w:val="fr-FR"/>
        </w:rPr>
        <w:t>13</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1.</w:t>
      </w:r>
      <w:r w:rsidRPr="0039277D">
        <w:rPr>
          <w:lang w:val="fr-FR"/>
        </w:rPr>
        <w:tab/>
      </w:r>
      <w:r w:rsidR="00837FAE" w:rsidRPr="0039277D">
        <w:rPr>
          <w:lang w:val="fr-FR"/>
        </w:rPr>
        <w:t>Emballages pour matières infectieuses</w:t>
      </w:r>
      <w:r w:rsidRPr="0039277D">
        <w:rPr>
          <w:lang w:val="fr-FR"/>
        </w:rPr>
        <w:tab/>
      </w:r>
      <w:r w:rsidRPr="0039277D">
        <w:rPr>
          <w:lang w:val="fr-FR"/>
        </w:rPr>
        <w:tab/>
        <w:t>35</w:t>
      </w:r>
      <w:r w:rsidR="008D1FF7">
        <w:rPr>
          <w:lang w:val="fr-FR"/>
        </w:rPr>
        <w:t>-</w:t>
      </w:r>
      <w:r w:rsidRPr="0039277D">
        <w:rPr>
          <w:lang w:val="fr-FR"/>
        </w:rPr>
        <w:t>36</w:t>
      </w:r>
      <w:r w:rsidRPr="0039277D">
        <w:rPr>
          <w:lang w:val="fr-FR"/>
        </w:rPr>
        <w:tab/>
      </w:r>
      <w:r w:rsidR="00837FAE">
        <w:rPr>
          <w:lang w:val="fr-FR"/>
        </w:rPr>
        <w:t>13</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2.</w:t>
      </w:r>
      <w:r w:rsidRPr="0039277D">
        <w:rPr>
          <w:lang w:val="fr-FR"/>
        </w:rPr>
        <w:tab/>
      </w:r>
      <w:r w:rsidR="00837FAE" w:rsidRPr="0039277D">
        <w:rPr>
          <w:lang w:val="fr-FR"/>
        </w:rPr>
        <w:t>Révision des instructions d’emballage P621, IBC620 et LP621</w:t>
      </w:r>
      <w:r w:rsidRPr="0039277D">
        <w:rPr>
          <w:lang w:val="fr-FR"/>
        </w:rPr>
        <w:tab/>
      </w:r>
      <w:r w:rsidRPr="0039277D">
        <w:rPr>
          <w:lang w:val="fr-FR"/>
        </w:rPr>
        <w:tab/>
        <w:t>37</w:t>
      </w:r>
      <w:r w:rsidRPr="0039277D">
        <w:rPr>
          <w:lang w:val="fr-FR"/>
        </w:rPr>
        <w:tab/>
      </w:r>
      <w:r w:rsidR="00837FAE">
        <w:rPr>
          <w:lang w:val="fr-FR"/>
        </w:rPr>
        <w:t>13</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3.</w:t>
      </w:r>
      <w:r w:rsidRPr="0039277D">
        <w:rPr>
          <w:lang w:val="fr-FR"/>
        </w:rPr>
        <w:tab/>
      </w:r>
      <w:r w:rsidR="00837FAE" w:rsidRPr="0039277D">
        <w:rPr>
          <w:lang w:val="fr-FR"/>
        </w:rPr>
        <w:t>Classement des animaux infectés</w:t>
      </w:r>
      <w:r w:rsidRPr="0039277D">
        <w:rPr>
          <w:lang w:val="fr-FR"/>
        </w:rPr>
        <w:tab/>
      </w:r>
      <w:r w:rsidRPr="0039277D">
        <w:rPr>
          <w:lang w:val="fr-FR"/>
        </w:rPr>
        <w:tab/>
        <w:t>38</w:t>
      </w:r>
      <w:r w:rsidR="008D1FF7">
        <w:rPr>
          <w:lang w:val="fr-FR"/>
        </w:rPr>
        <w:t>-</w:t>
      </w:r>
      <w:r w:rsidRPr="0039277D">
        <w:rPr>
          <w:lang w:val="fr-FR"/>
        </w:rPr>
        <w:t>40</w:t>
      </w:r>
      <w:r w:rsidRPr="0039277D">
        <w:rPr>
          <w:lang w:val="fr-FR"/>
        </w:rPr>
        <w:tab/>
      </w:r>
      <w:r w:rsidR="00837FAE">
        <w:rPr>
          <w:lang w:val="fr-FR"/>
        </w:rPr>
        <w:t>14</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C.</w:t>
      </w:r>
      <w:r w:rsidRPr="0039277D">
        <w:rPr>
          <w:lang w:val="fr-FR"/>
        </w:rPr>
        <w:tab/>
      </w:r>
      <w:r w:rsidR="00837FAE" w:rsidRPr="0039277D">
        <w:rPr>
          <w:lang w:val="fr-FR"/>
        </w:rPr>
        <w:t xml:space="preserve">Méthode d’épreuve pour les matières solides facilement inflammables </w:t>
      </w:r>
      <w:r w:rsidR="00837FAE">
        <w:rPr>
          <w:lang w:val="fr-FR"/>
        </w:rPr>
        <w:br/>
      </w:r>
      <w:r w:rsidR="00837FAE" w:rsidRPr="0039277D">
        <w:rPr>
          <w:lang w:val="fr-FR"/>
        </w:rPr>
        <w:t>(épreuve N.1)</w:t>
      </w:r>
      <w:r w:rsidRPr="0039277D">
        <w:rPr>
          <w:lang w:val="fr-FR"/>
        </w:rPr>
        <w:tab/>
      </w:r>
      <w:r w:rsidRPr="0039277D">
        <w:rPr>
          <w:lang w:val="fr-FR"/>
        </w:rPr>
        <w:tab/>
        <w:t>41</w:t>
      </w:r>
      <w:r w:rsidRPr="0039277D">
        <w:rPr>
          <w:lang w:val="fr-FR"/>
        </w:rPr>
        <w:tab/>
      </w:r>
      <w:r w:rsidR="00837FAE">
        <w:rPr>
          <w:lang w:val="fr-FR"/>
        </w:rPr>
        <w:t>14</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D.</w:t>
      </w:r>
      <w:r w:rsidRPr="0039277D">
        <w:rPr>
          <w:lang w:val="fr-FR"/>
        </w:rPr>
        <w:tab/>
      </w:r>
      <w:r w:rsidR="00837FAE" w:rsidRPr="0039277D">
        <w:rPr>
          <w:lang w:val="fr-FR"/>
        </w:rPr>
        <w:t xml:space="preserve">Correction à la description du </w:t>
      </w:r>
      <w:r w:rsidR="00837FAE">
        <w:rPr>
          <w:lang w:val="fr-FR"/>
        </w:rPr>
        <w:t>No </w:t>
      </w:r>
      <w:r w:rsidR="00837FAE" w:rsidRPr="0039277D">
        <w:rPr>
          <w:lang w:val="fr-FR"/>
        </w:rPr>
        <w:t xml:space="preserve">ONU 2585 dans la version française </w:t>
      </w:r>
      <w:r w:rsidR="00837FAE">
        <w:rPr>
          <w:lang w:val="fr-FR"/>
        </w:rPr>
        <w:br/>
      </w:r>
      <w:r w:rsidR="00837FAE" w:rsidRPr="0039277D">
        <w:rPr>
          <w:lang w:val="fr-FR"/>
        </w:rPr>
        <w:t>du Règlement type</w:t>
      </w:r>
      <w:r w:rsidRPr="0039277D">
        <w:rPr>
          <w:lang w:val="fr-FR"/>
        </w:rPr>
        <w:tab/>
      </w:r>
      <w:r w:rsidRPr="0039277D">
        <w:rPr>
          <w:lang w:val="fr-FR"/>
        </w:rPr>
        <w:tab/>
        <w:t>42</w:t>
      </w:r>
      <w:r w:rsidRPr="0039277D">
        <w:rPr>
          <w:lang w:val="fr-FR"/>
        </w:rPr>
        <w:tab/>
      </w:r>
      <w:r w:rsidR="00837FAE">
        <w:rPr>
          <w:lang w:val="fr-FR"/>
        </w:rPr>
        <w:t>14</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E.</w:t>
      </w:r>
      <w:r w:rsidRPr="0039277D">
        <w:rPr>
          <w:lang w:val="fr-FR"/>
        </w:rPr>
        <w:tab/>
      </w:r>
      <w:r w:rsidR="00837FAE" w:rsidRPr="0039277D">
        <w:rPr>
          <w:lang w:val="fr-FR"/>
        </w:rPr>
        <w:t>Instruction d’emballage LP902</w:t>
      </w:r>
      <w:r w:rsidRPr="0039277D">
        <w:rPr>
          <w:lang w:val="fr-FR"/>
        </w:rPr>
        <w:tab/>
      </w:r>
      <w:r w:rsidRPr="0039277D">
        <w:rPr>
          <w:lang w:val="fr-FR"/>
        </w:rPr>
        <w:tab/>
        <w:t>43</w:t>
      </w:r>
      <w:r w:rsidRPr="0039277D">
        <w:rPr>
          <w:lang w:val="fr-FR"/>
        </w:rPr>
        <w:tab/>
      </w:r>
      <w:r w:rsidR="00837FAE">
        <w:rPr>
          <w:lang w:val="fr-FR"/>
        </w:rPr>
        <w:t>15</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F.</w:t>
      </w:r>
      <w:r w:rsidRPr="0039277D">
        <w:rPr>
          <w:lang w:val="fr-FR"/>
        </w:rPr>
        <w:tab/>
      </w:r>
      <w:r w:rsidR="00837FAE">
        <w:rPr>
          <w:lang w:val="fr-FR"/>
        </w:rPr>
        <w:t>No </w:t>
      </w:r>
      <w:r w:rsidR="00837FAE" w:rsidRPr="0039277D">
        <w:rPr>
          <w:lang w:val="fr-FR"/>
        </w:rPr>
        <w:t xml:space="preserve">ONU 1945 </w:t>
      </w:r>
      <w:r w:rsidR="00837FAE">
        <w:rPr>
          <w:lang w:val="fr-FR"/>
        </w:rPr>
        <w:t>−</w:t>
      </w:r>
      <w:r w:rsidR="00837FAE" w:rsidRPr="0039277D">
        <w:rPr>
          <w:lang w:val="fr-FR"/>
        </w:rPr>
        <w:t xml:space="preserve"> ALLUMETTES-BOUGIES</w:t>
      </w:r>
      <w:r w:rsidRPr="0039277D">
        <w:rPr>
          <w:lang w:val="fr-FR"/>
        </w:rPr>
        <w:tab/>
      </w:r>
      <w:r w:rsidRPr="0039277D">
        <w:rPr>
          <w:lang w:val="fr-FR"/>
        </w:rPr>
        <w:tab/>
        <w:t>44</w:t>
      </w:r>
      <w:r w:rsidRPr="0039277D">
        <w:rPr>
          <w:lang w:val="fr-FR"/>
        </w:rPr>
        <w:tab/>
      </w:r>
      <w:r w:rsidR="00837FAE">
        <w:rPr>
          <w:lang w:val="fr-FR"/>
        </w:rPr>
        <w:t>15</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G.</w:t>
      </w:r>
      <w:r w:rsidRPr="0039277D">
        <w:rPr>
          <w:lang w:val="fr-FR"/>
        </w:rPr>
        <w:tab/>
      </w:r>
      <w:r w:rsidR="00837FAE" w:rsidRPr="0039277D">
        <w:rPr>
          <w:lang w:val="fr-FR"/>
        </w:rPr>
        <w:t>Révision de l’instruction d’emballage P801</w:t>
      </w:r>
      <w:r w:rsidRPr="0039277D">
        <w:rPr>
          <w:lang w:val="fr-FR"/>
        </w:rPr>
        <w:tab/>
      </w:r>
      <w:r w:rsidRPr="0039277D">
        <w:rPr>
          <w:lang w:val="fr-FR"/>
        </w:rPr>
        <w:tab/>
        <w:t>45</w:t>
      </w:r>
      <w:r w:rsidRPr="0039277D">
        <w:rPr>
          <w:lang w:val="fr-FR"/>
        </w:rPr>
        <w:tab/>
      </w:r>
      <w:r w:rsidR="00837FAE">
        <w:rPr>
          <w:lang w:val="fr-FR"/>
        </w:rPr>
        <w:t>15</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H.</w:t>
      </w:r>
      <w:r w:rsidRPr="0039277D">
        <w:rPr>
          <w:lang w:val="fr-FR"/>
        </w:rPr>
        <w:tab/>
      </w:r>
      <w:r w:rsidR="00837FAE" w:rsidRPr="0039277D">
        <w:rPr>
          <w:lang w:val="fr-FR"/>
        </w:rPr>
        <w:t>Révision du chapitre 2.8 (Matières corrosives)</w:t>
      </w:r>
      <w:r w:rsidRPr="0039277D">
        <w:rPr>
          <w:lang w:val="fr-FR"/>
        </w:rPr>
        <w:tab/>
      </w:r>
      <w:r w:rsidRPr="0039277D">
        <w:rPr>
          <w:lang w:val="fr-FR"/>
        </w:rPr>
        <w:tab/>
        <w:t>46</w:t>
      </w:r>
      <w:r w:rsidR="008D1FF7">
        <w:rPr>
          <w:lang w:val="fr-FR"/>
        </w:rPr>
        <w:t>-</w:t>
      </w:r>
      <w:r w:rsidRPr="0039277D">
        <w:rPr>
          <w:lang w:val="fr-FR"/>
        </w:rPr>
        <w:t>48</w:t>
      </w:r>
      <w:r w:rsidRPr="0039277D">
        <w:rPr>
          <w:lang w:val="fr-FR"/>
        </w:rPr>
        <w:tab/>
      </w:r>
      <w:r w:rsidR="00837FAE">
        <w:rPr>
          <w:lang w:val="fr-FR"/>
        </w:rPr>
        <w:t>15</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I.</w:t>
      </w:r>
      <w:r w:rsidRPr="0039277D">
        <w:rPr>
          <w:lang w:val="fr-FR"/>
        </w:rPr>
        <w:tab/>
      </w:r>
      <w:r w:rsidR="00837FAE" w:rsidRPr="0039277D">
        <w:rPr>
          <w:lang w:val="fr-FR"/>
        </w:rPr>
        <w:t xml:space="preserve">Modification de la disposition spéciale 308 relative à la farine </w:t>
      </w:r>
      <w:r w:rsidR="00837FAE">
        <w:rPr>
          <w:lang w:val="fr-FR"/>
        </w:rPr>
        <w:br/>
      </w:r>
      <w:r w:rsidR="00837FAE" w:rsidRPr="0039277D">
        <w:rPr>
          <w:lang w:val="fr-FR"/>
        </w:rPr>
        <w:t xml:space="preserve">de poisson stabilisée, </w:t>
      </w:r>
      <w:r w:rsidR="00837FAE">
        <w:rPr>
          <w:lang w:val="fr-FR"/>
        </w:rPr>
        <w:t>No </w:t>
      </w:r>
      <w:r w:rsidR="00837FAE" w:rsidRPr="0039277D">
        <w:rPr>
          <w:lang w:val="fr-FR"/>
        </w:rPr>
        <w:t>ONU 2216, classe 9</w:t>
      </w:r>
      <w:r w:rsidRPr="0039277D">
        <w:rPr>
          <w:lang w:val="fr-FR"/>
        </w:rPr>
        <w:tab/>
      </w:r>
      <w:r w:rsidRPr="0039277D">
        <w:rPr>
          <w:lang w:val="fr-FR"/>
        </w:rPr>
        <w:tab/>
        <w:t>49</w:t>
      </w:r>
      <w:r w:rsidRPr="0039277D">
        <w:rPr>
          <w:lang w:val="fr-FR"/>
        </w:rPr>
        <w:tab/>
      </w:r>
      <w:r w:rsidR="00837FAE">
        <w:rPr>
          <w:lang w:val="fr-FR"/>
        </w:rPr>
        <w:t>16</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J.</w:t>
      </w:r>
      <w:r w:rsidRPr="0039277D">
        <w:rPr>
          <w:lang w:val="fr-FR"/>
        </w:rPr>
        <w:tab/>
      </w:r>
      <w:r w:rsidR="00837FAE" w:rsidRPr="0039277D">
        <w:rPr>
          <w:lang w:val="fr-FR"/>
        </w:rPr>
        <w:t>Désignations officielles de transport pour les mélanges et solutions</w:t>
      </w:r>
      <w:r w:rsidRPr="0039277D">
        <w:rPr>
          <w:lang w:val="fr-FR"/>
        </w:rPr>
        <w:tab/>
      </w:r>
      <w:r w:rsidRPr="0039277D">
        <w:rPr>
          <w:lang w:val="fr-FR"/>
        </w:rPr>
        <w:tab/>
        <w:t>50</w:t>
      </w:r>
      <w:r w:rsidR="008D1FF7">
        <w:rPr>
          <w:lang w:val="fr-FR"/>
        </w:rPr>
        <w:t>-</w:t>
      </w:r>
      <w:r w:rsidRPr="0039277D">
        <w:rPr>
          <w:lang w:val="fr-FR"/>
        </w:rPr>
        <w:t>53</w:t>
      </w:r>
      <w:r w:rsidRPr="0039277D">
        <w:rPr>
          <w:lang w:val="fr-FR"/>
        </w:rPr>
        <w:tab/>
      </w:r>
      <w:r w:rsidR="00837FAE">
        <w:rPr>
          <w:lang w:val="fr-FR"/>
        </w:rPr>
        <w:t>16</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K.</w:t>
      </w:r>
      <w:r w:rsidRPr="0039277D">
        <w:rPr>
          <w:lang w:val="fr-FR"/>
        </w:rPr>
        <w:tab/>
      </w:r>
      <w:r w:rsidR="00837FAE" w:rsidRPr="0039277D">
        <w:rPr>
          <w:lang w:val="fr-FR"/>
        </w:rPr>
        <w:t>Nouveau code E pour les matières dangereuses en quantités exceptées</w:t>
      </w:r>
      <w:r w:rsidRPr="0039277D">
        <w:rPr>
          <w:lang w:val="fr-FR"/>
        </w:rPr>
        <w:tab/>
      </w:r>
      <w:r w:rsidRPr="0039277D">
        <w:rPr>
          <w:lang w:val="fr-FR"/>
        </w:rPr>
        <w:tab/>
        <w:t>54</w:t>
      </w:r>
      <w:r w:rsidR="008D1FF7">
        <w:rPr>
          <w:lang w:val="fr-FR"/>
        </w:rPr>
        <w:t>-</w:t>
      </w:r>
      <w:r w:rsidRPr="0039277D">
        <w:rPr>
          <w:lang w:val="fr-FR"/>
        </w:rPr>
        <w:t>55</w:t>
      </w:r>
      <w:r w:rsidRPr="0039277D">
        <w:rPr>
          <w:lang w:val="fr-FR"/>
        </w:rPr>
        <w:tab/>
      </w:r>
      <w:r w:rsidR="00837FAE">
        <w:rPr>
          <w:lang w:val="fr-FR"/>
        </w:rPr>
        <w:t>16</w:t>
      </w:r>
    </w:p>
    <w:p w:rsidR="00D80597" w:rsidRPr="0039277D" w:rsidRDefault="00E12FEC" w:rsidP="00D80597">
      <w:pPr>
        <w:tabs>
          <w:tab w:val="right" w:leader="dot" w:pos="7654"/>
          <w:tab w:val="right" w:pos="8929"/>
          <w:tab w:val="right" w:pos="9638"/>
        </w:tabs>
        <w:spacing w:after="120"/>
        <w:ind w:left="1559" w:hanging="425"/>
        <w:rPr>
          <w:lang w:val="fr-FR"/>
        </w:rPr>
      </w:pPr>
      <w:r>
        <w:rPr>
          <w:lang w:val="fr-FR"/>
        </w:rPr>
        <w:br w:type="page"/>
      </w:r>
      <w:r w:rsidR="00D80597" w:rsidRPr="0039277D">
        <w:rPr>
          <w:lang w:val="fr-FR"/>
        </w:rPr>
        <w:lastRenderedPageBreak/>
        <w:t>L.</w:t>
      </w:r>
      <w:r w:rsidR="00D80597" w:rsidRPr="0039277D">
        <w:rPr>
          <w:lang w:val="fr-FR"/>
        </w:rPr>
        <w:tab/>
      </w:r>
      <w:r w:rsidR="00837FAE" w:rsidRPr="0039277D">
        <w:rPr>
          <w:lang w:val="fr-FR"/>
        </w:rPr>
        <w:t xml:space="preserve">Désignation officielle de transport dans le cas où plusieurs rubriques </w:t>
      </w:r>
      <w:r w:rsidR="00837FAE">
        <w:rPr>
          <w:lang w:val="fr-FR"/>
        </w:rPr>
        <w:br/>
      </w:r>
      <w:r w:rsidR="00837FAE" w:rsidRPr="0039277D">
        <w:rPr>
          <w:lang w:val="fr-FR"/>
        </w:rPr>
        <w:t>distinctes figurent sous le même numéro ONU</w:t>
      </w:r>
      <w:r w:rsidR="00D80597" w:rsidRPr="0039277D">
        <w:rPr>
          <w:lang w:val="fr-FR"/>
        </w:rPr>
        <w:tab/>
      </w:r>
      <w:r w:rsidR="00D80597" w:rsidRPr="0039277D">
        <w:rPr>
          <w:lang w:val="fr-FR"/>
        </w:rPr>
        <w:tab/>
        <w:t>56</w:t>
      </w:r>
      <w:r w:rsidR="00D80597" w:rsidRPr="0039277D">
        <w:rPr>
          <w:lang w:val="fr-FR"/>
        </w:rPr>
        <w:tab/>
      </w:r>
      <w:r w:rsidR="00837FAE">
        <w:rPr>
          <w:lang w:val="fr-FR"/>
        </w:rPr>
        <w:t>17</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M.</w:t>
      </w:r>
      <w:r w:rsidRPr="0039277D">
        <w:rPr>
          <w:lang w:val="fr-FR"/>
        </w:rPr>
        <w:tab/>
      </w:r>
      <w:r w:rsidR="00837FAE" w:rsidRPr="0039277D">
        <w:rPr>
          <w:lang w:val="fr-FR"/>
        </w:rPr>
        <w:t>Définition de pression de vapeur</w:t>
      </w:r>
      <w:r w:rsidRPr="0039277D">
        <w:rPr>
          <w:lang w:val="fr-FR"/>
        </w:rPr>
        <w:tab/>
      </w:r>
      <w:r w:rsidRPr="0039277D">
        <w:rPr>
          <w:lang w:val="fr-FR"/>
        </w:rPr>
        <w:tab/>
        <w:t>57</w:t>
      </w:r>
      <w:r w:rsidRPr="0039277D">
        <w:rPr>
          <w:lang w:val="fr-FR"/>
        </w:rPr>
        <w:tab/>
      </w:r>
      <w:r w:rsidR="00837FAE">
        <w:rPr>
          <w:lang w:val="fr-FR"/>
        </w:rPr>
        <w:t>17</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N.</w:t>
      </w:r>
      <w:r w:rsidRPr="0039277D">
        <w:rPr>
          <w:lang w:val="fr-FR"/>
        </w:rPr>
        <w:tab/>
      </w:r>
      <w:r w:rsidR="00837FAE" w:rsidRPr="0039277D">
        <w:rPr>
          <w:lang w:val="fr-FR"/>
        </w:rPr>
        <w:t xml:space="preserve">Rapport sur la conférence téléphonique informelle sur la classification </w:t>
      </w:r>
      <w:r w:rsidR="00837FAE">
        <w:rPr>
          <w:lang w:val="fr-FR"/>
        </w:rPr>
        <w:br/>
      </w:r>
      <w:r w:rsidR="00837FAE" w:rsidRPr="0039277D">
        <w:rPr>
          <w:lang w:val="fr-FR"/>
        </w:rPr>
        <w:t>du pétrole brut</w:t>
      </w:r>
      <w:r w:rsidRPr="0039277D">
        <w:rPr>
          <w:lang w:val="fr-FR"/>
        </w:rPr>
        <w:tab/>
      </w:r>
      <w:r w:rsidRPr="0039277D">
        <w:rPr>
          <w:lang w:val="fr-FR"/>
        </w:rPr>
        <w:tab/>
        <w:t>58</w:t>
      </w:r>
      <w:r w:rsidRPr="0039277D">
        <w:rPr>
          <w:lang w:val="fr-FR"/>
        </w:rPr>
        <w:tab/>
      </w:r>
      <w:r w:rsidR="00837FAE">
        <w:rPr>
          <w:lang w:val="fr-FR"/>
        </w:rPr>
        <w:t>17</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O.</w:t>
      </w:r>
      <w:r w:rsidRPr="0039277D">
        <w:rPr>
          <w:lang w:val="fr-FR"/>
        </w:rPr>
        <w:tab/>
      </w:r>
      <w:r w:rsidR="00837FAE" w:rsidRPr="0039277D">
        <w:rPr>
          <w:lang w:val="fr-FR"/>
        </w:rPr>
        <w:t xml:space="preserve">Proposition d’ajout d’un risque subsidiaire de la division 6.1 </w:t>
      </w:r>
      <w:r w:rsidR="00837FAE" w:rsidRPr="0039277D">
        <w:rPr>
          <w:lang w:val="fr-FR"/>
        </w:rPr>
        <w:br/>
        <w:t>aux numéros ONU 2248, 2264 et 2357</w:t>
      </w:r>
      <w:r w:rsidRPr="0039277D">
        <w:rPr>
          <w:lang w:val="fr-FR"/>
        </w:rPr>
        <w:tab/>
      </w:r>
      <w:r w:rsidRPr="0039277D">
        <w:rPr>
          <w:lang w:val="fr-FR"/>
        </w:rPr>
        <w:tab/>
        <w:t>59</w:t>
      </w:r>
      <w:r w:rsidRPr="0039277D">
        <w:rPr>
          <w:lang w:val="fr-FR"/>
        </w:rPr>
        <w:tab/>
      </w:r>
      <w:r w:rsidR="00837FAE">
        <w:rPr>
          <w:lang w:val="fr-FR"/>
        </w:rPr>
        <w:t>17</w:t>
      </w:r>
    </w:p>
    <w:p w:rsidR="00D80597" w:rsidRPr="0039277D" w:rsidRDefault="00D80597" w:rsidP="00D80597">
      <w:pPr>
        <w:tabs>
          <w:tab w:val="right" w:pos="850"/>
          <w:tab w:val="right" w:leader="dot" w:pos="7654"/>
          <w:tab w:val="right" w:pos="8929"/>
          <w:tab w:val="right" w:pos="9638"/>
        </w:tabs>
        <w:spacing w:after="120"/>
        <w:ind w:left="1134" w:hanging="1134"/>
        <w:rPr>
          <w:lang w:val="fr-FR"/>
        </w:rPr>
      </w:pPr>
      <w:r w:rsidRPr="0039277D">
        <w:rPr>
          <w:lang w:val="fr-FR"/>
        </w:rPr>
        <w:tab/>
        <w:t>V.</w:t>
      </w:r>
      <w:r w:rsidRPr="0039277D">
        <w:rPr>
          <w:lang w:val="fr-FR"/>
        </w:rPr>
        <w:tab/>
      </w:r>
      <w:r w:rsidR="00837FAE" w:rsidRPr="0039277D">
        <w:rPr>
          <w:lang w:val="fr-FR"/>
        </w:rPr>
        <w:t>Systèmes de stockage de l’électricité (point 4 de l’ordre du jour)</w:t>
      </w:r>
      <w:r w:rsidRPr="0039277D">
        <w:rPr>
          <w:lang w:val="fr-FR"/>
        </w:rPr>
        <w:tab/>
      </w:r>
      <w:r w:rsidRPr="0039277D">
        <w:rPr>
          <w:lang w:val="fr-FR"/>
        </w:rPr>
        <w:tab/>
        <w:t>60</w:t>
      </w:r>
      <w:r w:rsidR="008D1FF7">
        <w:rPr>
          <w:lang w:val="fr-FR"/>
        </w:rPr>
        <w:t>-</w:t>
      </w:r>
      <w:r w:rsidRPr="0039277D">
        <w:rPr>
          <w:lang w:val="fr-FR"/>
        </w:rPr>
        <w:t>90</w:t>
      </w:r>
      <w:r w:rsidRPr="0039277D">
        <w:rPr>
          <w:lang w:val="fr-FR"/>
        </w:rPr>
        <w:tab/>
      </w:r>
      <w:r w:rsidR="00837FAE">
        <w:rPr>
          <w:lang w:val="fr-FR"/>
        </w:rPr>
        <w:t>18</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A.</w:t>
      </w:r>
      <w:r w:rsidRPr="0039277D">
        <w:rPr>
          <w:lang w:val="fr-FR"/>
        </w:rPr>
        <w:tab/>
      </w:r>
      <w:r w:rsidR="00837FAE" w:rsidRPr="0039277D">
        <w:rPr>
          <w:lang w:val="fr-FR"/>
        </w:rPr>
        <w:t>Épreuves des batteries au lithium</w:t>
      </w:r>
      <w:r w:rsidR="00CD7394">
        <w:rPr>
          <w:lang w:val="fr-FR"/>
        </w:rPr>
        <w:tab/>
      </w:r>
      <w:r w:rsidR="00CD7394">
        <w:rPr>
          <w:lang w:val="fr-FR"/>
        </w:rPr>
        <w:tab/>
      </w:r>
      <w:r w:rsidRPr="0039277D">
        <w:rPr>
          <w:lang w:val="fr-FR"/>
        </w:rPr>
        <w:t>60</w:t>
      </w:r>
      <w:r w:rsidR="008D1FF7">
        <w:rPr>
          <w:lang w:val="fr-FR"/>
        </w:rPr>
        <w:t>-</w:t>
      </w:r>
      <w:r w:rsidRPr="0039277D">
        <w:rPr>
          <w:lang w:val="fr-FR"/>
        </w:rPr>
        <w:t>67</w:t>
      </w:r>
      <w:r w:rsidRPr="0039277D">
        <w:rPr>
          <w:lang w:val="fr-FR"/>
        </w:rPr>
        <w:tab/>
      </w:r>
      <w:r w:rsidR="00837FAE">
        <w:rPr>
          <w:lang w:val="fr-FR"/>
        </w:rPr>
        <w:t>18</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1.</w:t>
      </w:r>
      <w:r w:rsidRPr="0039277D">
        <w:rPr>
          <w:lang w:val="fr-FR"/>
        </w:rPr>
        <w:tab/>
      </w:r>
      <w:r w:rsidR="00837FAE" w:rsidRPr="0039277D">
        <w:rPr>
          <w:lang w:val="fr-FR"/>
        </w:rPr>
        <w:t xml:space="preserve">Rapport de la troisième réunion du groupe de travail informel </w:t>
      </w:r>
      <w:r w:rsidR="00837FAE" w:rsidRPr="0039277D">
        <w:rPr>
          <w:lang w:val="fr-FR"/>
        </w:rPr>
        <w:br/>
        <w:t>sur les batteries au lithium</w:t>
      </w:r>
      <w:r w:rsidRPr="0039277D">
        <w:rPr>
          <w:lang w:val="fr-FR"/>
        </w:rPr>
        <w:tab/>
      </w:r>
      <w:r w:rsidRPr="0039277D">
        <w:rPr>
          <w:lang w:val="fr-FR"/>
        </w:rPr>
        <w:tab/>
        <w:t>60</w:t>
      </w:r>
      <w:r w:rsidR="008D1FF7">
        <w:rPr>
          <w:lang w:val="fr-FR"/>
        </w:rPr>
        <w:t>-</w:t>
      </w:r>
      <w:r w:rsidRPr="0039277D">
        <w:rPr>
          <w:lang w:val="fr-FR"/>
        </w:rPr>
        <w:t>65</w:t>
      </w:r>
      <w:r w:rsidRPr="0039277D">
        <w:rPr>
          <w:lang w:val="fr-FR"/>
        </w:rPr>
        <w:tab/>
      </w:r>
      <w:r w:rsidR="00837FAE">
        <w:rPr>
          <w:lang w:val="fr-FR"/>
        </w:rPr>
        <w:t>18</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2.</w:t>
      </w:r>
      <w:r w:rsidRPr="0039277D">
        <w:rPr>
          <w:lang w:val="fr-FR"/>
        </w:rPr>
        <w:tab/>
      </w:r>
      <w:r w:rsidR="00837FAE" w:rsidRPr="0039277D">
        <w:rPr>
          <w:lang w:val="fr-FR"/>
        </w:rPr>
        <w:t xml:space="preserve">Diagrammes de décision pour les épreuves des batteries au lithium </w:t>
      </w:r>
      <w:r w:rsidR="00837FAE">
        <w:rPr>
          <w:lang w:val="fr-FR"/>
        </w:rPr>
        <w:br/>
      </w:r>
      <w:r w:rsidR="00837FAE" w:rsidRPr="0039277D">
        <w:rPr>
          <w:lang w:val="fr-FR"/>
        </w:rPr>
        <w:t>conformément à la section 38.3 du Manuel d’épreuves et de critères</w:t>
      </w:r>
      <w:r w:rsidRPr="0039277D">
        <w:rPr>
          <w:lang w:val="fr-FR"/>
        </w:rPr>
        <w:tab/>
      </w:r>
      <w:r w:rsidRPr="0039277D">
        <w:rPr>
          <w:lang w:val="fr-FR"/>
        </w:rPr>
        <w:tab/>
        <w:t>66</w:t>
      </w:r>
      <w:r w:rsidRPr="0039277D">
        <w:rPr>
          <w:lang w:val="fr-FR"/>
        </w:rPr>
        <w:tab/>
      </w:r>
      <w:r w:rsidR="00837FAE">
        <w:rPr>
          <w:lang w:val="fr-FR"/>
        </w:rPr>
        <w:t>18</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3.</w:t>
      </w:r>
      <w:r w:rsidRPr="0039277D">
        <w:rPr>
          <w:lang w:val="fr-FR"/>
        </w:rPr>
        <w:tab/>
      </w:r>
      <w:r w:rsidR="00837FAE" w:rsidRPr="0039277D">
        <w:rPr>
          <w:lang w:val="fr-FR"/>
        </w:rPr>
        <w:t xml:space="preserve">Activation du mécanisme de protection des piles ou batteries au lithium </w:t>
      </w:r>
      <w:r w:rsidR="00837FAE" w:rsidRPr="0039277D">
        <w:rPr>
          <w:lang w:val="fr-FR"/>
        </w:rPr>
        <w:br/>
        <w:t xml:space="preserve">et critère de perte de tension pour l’épreuve thermique T.2 </w:t>
      </w:r>
      <w:r w:rsidR="00837FAE">
        <w:rPr>
          <w:lang w:val="fr-FR"/>
        </w:rPr>
        <w:br/>
      </w:r>
      <w:r w:rsidR="00837FAE" w:rsidRPr="0039277D">
        <w:rPr>
          <w:lang w:val="fr-FR"/>
        </w:rPr>
        <w:t>de la section 38.3 du Manuel d’épreuves et de critères</w:t>
      </w:r>
      <w:r w:rsidRPr="0039277D">
        <w:rPr>
          <w:lang w:val="fr-FR"/>
        </w:rPr>
        <w:tab/>
      </w:r>
      <w:r w:rsidRPr="0039277D">
        <w:rPr>
          <w:lang w:val="fr-FR"/>
        </w:rPr>
        <w:tab/>
        <w:t>67</w:t>
      </w:r>
      <w:r w:rsidRPr="0039277D">
        <w:rPr>
          <w:lang w:val="fr-FR"/>
        </w:rPr>
        <w:tab/>
      </w:r>
      <w:r w:rsidR="00837FAE">
        <w:rPr>
          <w:lang w:val="fr-FR"/>
        </w:rPr>
        <w:t>19</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B.</w:t>
      </w:r>
      <w:r w:rsidRPr="0039277D">
        <w:rPr>
          <w:lang w:val="fr-FR"/>
        </w:rPr>
        <w:tab/>
      </w:r>
      <w:r w:rsidR="00837FAE" w:rsidRPr="0039277D">
        <w:rPr>
          <w:lang w:val="fr-FR"/>
        </w:rPr>
        <w:t>Grandes batteries</w:t>
      </w:r>
      <w:r w:rsidRPr="0039277D">
        <w:rPr>
          <w:lang w:val="fr-FR"/>
        </w:rPr>
        <w:tab/>
      </w:r>
      <w:r w:rsidRPr="0039277D">
        <w:rPr>
          <w:lang w:val="fr-FR"/>
        </w:rPr>
        <w:tab/>
        <w:t>68</w:t>
      </w:r>
      <w:r w:rsidRPr="0039277D">
        <w:rPr>
          <w:lang w:val="fr-FR"/>
        </w:rPr>
        <w:tab/>
      </w:r>
      <w:r w:rsidR="00837FAE">
        <w:rPr>
          <w:lang w:val="fr-FR"/>
        </w:rPr>
        <w:t>19</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C.</w:t>
      </w:r>
      <w:r w:rsidRPr="0039277D">
        <w:rPr>
          <w:lang w:val="fr-FR"/>
        </w:rPr>
        <w:tab/>
      </w:r>
      <w:r w:rsidR="00837FAE" w:rsidRPr="0039277D">
        <w:rPr>
          <w:lang w:val="fr-FR"/>
        </w:rPr>
        <w:t>Piles thermiques</w:t>
      </w:r>
      <w:r w:rsidRPr="0039277D">
        <w:rPr>
          <w:lang w:val="fr-FR"/>
        </w:rPr>
        <w:tab/>
      </w:r>
      <w:r w:rsidRPr="0039277D">
        <w:rPr>
          <w:lang w:val="fr-FR"/>
        </w:rPr>
        <w:tab/>
        <w:t>69</w:t>
      </w:r>
      <w:r w:rsidRPr="0039277D">
        <w:rPr>
          <w:lang w:val="fr-FR"/>
        </w:rPr>
        <w:tab/>
      </w:r>
      <w:r w:rsidR="00837FAE">
        <w:rPr>
          <w:lang w:val="fr-FR"/>
        </w:rPr>
        <w:t>19</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D.</w:t>
      </w:r>
      <w:r w:rsidRPr="0039277D">
        <w:rPr>
          <w:lang w:val="fr-FR"/>
        </w:rPr>
        <w:tab/>
      </w:r>
      <w:r w:rsidR="00837FAE" w:rsidRPr="0039277D">
        <w:rPr>
          <w:lang w:val="fr-FR"/>
        </w:rPr>
        <w:t>Divers</w:t>
      </w:r>
      <w:r w:rsidRPr="0039277D">
        <w:rPr>
          <w:lang w:val="fr-FR"/>
        </w:rPr>
        <w:tab/>
      </w:r>
      <w:r w:rsidRPr="0039277D">
        <w:rPr>
          <w:lang w:val="fr-FR"/>
        </w:rPr>
        <w:tab/>
        <w:t>70</w:t>
      </w:r>
      <w:r w:rsidR="008D1FF7">
        <w:rPr>
          <w:lang w:val="fr-FR"/>
        </w:rPr>
        <w:t>-</w:t>
      </w:r>
      <w:r w:rsidRPr="0039277D">
        <w:rPr>
          <w:lang w:val="fr-FR"/>
        </w:rPr>
        <w:t>90</w:t>
      </w:r>
      <w:r w:rsidRPr="0039277D">
        <w:rPr>
          <w:lang w:val="fr-FR"/>
        </w:rPr>
        <w:tab/>
      </w:r>
      <w:r w:rsidR="00837FAE">
        <w:rPr>
          <w:lang w:val="fr-FR"/>
        </w:rPr>
        <w:t>19</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1.</w:t>
      </w:r>
      <w:r w:rsidRPr="0039277D">
        <w:rPr>
          <w:lang w:val="fr-FR"/>
        </w:rPr>
        <w:tab/>
      </w:r>
      <w:r w:rsidR="00837FAE" w:rsidRPr="0039277D">
        <w:rPr>
          <w:lang w:val="fr-FR"/>
        </w:rPr>
        <w:t xml:space="preserve">Nouveau numéro ONU pour les piles rechargeables </w:t>
      </w:r>
      <w:r w:rsidR="00837FAE">
        <w:rPr>
          <w:lang w:val="fr-FR"/>
        </w:rPr>
        <w:br/>
      </w:r>
      <w:r w:rsidR="00837FAE" w:rsidRPr="0039277D">
        <w:rPr>
          <w:lang w:val="fr-FR"/>
        </w:rPr>
        <w:t>au lithium métal polymère</w:t>
      </w:r>
      <w:r w:rsidRPr="0039277D">
        <w:rPr>
          <w:lang w:val="fr-FR"/>
        </w:rPr>
        <w:tab/>
      </w:r>
      <w:r w:rsidRPr="0039277D">
        <w:rPr>
          <w:lang w:val="fr-FR"/>
        </w:rPr>
        <w:tab/>
        <w:t>70</w:t>
      </w:r>
      <w:r w:rsidR="008D1FF7">
        <w:rPr>
          <w:lang w:val="fr-FR"/>
        </w:rPr>
        <w:t>-</w:t>
      </w:r>
      <w:r w:rsidRPr="0039277D">
        <w:rPr>
          <w:lang w:val="fr-FR"/>
        </w:rPr>
        <w:t>71</w:t>
      </w:r>
      <w:r w:rsidRPr="0039277D">
        <w:rPr>
          <w:lang w:val="fr-FR"/>
        </w:rPr>
        <w:tab/>
      </w:r>
      <w:r w:rsidR="00837FAE">
        <w:rPr>
          <w:lang w:val="fr-FR"/>
        </w:rPr>
        <w:t>19</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2.</w:t>
      </w:r>
      <w:r w:rsidRPr="0039277D">
        <w:rPr>
          <w:lang w:val="fr-FR"/>
        </w:rPr>
        <w:tab/>
      </w:r>
      <w:r w:rsidR="00837FAE" w:rsidRPr="0039277D">
        <w:rPr>
          <w:lang w:val="fr-FR"/>
        </w:rPr>
        <w:t xml:space="preserve">Interdiction de transporter des batteries au lithium ionique en tant </w:t>
      </w:r>
      <w:r w:rsidR="00837FAE">
        <w:rPr>
          <w:lang w:val="fr-FR"/>
        </w:rPr>
        <w:br/>
      </w:r>
      <w:r w:rsidR="00837FAE" w:rsidRPr="0039277D">
        <w:rPr>
          <w:lang w:val="fr-FR"/>
        </w:rPr>
        <w:t xml:space="preserve">que cargaison à bord des aéronefs de passagers et mesures </w:t>
      </w:r>
      <w:r w:rsidR="00837FAE">
        <w:rPr>
          <w:lang w:val="fr-FR"/>
        </w:rPr>
        <w:br/>
      </w:r>
      <w:r w:rsidR="00837FAE" w:rsidRPr="0039277D">
        <w:rPr>
          <w:lang w:val="fr-FR"/>
        </w:rPr>
        <w:t>d’atténuation supplémentaires pour les aéronefs-cargos</w:t>
      </w:r>
      <w:r w:rsidR="00CD7394">
        <w:rPr>
          <w:lang w:val="fr-FR"/>
        </w:rPr>
        <w:tab/>
      </w:r>
      <w:r w:rsidR="00CD7394">
        <w:rPr>
          <w:lang w:val="fr-FR"/>
        </w:rPr>
        <w:tab/>
      </w:r>
      <w:r w:rsidRPr="0039277D">
        <w:rPr>
          <w:lang w:val="fr-FR"/>
        </w:rPr>
        <w:t>72</w:t>
      </w:r>
      <w:r w:rsidR="008D1FF7">
        <w:rPr>
          <w:lang w:val="fr-FR"/>
        </w:rPr>
        <w:t>-</w:t>
      </w:r>
      <w:r w:rsidRPr="0039277D">
        <w:rPr>
          <w:lang w:val="fr-FR"/>
        </w:rPr>
        <w:t>73</w:t>
      </w:r>
      <w:r w:rsidRPr="0039277D">
        <w:rPr>
          <w:lang w:val="fr-FR"/>
        </w:rPr>
        <w:tab/>
      </w:r>
      <w:r w:rsidR="00837FAE">
        <w:rPr>
          <w:lang w:val="fr-FR"/>
        </w:rPr>
        <w:t>19</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3.</w:t>
      </w:r>
      <w:r w:rsidRPr="0039277D">
        <w:rPr>
          <w:lang w:val="fr-FR"/>
        </w:rPr>
        <w:tab/>
      </w:r>
      <w:r w:rsidR="006F11CE" w:rsidRPr="0039277D">
        <w:rPr>
          <w:lang w:val="fr-FR"/>
        </w:rPr>
        <w:t xml:space="preserve">Nouvelles rubriques pour les piles ou batteries au lithium employées </w:t>
      </w:r>
      <w:r w:rsidR="006F11CE" w:rsidRPr="0039277D">
        <w:rPr>
          <w:lang w:val="fr-FR"/>
        </w:rPr>
        <w:br/>
        <w:t>dans des dispositifs médicaux</w:t>
      </w:r>
      <w:r w:rsidRPr="0039277D">
        <w:rPr>
          <w:lang w:val="fr-FR"/>
        </w:rPr>
        <w:tab/>
      </w:r>
      <w:r w:rsidRPr="0039277D">
        <w:rPr>
          <w:lang w:val="fr-FR"/>
        </w:rPr>
        <w:tab/>
        <w:t>74</w:t>
      </w:r>
      <w:r w:rsidRPr="0039277D">
        <w:rPr>
          <w:lang w:val="fr-FR"/>
        </w:rPr>
        <w:tab/>
      </w:r>
      <w:r w:rsidR="006F11CE">
        <w:rPr>
          <w:lang w:val="fr-FR"/>
        </w:rPr>
        <w:t>20</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4.</w:t>
      </w:r>
      <w:r w:rsidRPr="0039277D">
        <w:rPr>
          <w:lang w:val="fr-FR"/>
        </w:rPr>
        <w:tab/>
      </w:r>
      <w:r w:rsidR="006F11CE" w:rsidRPr="0039277D">
        <w:rPr>
          <w:lang w:val="fr-FR"/>
        </w:rPr>
        <w:t xml:space="preserve">Précisions concernant l’expédition des colis de batteries au lithium </w:t>
      </w:r>
      <w:r w:rsidR="006F11CE">
        <w:rPr>
          <w:lang w:val="fr-FR"/>
        </w:rPr>
        <w:br/>
      </w:r>
      <w:r w:rsidR="006F11CE" w:rsidRPr="0039277D">
        <w:rPr>
          <w:lang w:val="fr-FR"/>
        </w:rPr>
        <w:t>préparés</w:t>
      </w:r>
      <w:r w:rsidR="006F11CE">
        <w:rPr>
          <w:lang w:val="fr-FR"/>
        </w:rPr>
        <w:t xml:space="preserve"> </w:t>
      </w:r>
      <w:r w:rsidR="006F11CE" w:rsidRPr="0039277D">
        <w:rPr>
          <w:lang w:val="fr-FR"/>
        </w:rPr>
        <w:t xml:space="preserve">pour le transport conformément aux dispositions de </w:t>
      </w:r>
      <w:r w:rsidR="006F11CE">
        <w:rPr>
          <w:lang w:val="fr-FR"/>
        </w:rPr>
        <w:br/>
      </w:r>
      <w:r w:rsidR="006F11CE" w:rsidRPr="0039277D">
        <w:rPr>
          <w:lang w:val="fr-FR"/>
        </w:rPr>
        <w:t>la section IB des instructions d’emballage 965 ou 968 de l’OACI</w:t>
      </w:r>
      <w:r w:rsidRPr="0039277D">
        <w:rPr>
          <w:lang w:val="fr-FR"/>
        </w:rPr>
        <w:tab/>
      </w:r>
      <w:r w:rsidRPr="0039277D">
        <w:rPr>
          <w:lang w:val="fr-FR"/>
        </w:rPr>
        <w:tab/>
        <w:t>75</w:t>
      </w:r>
      <w:r w:rsidR="008D1FF7">
        <w:rPr>
          <w:lang w:val="fr-FR"/>
        </w:rPr>
        <w:t>-</w:t>
      </w:r>
      <w:r w:rsidRPr="0039277D">
        <w:rPr>
          <w:lang w:val="fr-FR"/>
        </w:rPr>
        <w:t>77</w:t>
      </w:r>
      <w:r w:rsidRPr="0039277D">
        <w:rPr>
          <w:lang w:val="fr-FR"/>
        </w:rPr>
        <w:tab/>
      </w:r>
      <w:r w:rsidR="006F11CE">
        <w:rPr>
          <w:lang w:val="fr-FR"/>
        </w:rPr>
        <w:t>20</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5.</w:t>
      </w:r>
      <w:r w:rsidRPr="0039277D">
        <w:rPr>
          <w:lang w:val="fr-FR"/>
        </w:rPr>
        <w:tab/>
      </w:r>
      <w:r w:rsidR="006F11CE" w:rsidRPr="0039277D">
        <w:rPr>
          <w:lang w:val="fr-FR"/>
        </w:rPr>
        <w:t>Emballage des batteries au lithium endommagées ou défectueuses</w:t>
      </w:r>
      <w:r w:rsidRPr="0039277D">
        <w:rPr>
          <w:lang w:val="fr-FR"/>
        </w:rPr>
        <w:tab/>
      </w:r>
      <w:r w:rsidRPr="0039277D">
        <w:rPr>
          <w:lang w:val="fr-FR"/>
        </w:rPr>
        <w:tab/>
        <w:t>78</w:t>
      </w:r>
      <w:r w:rsidR="008D1FF7">
        <w:rPr>
          <w:lang w:val="fr-FR"/>
        </w:rPr>
        <w:t>-</w:t>
      </w:r>
      <w:r w:rsidRPr="0039277D">
        <w:rPr>
          <w:lang w:val="fr-FR"/>
        </w:rPr>
        <w:t>79</w:t>
      </w:r>
      <w:r w:rsidRPr="0039277D">
        <w:rPr>
          <w:lang w:val="fr-FR"/>
        </w:rPr>
        <w:tab/>
      </w:r>
      <w:r w:rsidR="006F11CE">
        <w:rPr>
          <w:lang w:val="fr-FR"/>
        </w:rPr>
        <w:t>20</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6.</w:t>
      </w:r>
      <w:r w:rsidRPr="0039277D">
        <w:rPr>
          <w:lang w:val="fr-FR"/>
        </w:rPr>
        <w:tab/>
      </w:r>
      <w:r w:rsidR="006F11CE" w:rsidRPr="0039277D">
        <w:rPr>
          <w:lang w:val="fr-FR"/>
        </w:rPr>
        <w:t xml:space="preserve">Dispositions et exemptions applicables aux piles et batteries </w:t>
      </w:r>
      <w:r w:rsidR="006F11CE" w:rsidRPr="0039277D">
        <w:rPr>
          <w:lang w:val="fr-FR"/>
        </w:rPr>
        <w:br/>
        <w:t>au lithium métal de type bouton</w:t>
      </w:r>
      <w:r w:rsidRPr="0039277D">
        <w:rPr>
          <w:lang w:val="fr-FR"/>
        </w:rPr>
        <w:tab/>
      </w:r>
      <w:r w:rsidRPr="0039277D">
        <w:rPr>
          <w:lang w:val="fr-FR"/>
        </w:rPr>
        <w:tab/>
        <w:t>80</w:t>
      </w:r>
      <w:r w:rsidR="008D1FF7">
        <w:rPr>
          <w:lang w:val="fr-FR"/>
        </w:rPr>
        <w:t>-</w:t>
      </w:r>
      <w:r w:rsidRPr="0039277D">
        <w:rPr>
          <w:lang w:val="fr-FR"/>
        </w:rPr>
        <w:t>81</w:t>
      </w:r>
      <w:r w:rsidRPr="0039277D">
        <w:rPr>
          <w:lang w:val="fr-FR"/>
        </w:rPr>
        <w:tab/>
      </w:r>
      <w:r w:rsidR="006F11CE">
        <w:rPr>
          <w:lang w:val="fr-FR"/>
        </w:rPr>
        <w:t>21</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7.</w:t>
      </w:r>
      <w:r w:rsidRPr="0039277D">
        <w:rPr>
          <w:lang w:val="fr-FR"/>
        </w:rPr>
        <w:tab/>
      </w:r>
      <w:r w:rsidR="006F11CE" w:rsidRPr="0039277D">
        <w:rPr>
          <w:lang w:val="fr-FR"/>
        </w:rPr>
        <w:t>Transport de batteries au lithium endommagées et/ou défectueuses</w:t>
      </w:r>
      <w:r w:rsidRPr="0039277D">
        <w:rPr>
          <w:lang w:val="fr-FR"/>
        </w:rPr>
        <w:tab/>
      </w:r>
      <w:r w:rsidRPr="0039277D">
        <w:rPr>
          <w:lang w:val="fr-FR"/>
        </w:rPr>
        <w:tab/>
        <w:t>82</w:t>
      </w:r>
      <w:r w:rsidR="008D1FF7">
        <w:rPr>
          <w:lang w:val="fr-FR"/>
        </w:rPr>
        <w:t>-</w:t>
      </w:r>
      <w:r w:rsidRPr="0039277D">
        <w:rPr>
          <w:lang w:val="fr-FR"/>
        </w:rPr>
        <w:t>84</w:t>
      </w:r>
      <w:r w:rsidRPr="0039277D">
        <w:rPr>
          <w:lang w:val="fr-FR"/>
        </w:rPr>
        <w:tab/>
      </w:r>
      <w:r w:rsidR="006F11CE">
        <w:rPr>
          <w:lang w:val="fr-FR"/>
        </w:rPr>
        <w:t>21</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8.</w:t>
      </w:r>
      <w:r w:rsidRPr="0039277D">
        <w:rPr>
          <w:lang w:val="fr-FR"/>
        </w:rPr>
        <w:tab/>
      </w:r>
      <w:r w:rsidR="006F11CE" w:rsidRPr="0039277D">
        <w:rPr>
          <w:lang w:val="fr-FR"/>
        </w:rPr>
        <w:t>Batteries au lithium équipant des engins de transport fermés</w:t>
      </w:r>
      <w:r w:rsidRPr="0039277D">
        <w:rPr>
          <w:lang w:val="fr-FR"/>
        </w:rPr>
        <w:tab/>
      </w:r>
      <w:r w:rsidRPr="0039277D">
        <w:rPr>
          <w:lang w:val="fr-FR"/>
        </w:rPr>
        <w:tab/>
        <w:t>85</w:t>
      </w:r>
      <w:r w:rsidRPr="0039277D">
        <w:rPr>
          <w:lang w:val="fr-FR"/>
        </w:rPr>
        <w:tab/>
      </w:r>
      <w:r w:rsidR="006F11CE">
        <w:rPr>
          <w:lang w:val="fr-FR"/>
        </w:rPr>
        <w:t>21</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9.</w:t>
      </w:r>
      <w:r w:rsidRPr="0039277D">
        <w:rPr>
          <w:lang w:val="fr-FR"/>
        </w:rPr>
        <w:tab/>
      </w:r>
      <w:r w:rsidR="006F11CE" w:rsidRPr="0039277D">
        <w:rPr>
          <w:lang w:val="fr-FR"/>
        </w:rPr>
        <w:t xml:space="preserve">Grands emballages pour batteries au lithium de petites productions </w:t>
      </w:r>
      <w:r w:rsidR="006F11CE" w:rsidRPr="0039277D">
        <w:rPr>
          <w:lang w:val="fr-FR"/>
        </w:rPr>
        <w:br/>
        <w:t>ou de prototypes de batteries au lithium</w:t>
      </w:r>
      <w:r w:rsidRPr="0039277D">
        <w:rPr>
          <w:lang w:val="fr-FR"/>
        </w:rPr>
        <w:tab/>
      </w:r>
      <w:r w:rsidRPr="0039277D">
        <w:rPr>
          <w:lang w:val="fr-FR"/>
        </w:rPr>
        <w:tab/>
        <w:t>86</w:t>
      </w:r>
      <w:r w:rsidRPr="0039277D">
        <w:rPr>
          <w:lang w:val="fr-FR"/>
        </w:rPr>
        <w:tab/>
      </w:r>
      <w:r w:rsidR="006F11CE">
        <w:rPr>
          <w:lang w:val="fr-FR"/>
        </w:rPr>
        <w:t>21</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10.</w:t>
      </w:r>
      <w:r w:rsidRPr="0039277D">
        <w:rPr>
          <w:lang w:val="fr-FR"/>
        </w:rPr>
        <w:tab/>
      </w:r>
      <w:r w:rsidR="006F11CE" w:rsidRPr="0039277D">
        <w:rPr>
          <w:lang w:val="fr-FR"/>
        </w:rPr>
        <w:t xml:space="preserve">Engins de transport équipés de dispositifs de localisation de conteneur </w:t>
      </w:r>
      <w:r w:rsidR="006F11CE">
        <w:rPr>
          <w:lang w:val="fr-FR"/>
        </w:rPr>
        <w:br/>
      </w:r>
      <w:r w:rsidR="006F11CE" w:rsidRPr="0039277D">
        <w:rPr>
          <w:lang w:val="fr-FR"/>
        </w:rPr>
        <w:t>contenant des batteries au lithium</w:t>
      </w:r>
      <w:r w:rsidRPr="0039277D">
        <w:rPr>
          <w:lang w:val="fr-FR"/>
        </w:rPr>
        <w:tab/>
      </w:r>
      <w:r w:rsidRPr="0039277D">
        <w:rPr>
          <w:lang w:val="fr-FR"/>
        </w:rPr>
        <w:tab/>
        <w:t>87</w:t>
      </w:r>
      <w:r w:rsidRPr="0039277D">
        <w:rPr>
          <w:lang w:val="fr-FR"/>
        </w:rPr>
        <w:tab/>
      </w:r>
      <w:r w:rsidR="006F11CE">
        <w:rPr>
          <w:lang w:val="fr-FR"/>
        </w:rPr>
        <w:t>22</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11.</w:t>
      </w:r>
      <w:r w:rsidRPr="0039277D">
        <w:rPr>
          <w:lang w:val="fr-FR"/>
        </w:rPr>
        <w:tab/>
      </w:r>
      <w:r w:rsidR="006F11CE" w:rsidRPr="0039277D">
        <w:rPr>
          <w:lang w:val="fr-FR"/>
        </w:rPr>
        <w:t xml:space="preserve">Modification des dispositions spéciales concernant </w:t>
      </w:r>
      <w:r w:rsidR="006F11CE">
        <w:rPr>
          <w:lang w:val="fr-FR"/>
        </w:rPr>
        <w:br/>
      </w:r>
      <w:r w:rsidR="006F11CE" w:rsidRPr="0039277D">
        <w:rPr>
          <w:lang w:val="fr-FR"/>
        </w:rPr>
        <w:t>le transport de véhicules</w:t>
      </w:r>
      <w:r w:rsidRPr="0039277D">
        <w:rPr>
          <w:lang w:val="fr-FR"/>
        </w:rPr>
        <w:tab/>
      </w:r>
      <w:r w:rsidRPr="0039277D">
        <w:rPr>
          <w:lang w:val="fr-FR"/>
        </w:rPr>
        <w:tab/>
        <w:t>88</w:t>
      </w:r>
      <w:r w:rsidR="008D1FF7">
        <w:rPr>
          <w:lang w:val="fr-FR"/>
        </w:rPr>
        <w:t>-</w:t>
      </w:r>
      <w:r w:rsidRPr="0039277D">
        <w:rPr>
          <w:lang w:val="fr-FR"/>
        </w:rPr>
        <w:t>90</w:t>
      </w:r>
      <w:r w:rsidRPr="0039277D">
        <w:rPr>
          <w:lang w:val="fr-FR"/>
        </w:rPr>
        <w:tab/>
      </w:r>
      <w:r w:rsidR="006F11CE">
        <w:rPr>
          <w:lang w:val="fr-FR"/>
        </w:rPr>
        <w:t>22</w:t>
      </w:r>
    </w:p>
    <w:p w:rsidR="00D80597" w:rsidRPr="0039277D" w:rsidRDefault="00D80597" w:rsidP="00E12FEC">
      <w:pPr>
        <w:keepNext/>
        <w:tabs>
          <w:tab w:val="right" w:pos="850"/>
          <w:tab w:val="right" w:leader="dot" w:pos="7654"/>
          <w:tab w:val="right" w:pos="8929"/>
          <w:tab w:val="right" w:pos="9638"/>
        </w:tabs>
        <w:spacing w:after="120"/>
        <w:ind w:left="1134" w:hanging="1134"/>
        <w:rPr>
          <w:lang w:val="fr-FR"/>
        </w:rPr>
      </w:pPr>
      <w:r w:rsidRPr="0039277D">
        <w:rPr>
          <w:lang w:val="fr-FR"/>
        </w:rPr>
        <w:tab/>
        <w:t>VI.</w:t>
      </w:r>
      <w:r w:rsidRPr="0039277D">
        <w:rPr>
          <w:lang w:val="fr-FR"/>
        </w:rPr>
        <w:tab/>
      </w:r>
      <w:r w:rsidR="006F11CE" w:rsidRPr="0039277D">
        <w:rPr>
          <w:lang w:val="fr-FR"/>
        </w:rPr>
        <w:t>Transport de gaz (point 5 de l’ordre du jour)</w:t>
      </w:r>
      <w:r w:rsidRPr="0039277D">
        <w:rPr>
          <w:lang w:val="fr-FR"/>
        </w:rPr>
        <w:tab/>
      </w:r>
      <w:r w:rsidRPr="0039277D">
        <w:rPr>
          <w:lang w:val="fr-FR"/>
        </w:rPr>
        <w:tab/>
        <w:t>91</w:t>
      </w:r>
      <w:r w:rsidR="008D1FF7">
        <w:rPr>
          <w:lang w:val="fr-FR"/>
        </w:rPr>
        <w:t>-</w:t>
      </w:r>
      <w:r w:rsidRPr="0039277D">
        <w:rPr>
          <w:lang w:val="fr-FR"/>
        </w:rPr>
        <w:t>98</w:t>
      </w:r>
      <w:r w:rsidRPr="0039277D">
        <w:rPr>
          <w:lang w:val="fr-FR"/>
        </w:rPr>
        <w:tab/>
      </w:r>
      <w:r w:rsidR="006F11CE">
        <w:rPr>
          <w:lang w:val="fr-FR"/>
        </w:rPr>
        <w:t>22</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A.</w:t>
      </w:r>
      <w:r w:rsidRPr="0039277D">
        <w:rPr>
          <w:lang w:val="fr-FR"/>
        </w:rPr>
        <w:tab/>
      </w:r>
      <w:r w:rsidR="006F11CE" w:rsidRPr="0039277D">
        <w:rPr>
          <w:lang w:val="fr-FR"/>
        </w:rPr>
        <w:t>Reconnaissance universelle des récipients à pression ONU et non-ONU</w:t>
      </w:r>
      <w:r w:rsidRPr="0039277D">
        <w:rPr>
          <w:lang w:val="fr-FR"/>
        </w:rPr>
        <w:tab/>
      </w:r>
      <w:r w:rsidRPr="0039277D">
        <w:rPr>
          <w:lang w:val="fr-FR"/>
        </w:rPr>
        <w:tab/>
        <w:t>91</w:t>
      </w:r>
      <w:r w:rsidRPr="0039277D">
        <w:rPr>
          <w:lang w:val="fr-FR"/>
        </w:rPr>
        <w:tab/>
      </w:r>
      <w:r w:rsidR="006F11CE">
        <w:rPr>
          <w:lang w:val="fr-FR"/>
        </w:rPr>
        <w:t>22</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B.</w:t>
      </w:r>
      <w:r w:rsidRPr="0039277D">
        <w:rPr>
          <w:lang w:val="fr-FR"/>
        </w:rPr>
        <w:tab/>
      </w:r>
      <w:r w:rsidR="006F11CE" w:rsidRPr="0039277D">
        <w:rPr>
          <w:lang w:val="fr-FR"/>
        </w:rPr>
        <w:t>Divers</w:t>
      </w:r>
      <w:r w:rsidRPr="0039277D">
        <w:rPr>
          <w:lang w:val="fr-FR"/>
        </w:rPr>
        <w:tab/>
      </w:r>
      <w:r w:rsidRPr="0039277D">
        <w:rPr>
          <w:lang w:val="fr-FR"/>
        </w:rPr>
        <w:tab/>
        <w:t>92</w:t>
      </w:r>
      <w:r w:rsidR="008D1FF7">
        <w:rPr>
          <w:lang w:val="fr-FR"/>
        </w:rPr>
        <w:t>-</w:t>
      </w:r>
      <w:r w:rsidRPr="0039277D">
        <w:rPr>
          <w:lang w:val="fr-FR"/>
        </w:rPr>
        <w:t>98</w:t>
      </w:r>
      <w:r w:rsidRPr="0039277D">
        <w:rPr>
          <w:lang w:val="fr-FR"/>
        </w:rPr>
        <w:tab/>
      </w:r>
      <w:r w:rsidR="006F11CE">
        <w:rPr>
          <w:lang w:val="fr-FR"/>
        </w:rPr>
        <w:t>22</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1.</w:t>
      </w:r>
      <w:r w:rsidRPr="0039277D">
        <w:rPr>
          <w:lang w:val="fr-FR"/>
        </w:rPr>
        <w:tab/>
      </w:r>
      <w:r w:rsidR="006F11CE" w:rsidRPr="0039277D">
        <w:rPr>
          <w:lang w:val="fr-FR"/>
        </w:rPr>
        <w:t>Transport de réservoirs à gaz destinés aux véhicules automobiles</w:t>
      </w:r>
      <w:r w:rsidRPr="0039277D">
        <w:rPr>
          <w:lang w:val="fr-FR"/>
        </w:rPr>
        <w:tab/>
      </w:r>
      <w:r w:rsidRPr="0039277D">
        <w:rPr>
          <w:lang w:val="fr-FR"/>
        </w:rPr>
        <w:tab/>
        <w:t>92</w:t>
      </w:r>
      <w:r w:rsidR="008D1FF7">
        <w:rPr>
          <w:lang w:val="fr-FR"/>
        </w:rPr>
        <w:t>-</w:t>
      </w:r>
      <w:r w:rsidRPr="0039277D">
        <w:rPr>
          <w:lang w:val="fr-FR"/>
        </w:rPr>
        <w:t>94</w:t>
      </w:r>
      <w:r w:rsidRPr="0039277D">
        <w:rPr>
          <w:lang w:val="fr-FR"/>
        </w:rPr>
        <w:tab/>
      </w:r>
      <w:r w:rsidR="006F11CE">
        <w:rPr>
          <w:lang w:val="fr-FR"/>
        </w:rPr>
        <w:t>22</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2.</w:t>
      </w:r>
      <w:r w:rsidRPr="0039277D">
        <w:rPr>
          <w:lang w:val="fr-FR"/>
        </w:rPr>
        <w:tab/>
        <w:t>Ajout de renvois à des normes ISO dans le paragraphe 6.2.2</w:t>
      </w:r>
      <w:r w:rsidRPr="0039277D">
        <w:rPr>
          <w:lang w:val="fr-FR"/>
        </w:rPr>
        <w:tab/>
      </w:r>
      <w:r w:rsidRPr="0039277D">
        <w:rPr>
          <w:lang w:val="fr-FR"/>
        </w:rPr>
        <w:tab/>
        <w:t>95</w:t>
      </w:r>
      <w:r w:rsidRPr="0039277D">
        <w:rPr>
          <w:lang w:val="fr-FR"/>
        </w:rPr>
        <w:tab/>
      </w:r>
      <w:r w:rsidR="006F11CE">
        <w:rPr>
          <w:lang w:val="fr-FR"/>
        </w:rPr>
        <w:t>23</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3.</w:t>
      </w:r>
      <w:r w:rsidRPr="0039277D">
        <w:rPr>
          <w:lang w:val="fr-FR"/>
        </w:rPr>
        <w:tab/>
      </w:r>
      <w:r w:rsidR="006F11CE" w:rsidRPr="0039277D">
        <w:rPr>
          <w:lang w:val="fr-FR"/>
        </w:rPr>
        <w:t xml:space="preserve">Utilisation de fûts à pression à fonds convexes côté pression </w:t>
      </w:r>
      <w:r w:rsidR="006F11CE" w:rsidRPr="0039277D">
        <w:rPr>
          <w:lang w:val="fr-FR"/>
        </w:rPr>
        <w:br/>
        <w:t>pour le transport de gaz corrosifs</w:t>
      </w:r>
      <w:r w:rsidRPr="0039277D">
        <w:rPr>
          <w:lang w:val="fr-FR"/>
        </w:rPr>
        <w:tab/>
      </w:r>
      <w:r w:rsidRPr="0039277D">
        <w:rPr>
          <w:lang w:val="fr-FR"/>
        </w:rPr>
        <w:tab/>
        <w:t>96</w:t>
      </w:r>
      <w:r w:rsidR="008D1FF7">
        <w:rPr>
          <w:lang w:val="fr-FR"/>
        </w:rPr>
        <w:t>-</w:t>
      </w:r>
      <w:r w:rsidRPr="0039277D">
        <w:rPr>
          <w:lang w:val="fr-FR"/>
        </w:rPr>
        <w:t>97</w:t>
      </w:r>
      <w:r w:rsidRPr="0039277D">
        <w:rPr>
          <w:lang w:val="fr-FR"/>
        </w:rPr>
        <w:tab/>
      </w:r>
      <w:r w:rsidR="006F11CE">
        <w:rPr>
          <w:lang w:val="fr-FR"/>
        </w:rPr>
        <w:t>23</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4.</w:t>
      </w:r>
      <w:r w:rsidRPr="0039277D">
        <w:rPr>
          <w:lang w:val="fr-FR"/>
        </w:rPr>
        <w:tab/>
      </w:r>
      <w:r w:rsidR="006F11CE" w:rsidRPr="0039277D">
        <w:rPr>
          <w:lang w:val="fr-FR"/>
        </w:rPr>
        <w:t>Amendement à la prescription d’emballage P206</w:t>
      </w:r>
      <w:r w:rsidRPr="0039277D">
        <w:rPr>
          <w:lang w:val="fr-FR"/>
        </w:rPr>
        <w:tab/>
      </w:r>
      <w:r w:rsidRPr="0039277D">
        <w:rPr>
          <w:lang w:val="fr-FR"/>
        </w:rPr>
        <w:tab/>
        <w:t>98</w:t>
      </w:r>
      <w:r w:rsidRPr="0039277D">
        <w:rPr>
          <w:lang w:val="fr-FR"/>
        </w:rPr>
        <w:tab/>
      </w:r>
      <w:r w:rsidR="006F11CE">
        <w:rPr>
          <w:lang w:val="fr-FR"/>
        </w:rPr>
        <w:t>23</w:t>
      </w:r>
    </w:p>
    <w:p w:rsidR="00D80597" w:rsidRPr="0039277D" w:rsidRDefault="00D80597" w:rsidP="00D80597">
      <w:pPr>
        <w:tabs>
          <w:tab w:val="right" w:pos="850"/>
          <w:tab w:val="right" w:leader="dot" w:pos="7654"/>
          <w:tab w:val="right" w:pos="8929"/>
          <w:tab w:val="right" w:pos="9638"/>
        </w:tabs>
        <w:spacing w:after="120"/>
        <w:ind w:left="1134" w:hanging="1134"/>
        <w:rPr>
          <w:lang w:val="fr-FR"/>
        </w:rPr>
      </w:pPr>
      <w:r w:rsidRPr="0039277D">
        <w:rPr>
          <w:lang w:val="fr-FR"/>
        </w:rPr>
        <w:tab/>
        <w:t>VII.</w:t>
      </w:r>
      <w:r w:rsidRPr="0039277D">
        <w:rPr>
          <w:lang w:val="fr-FR"/>
        </w:rPr>
        <w:tab/>
      </w:r>
      <w:r w:rsidR="006F11CE" w:rsidRPr="0039277D">
        <w:rPr>
          <w:lang w:val="fr-FR"/>
        </w:rPr>
        <w:t xml:space="preserve">Propositions diverses d’amendements au Règlement type relatif au transport </w:t>
      </w:r>
      <w:r w:rsidR="006F11CE">
        <w:rPr>
          <w:lang w:val="fr-FR"/>
        </w:rPr>
        <w:br/>
      </w:r>
      <w:r w:rsidR="006F11CE" w:rsidRPr="0039277D">
        <w:rPr>
          <w:lang w:val="fr-FR"/>
        </w:rPr>
        <w:t>des marchandises dangereuses (point 6 de l’ordre du jour)</w:t>
      </w:r>
      <w:r w:rsidRPr="0039277D">
        <w:rPr>
          <w:lang w:val="fr-FR"/>
        </w:rPr>
        <w:tab/>
      </w:r>
      <w:r w:rsidRPr="0039277D">
        <w:rPr>
          <w:lang w:val="fr-FR"/>
        </w:rPr>
        <w:tab/>
        <w:t>99</w:t>
      </w:r>
      <w:r w:rsidR="008D1FF7">
        <w:rPr>
          <w:lang w:val="fr-FR"/>
        </w:rPr>
        <w:t>-</w:t>
      </w:r>
      <w:r w:rsidRPr="0039277D">
        <w:rPr>
          <w:lang w:val="fr-FR"/>
        </w:rPr>
        <w:t>115</w:t>
      </w:r>
      <w:r w:rsidRPr="0039277D">
        <w:rPr>
          <w:lang w:val="fr-FR"/>
        </w:rPr>
        <w:tab/>
      </w:r>
      <w:r w:rsidR="006F11CE">
        <w:rPr>
          <w:lang w:val="fr-FR"/>
        </w:rPr>
        <w:t>24</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A.</w:t>
      </w:r>
      <w:r w:rsidRPr="0039277D">
        <w:rPr>
          <w:lang w:val="fr-FR"/>
        </w:rPr>
        <w:tab/>
      </w:r>
      <w:r w:rsidR="006F11CE" w:rsidRPr="0039277D">
        <w:rPr>
          <w:lang w:val="fr-FR"/>
        </w:rPr>
        <w:t xml:space="preserve">Marchandises dangereuses contenues dans des machines, </w:t>
      </w:r>
      <w:r w:rsidR="006F11CE" w:rsidRPr="0039277D">
        <w:rPr>
          <w:lang w:val="fr-FR"/>
        </w:rPr>
        <w:br/>
        <w:t>des appareils ou des objets, N.S.A.</w:t>
      </w:r>
      <w:r w:rsidRPr="0039277D">
        <w:rPr>
          <w:lang w:val="fr-FR"/>
        </w:rPr>
        <w:t>.</w:t>
      </w:r>
      <w:r w:rsidRPr="0039277D">
        <w:rPr>
          <w:lang w:val="fr-FR"/>
        </w:rPr>
        <w:tab/>
      </w:r>
      <w:r w:rsidRPr="0039277D">
        <w:rPr>
          <w:lang w:val="fr-FR"/>
        </w:rPr>
        <w:tab/>
        <w:t>99</w:t>
      </w:r>
      <w:r w:rsidR="008D1FF7">
        <w:rPr>
          <w:lang w:val="fr-FR"/>
        </w:rPr>
        <w:t>-</w:t>
      </w:r>
      <w:r w:rsidRPr="0039277D">
        <w:rPr>
          <w:lang w:val="fr-FR"/>
        </w:rPr>
        <w:t>103</w:t>
      </w:r>
      <w:r w:rsidRPr="0039277D">
        <w:rPr>
          <w:lang w:val="fr-FR"/>
        </w:rPr>
        <w:tab/>
      </w:r>
      <w:r w:rsidR="006F11CE">
        <w:rPr>
          <w:lang w:val="fr-FR"/>
        </w:rPr>
        <w:t>24</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1.</w:t>
      </w:r>
      <w:r w:rsidRPr="0039277D">
        <w:rPr>
          <w:lang w:val="fr-FR"/>
        </w:rPr>
        <w:tab/>
      </w:r>
      <w:r w:rsidR="006F11CE" w:rsidRPr="0039277D">
        <w:rPr>
          <w:lang w:val="fr-FR"/>
        </w:rPr>
        <w:t xml:space="preserve">Marchandises dangereuses contenues dans des machines, </w:t>
      </w:r>
      <w:r w:rsidR="006F11CE">
        <w:rPr>
          <w:lang w:val="fr-FR"/>
        </w:rPr>
        <w:br/>
      </w:r>
      <w:r w:rsidR="006F11CE" w:rsidRPr="0039277D">
        <w:rPr>
          <w:lang w:val="fr-FR"/>
        </w:rPr>
        <w:t>des appareils ou des objets, N.S.A.</w:t>
      </w:r>
      <w:r w:rsidRPr="0039277D">
        <w:rPr>
          <w:lang w:val="fr-FR"/>
        </w:rPr>
        <w:tab/>
      </w:r>
      <w:r w:rsidRPr="0039277D">
        <w:rPr>
          <w:lang w:val="fr-FR"/>
        </w:rPr>
        <w:tab/>
        <w:t>99</w:t>
      </w:r>
      <w:r w:rsidRPr="0039277D">
        <w:rPr>
          <w:lang w:val="fr-FR"/>
        </w:rPr>
        <w:tab/>
      </w:r>
      <w:r w:rsidR="006F11CE">
        <w:rPr>
          <w:lang w:val="fr-FR"/>
        </w:rPr>
        <w:t>24</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2.</w:t>
      </w:r>
      <w:r w:rsidRPr="0039277D">
        <w:rPr>
          <w:lang w:val="fr-FR"/>
        </w:rPr>
        <w:tab/>
      </w:r>
      <w:r w:rsidR="006F11CE" w:rsidRPr="0039277D">
        <w:rPr>
          <w:lang w:val="fr-FR"/>
        </w:rPr>
        <w:t xml:space="preserve">Précisions concernant la disposition spéciale 363 </w:t>
      </w:r>
      <w:r w:rsidR="006F11CE">
        <w:rPr>
          <w:lang w:val="fr-FR"/>
        </w:rPr>
        <w:br/>
      </w:r>
      <w:r w:rsidR="006F11CE" w:rsidRPr="0039277D">
        <w:rPr>
          <w:lang w:val="fr-FR"/>
        </w:rPr>
        <w:t>et l’instruction d’emballage P005</w:t>
      </w:r>
      <w:r w:rsidRPr="0039277D">
        <w:rPr>
          <w:lang w:val="fr-FR"/>
        </w:rPr>
        <w:tab/>
      </w:r>
      <w:r w:rsidRPr="0039277D">
        <w:rPr>
          <w:lang w:val="fr-FR"/>
        </w:rPr>
        <w:tab/>
        <w:t>100</w:t>
      </w:r>
      <w:r w:rsidRPr="0039277D">
        <w:rPr>
          <w:lang w:val="fr-FR"/>
        </w:rPr>
        <w:tab/>
      </w:r>
      <w:r w:rsidR="006F11CE">
        <w:rPr>
          <w:lang w:val="fr-FR"/>
        </w:rPr>
        <w:t>24</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3.</w:t>
      </w:r>
      <w:r w:rsidRPr="0039277D">
        <w:rPr>
          <w:lang w:val="fr-FR"/>
        </w:rPr>
        <w:tab/>
      </w:r>
      <w:r w:rsidR="006F11CE" w:rsidRPr="0039277D">
        <w:rPr>
          <w:lang w:val="fr-FR"/>
        </w:rPr>
        <w:t>Champ d’application de la disposition spéciale 363</w:t>
      </w:r>
      <w:r w:rsidRPr="0039277D">
        <w:rPr>
          <w:lang w:val="fr-FR"/>
        </w:rPr>
        <w:tab/>
      </w:r>
      <w:r w:rsidRPr="0039277D">
        <w:rPr>
          <w:lang w:val="fr-FR"/>
        </w:rPr>
        <w:tab/>
        <w:t>101</w:t>
      </w:r>
      <w:r w:rsidR="008D1FF7">
        <w:rPr>
          <w:lang w:val="fr-FR"/>
        </w:rPr>
        <w:t>-</w:t>
      </w:r>
      <w:r w:rsidRPr="0039277D">
        <w:rPr>
          <w:lang w:val="fr-FR"/>
        </w:rPr>
        <w:t>103</w:t>
      </w:r>
      <w:r w:rsidRPr="0039277D">
        <w:rPr>
          <w:lang w:val="fr-FR"/>
        </w:rPr>
        <w:tab/>
      </w:r>
      <w:r w:rsidR="006F11CE">
        <w:rPr>
          <w:lang w:val="fr-FR"/>
        </w:rPr>
        <w:t>24</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B.</w:t>
      </w:r>
      <w:r w:rsidRPr="0039277D">
        <w:rPr>
          <w:lang w:val="fr-FR"/>
        </w:rPr>
        <w:tab/>
      </w:r>
      <w:r w:rsidR="00A1358D" w:rsidRPr="0039277D">
        <w:rPr>
          <w:lang w:val="fr-FR"/>
        </w:rPr>
        <w:t>Marquage et étiquetage</w:t>
      </w:r>
      <w:r w:rsidRPr="0039277D">
        <w:rPr>
          <w:lang w:val="fr-FR"/>
        </w:rPr>
        <w:tab/>
      </w:r>
      <w:r w:rsidRPr="0039277D">
        <w:rPr>
          <w:lang w:val="fr-FR"/>
        </w:rPr>
        <w:tab/>
        <w:t>104</w:t>
      </w:r>
      <w:r w:rsidR="008D1FF7">
        <w:rPr>
          <w:lang w:val="fr-FR"/>
        </w:rPr>
        <w:t>-</w:t>
      </w:r>
      <w:r w:rsidRPr="0039277D">
        <w:rPr>
          <w:lang w:val="fr-FR"/>
        </w:rPr>
        <w:t>105</w:t>
      </w:r>
      <w:r w:rsidRPr="0039277D">
        <w:rPr>
          <w:lang w:val="fr-FR"/>
        </w:rPr>
        <w:tab/>
      </w:r>
      <w:r w:rsidR="00A1358D">
        <w:rPr>
          <w:lang w:val="fr-FR"/>
        </w:rPr>
        <w:t>25</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1.</w:t>
      </w:r>
      <w:r w:rsidRPr="0039277D">
        <w:rPr>
          <w:lang w:val="fr-FR"/>
        </w:rPr>
        <w:tab/>
      </w:r>
      <w:r w:rsidR="00A1358D" w:rsidRPr="0039277D">
        <w:rPr>
          <w:lang w:val="fr-FR"/>
        </w:rPr>
        <w:t xml:space="preserve">Prescriptions relatives à la communication des dangers </w:t>
      </w:r>
      <w:r w:rsidR="00A1358D">
        <w:rPr>
          <w:lang w:val="fr-FR"/>
        </w:rPr>
        <w:br/>
      </w:r>
      <w:r w:rsidR="00A1358D" w:rsidRPr="0039277D">
        <w:rPr>
          <w:lang w:val="fr-FR"/>
        </w:rPr>
        <w:t>concernant les conteneurs pour vrac</w:t>
      </w:r>
      <w:r w:rsidRPr="0039277D">
        <w:rPr>
          <w:lang w:val="fr-FR"/>
        </w:rPr>
        <w:tab/>
      </w:r>
      <w:r w:rsidRPr="0039277D">
        <w:rPr>
          <w:lang w:val="fr-FR"/>
        </w:rPr>
        <w:tab/>
        <w:t>104</w:t>
      </w:r>
      <w:r w:rsidRPr="0039277D">
        <w:rPr>
          <w:lang w:val="fr-FR"/>
        </w:rPr>
        <w:tab/>
      </w:r>
      <w:r w:rsidR="00A1358D">
        <w:rPr>
          <w:lang w:val="fr-FR"/>
        </w:rPr>
        <w:t>25</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2.</w:t>
      </w:r>
      <w:r w:rsidRPr="0039277D">
        <w:rPr>
          <w:lang w:val="fr-FR"/>
        </w:rPr>
        <w:tab/>
      </w:r>
      <w:r w:rsidR="00A1358D" w:rsidRPr="0039277D">
        <w:rPr>
          <w:lang w:val="fr-FR"/>
        </w:rPr>
        <w:t>Conception de la marque pour les batteries au lithium</w:t>
      </w:r>
      <w:r w:rsidRPr="0039277D">
        <w:rPr>
          <w:lang w:val="fr-FR"/>
        </w:rPr>
        <w:tab/>
      </w:r>
      <w:r w:rsidRPr="0039277D">
        <w:rPr>
          <w:lang w:val="fr-FR"/>
        </w:rPr>
        <w:tab/>
        <w:t>105</w:t>
      </w:r>
      <w:r w:rsidRPr="0039277D">
        <w:rPr>
          <w:lang w:val="fr-FR"/>
        </w:rPr>
        <w:tab/>
      </w:r>
      <w:r w:rsidR="00A1358D">
        <w:rPr>
          <w:lang w:val="fr-FR"/>
        </w:rPr>
        <w:t>25</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C.</w:t>
      </w:r>
      <w:r w:rsidRPr="0039277D">
        <w:rPr>
          <w:lang w:val="fr-FR"/>
        </w:rPr>
        <w:tab/>
      </w:r>
      <w:r w:rsidR="00A1358D" w:rsidRPr="0039277D">
        <w:rPr>
          <w:lang w:val="fr-FR"/>
        </w:rPr>
        <w:t>Emballages</w:t>
      </w:r>
      <w:r w:rsidR="00CD7394">
        <w:rPr>
          <w:lang w:val="fr-FR"/>
        </w:rPr>
        <w:tab/>
      </w:r>
      <w:r w:rsidR="00CD7394">
        <w:rPr>
          <w:lang w:val="fr-FR"/>
        </w:rPr>
        <w:tab/>
      </w:r>
      <w:r w:rsidRPr="0039277D">
        <w:rPr>
          <w:lang w:val="fr-FR"/>
        </w:rPr>
        <w:t>106</w:t>
      </w:r>
      <w:r w:rsidR="008D1FF7">
        <w:rPr>
          <w:lang w:val="fr-FR"/>
        </w:rPr>
        <w:t>-</w:t>
      </w:r>
      <w:r w:rsidRPr="0039277D">
        <w:rPr>
          <w:lang w:val="fr-FR"/>
        </w:rPr>
        <w:t>107</w:t>
      </w:r>
      <w:r w:rsidRPr="0039277D">
        <w:rPr>
          <w:lang w:val="fr-FR"/>
        </w:rPr>
        <w:tab/>
      </w:r>
      <w:r w:rsidR="00A1358D">
        <w:rPr>
          <w:lang w:val="fr-FR"/>
        </w:rPr>
        <w:t>25</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1.</w:t>
      </w:r>
      <w:r w:rsidRPr="0039277D">
        <w:rPr>
          <w:lang w:val="fr-FR"/>
        </w:rPr>
        <w:tab/>
      </w:r>
      <w:r w:rsidR="00A1358D" w:rsidRPr="0039277D">
        <w:rPr>
          <w:lang w:val="fr-FR"/>
        </w:rPr>
        <w:t>Épreuves sur modèle type pour les GRV</w:t>
      </w:r>
      <w:r w:rsidRPr="0039277D">
        <w:rPr>
          <w:lang w:val="fr-FR"/>
        </w:rPr>
        <w:tab/>
      </w:r>
      <w:r w:rsidRPr="0039277D">
        <w:rPr>
          <w:lang w:val="fr-FR"/>
        </w:rPr>
        <w:tab/>
        <w:t>106</w:t>
      </w:r>
      <w:r w:rsidRPr="0039277D">
        <w:rPr>
          <w:lang w:val="fr-FR"/>
        </w:rPr>
        <w:tab/>
      </w:r>
      <w:r w:rsidR="00A1358D">
        <w:rPr>
          <w:lang w:val="fr-FR"/>
        </w:rPr>
        <w:t>25</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2.</w:t>
      </w:r>
      <w:r w:rsidRPr="0039277D">
        <w:rPr>
          <w:lang w:val="fr-FR"/>
        </w:rPr>
        <w:tab/>
      </w:r>
      <w:r w:rsidR="00A1358D" w:rsidRPr="0039277D">
        <w:rPr>
          <w:lang w:val="fr-FR"/>
        </w:rPr>
        <w:t xml:space="preserve">Température de l’eau lors de l’épreuve de pression interne (hydraulique) </w:t>
      </w:r>
      <w:r w:rsidR="00A1358D" w:rsidRPr="0039277D">
        <w:rPr>
          <w:lang w:val="fr-FR"/>
        </w:rPr>
        <w:br/>
        <w:t xml:space="preserve">applicable aux emballages en plastique, aux emballages composites </w:t>
      </w:r>
      <w:r w:rsidR="00A1358D">
        <w:rPr>
          <w:lang w:val="fr-FR"/>
        </w:rPr>
        <w:br/>
      </w:r>
      <w:r w:rsidR="00A1358D" w:rsidRPr="0039277D">
        <w:rPr>
          <w:lang w:val="fr-FR"/>
        </w:rPr>
        <w:t xml:space="preserve">(avec récipient en plastique) aux GRV en plastique ou composites </w:t>
      </w:r>
      <w:r w:rsidR="00A1358D">
        <w:rPr>
          <w:lang w:val="fr-FR"/>
        </w:rPr>
        <w:br/>
      </w:r>
      <w:r w:rsidR="00A1358D" w:rsidRPr="0039277D">
        <w:rPr>
          <w:lang w:val="fr-FR"/>
        </w:rPr>
        <w:t>(avec récipient intérieur en plastique)</w:t>
      </w:r>
      <w:r w:rsidRPr="0039277D">
        <w:rPr>
          <w:lang w:val="fr-FR"/>
        </w:rPr>
        <w:tab/>
      </w:r>
      <w:r w:rsidRPr="0039277D">
        <w:rPr>
          <w:lang w:val="fr-FR"/>
        </w:rPr>
        <w:tab/>
        <w:t>107</w:t>
      </w:r>
      <w:r w:rsidRPr="0039277D">
        <w:rPr>
          <w:lang w:val="fr-FR"/>
        </w:rPr>
        <w:tab/>
      </w:r>
      <w:r w:rsidR="00A1358D">
        <w:rPr>
          <w:lang w:val="fr-FR"/>
        </w:rPr>
        <w:t>25</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D.</w:t>
      </w:r>
      <w:r w:rsidRPr="0039277D">
        <w:rPr>
          <w:lang w:val="fr-FR"/>
        </w:rPr>
        <w:tab/>
      </w:r>
      <w:r w:rsidR="00A1358D" w:rsidRPr="0039277D">
        <w:rPr>
          <w:lang w:val="fr-FR"/>
        </w:rPr>
        <w:t>Citernes mobiles</w:t>
      </w:r>
      <w:r w:rsidRPr="0039277D">
        <w:rPr>
          <w:lang w:val="fr-FR"/>
        </w:rPr>
        <w:tab/>
      </w:r>
      <w:r w:rsidRPr="0039277D">
        <w:rPr>
          <w:lang w:val="fr-FR"/>
        </w:rPr>
        <w:tab/>
        <w:t>108</w:t>
      </w:r>
      <w:r w:rsidRPr="0039277D">
        <w:rPr>
          <w:lang w:val="fr-FR"/>
        </w:rPr>
        <w:tab/>
      </w:r>
      <w:r w:rsidR="00A1358D">
        <w:rPr>
          <w:lang w:val="fr-FR"/>
        </w:rPr>
        <w:t>26</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E.</w:t>
      </w:r>
      <w:r w:rsidRPr="0039277D">
        <w:rPr>
          <w:lang w:val="fr-FR"/>
        </w:rPr>
        <w:tab/>
      </w:r>
      <w:r w:rsidR="00A1358D" w:rsidRPr="0039277D">
        <w:rPr>
          <w:lang w:val="fr-FR"/>
        </w:rPr>
        <w:t>Autres propositions diverses</w:t>
      </w:r>
      <w:r w:rsidRPr="0039277D">
        <w:rPr>
          <w:lang w:val="fr-FR"/>
        </w:rPr>
        <w:tab/>
      </w:r>
      <w:r w:rsidRPr="0039277D">
        <w:rPr>
          <w:lang w:val="fr-FR"/>
        </w:rPr>
        <w:tab/>
        <w:t>109</w:t>
      </w:r>
      <w:r w:rsidR="008D1FF7">
        <w:rPr>
          <w:lang w:val="fr-FR"/>
        </w:rPr>
        <w:t>-</w:t>
      </w:r>
      <w:r w:rsidRPr="0039277D">
        <w:rPr>
          <w:lang w:val="fr-FR"/>
        </w:rPr>
        <w:t>115</w:t>
      </w:r>
      <w:r w:rsidRPr="0039277D">
        <w:rPr>
          <w:lang w:val="fr-FR"/>
        </w:rPr>
        <w:tab/>
      </w:r>
      <w:r w:rsidR="00A1358D">
        <w:rPr>
          <w:lang w:val="fr-FR"/>
        </w:rPr>
        <w:t>26</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1.</w:t>
      </w:r>
      <w:r w:rsidRPr="0039277D">
        <w:rPr>
          <w:lang w:val="fr-FR"/>
        </w:rPr>
        <w:tab/>
      </w:r>
      <w:r w:rsidR="00A1358D" w:rsidRPr="0039277D">
        <w:rPr>
          <w:lang w:val="fr-FR"/>
        </w:rPr>
        <w:t xml:space="preserve">Modification de dispositions spéciales, d’instructions d’emballage </w:t>
      </w:r>
      <w:r w:rsidR="00A1358D">
        <w:rPr>
          <w:lang w:val="fr-FR"/>
        </w:rPr>
        <w:br/>
      </w:r>
      <w:r w:rsidR="00A1358D" w:rsidRPr="0039277D">
        <w:rPr>
          <w:lang w:val="fr-FR"/>
        </w:rPr>
        <w:t>et des sections s’y rapportant dans le Règlement type</w:t>
      </w:r>
      <w:r w:rsidRPr="0039277D">
        <w:rPr>
          <w:lang w:val="fr-FR"/>
        </w:rPr>
        <w:tab/>
      </w:r>
      <w:r w:rsidRPr="0039277D">
        <w:rPr>
          <w:lang w:val="fr-FR"/>
        </w:rPr>
        <w:tab/>
        <w:t>109</w:t>
      </w:r>
      <w:r w:rsidR="008D1FF7">
        <w:rPr>
          <w:lang w:val="fr-FR"/>
        </w:rPr>
        <w:t>-</w:t>
      </w:r>
      <w:r w:rsidRPr="0039277D">
        <w:rPr>
          <w:lang w:val="fr-FR"/>
        </w:rPr>
        <w:t>111</w:t>
      </w:r>
      <w:r w:rsidRPr="0039277D">
        <w:rPr>
          <w:lang w:val="fr-FR"/>
        </w:rPr>
        <w:tab/>
      </w:r>
      <w:r w:rsidR="00A1358D">
        <w:rPr>
          <w:lang w:val="fr-FR"/>
        </w:rPr>
        <w:t>26</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2.</w:t>
      </w:r>
      <w:r w:rsidRPr="0039277D">
        <w:rPr>
          <w:lang w:val="fr-FR"/>
        </w:rPr>
        <w:tab/>
      </w:r>
      <w:r w:rsidR="00895BBA" w:rsidRPr="0039277D">
        <w:rPr>
          <w:lang w:val="fr-FR"/>
        </w:rPr>
        <w:t>« </w:t>
      </w:r>
      <w:r w:rsidR="00895BBA" w:rsidRPr="00A1358D">
        <w:rPr>
          <w:i/>
          <w:lang w:val="fr-FR"/>
        </w:rPr>
        <w:t>Hazard</w:t>
      </w:r>
      <w:r w:rsidR="00895BBA" w:rsidRPr="0039277D">
        <w:rPr>
          <w:lang w:val="fr-FR"/>
        </w:rPr>
        <w:t> » et « </w:t>
      </w:r>
      <w:proofErr w:type="spellStart"/>
      <w:r w:rsidR="00895BBA" w:rsidRPr="00A1358D">
        <w:rPr>
          <w:i/>
          <w:lang w:val="fr-FR"/>
        </w:rPr>
        <w:t>risk</w:t>
      </w:r>
      <w:proofErr w:type="spellEnd"/>
      <w:r w:rsidR="00895BBA" w:rsidRPr="0039277D">
        <w:rPr>
          <w:lang w:val="fr-FR"/>
        </w:rPr>
        <w:t> »</w:t>
      </w:r>
      <w:r w:rsidRPr="0039277D">
        <w:rPr>
          <w:lang w:val="fr-FR"/>
        </w:rPr>
        <w:tab/>
      </w:r>
      <w:r w:rsidRPr="0039277D">
        <w:rPr>
          <w:lang w:val="fr-FR"/>
        </w:rPr>
        <w:tab/>
        <w:t>112</w:t>
      </w:r>
      <w:r w:rsidRPr="0039277D">
        <w:rPr>
          <w:lang w:val="fr-FR"/>
        </w:rPr>
        <w:tab/>
      </w:r>
      <w:r w:rsidR="00895BBA">
        <w:rPr>
          <w:lang w:val="fr-FR"/>
        </w:rPr>
        <w:t>26</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3.</w:t>
      </w:r>
      <w:r w:rsidRPr="0039277D">
        <w:rPr>
          <w:lang w:val="fr-FR"/>
        </w:rPr>
        <w:tab/>
      </w:r>
      <w:r w:rsidR="00895BBA" w:rsidRPr="0039277D">
        <w:rPr>
          <w:lang w:val="fr-FR"/>
        </w:rPr>
        <w:t>Transport de combustibles liquides dans des citernes souples</w:t>
      </w:r>
      <w:r w:rsidRPr="0039277D">
        <w:rPr>
          <w:lang w:val="fr-FR"/>
        </w:rPr>
        <w:tab/>
      </w:r>
      <w:r w:rsidRPr="0039277D">
        <w:rPr>
          <w:lang w:val="fr-FR"/>
        </w:rPr>
        <w:tab/>
        <w:t>113</w:t>
      </w:r>
      <w:r w:rsidRPr="0039277D">
        <w:rPr>
          <w:lang w:val="fr-FR"/>
        </w:rPr>
        <w:tab/>
      </w:r>
      <w:r w:rsidR="00895BBA">
        <w:rPr>
          <w:lang w:val="fr-FR"/>
        </w:rPr>
        <w:t>26</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4.</w:t>
      </w:r>
      <w:r w:rsidRPr="0039277D">
        <w:rPr>
          <w:lang w:val="fr-FR"/>
        </w:rPr>
        <w:tab/>
      </w:r>
      <w:r w:rsidR="00895BBA" w:rsidRPr="0039277D">
        <w:rPr>
          <w:lang w:val="fr-FR"/>
        </w:rPr>
        <w:t xml:space="preserve">Matières susceptibles de former des polymères </w:t>
      </w:r>
      <w:r w:rsidR="00895BBA">
        <w:rPr>
          <w:lang w:val="fr-FR"/>
        </w:rPr>
        <w:t>−</w:t>
      </w:r>
      <w:r w:rsidR="00895BBA" w:rsidRPr="0039277D">
        <w:rPr>
          <w:lang w:val="fr-FR"/>
        </w:rPr>
        <w:t xml:space="preserve"> indication de </w:t>
      </w:r>
      <w:r w:rsidR="00895BBA">
        <w:rPr>
          <w:lang w:val="fr-FR"/>
        </w:rPr>
        <w:br/>
      </w:r>
      <w:r w:rsidR="00895BBA" w:rsidRPr="0039277D">
        <w:rPr>
          <w:lang w:val="fr-FR"/>
        </w:rPr>
        <w:t>la température critique et de la température de régulation</w:t>
      </w:r>
      <w:r w:rsidRPr="0039277D">
        <w:rPr>
          <w:lang w:val="fr-FR"/>
        </w:rPr>
        <w:tab/>
      </w:r>
      <w:r w:rsidRPr="0039277D">
        <w:rPr>
          <w:lang w:val="fr-FR"/>
        </w:rPr>
        <w:tab/>
        <w:t>114</w:t>
      </w:r>
      <w:r w:rsidRPr="0039277D">
        <w:rPr>
          <w:lang w:val="fr-FR"/>
        </w:rPr>
        <w:tab/>
      </w:r>
      <w:r w:rsidR="00895BBA">
        <w:rPr>
          <w:lang w:val="fr-FR"/>
        </w:rPr>
        <w:t>27</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5.</w:t>
      </w:r>
      <w:r w:rsidRPr="0039277D">
        <w:rPr>
          <w:lang w:val="fr-FR"/>
        </w:rPr>
        <w:tab/>
      </w:r>
      <w:r w:rsidR="00895BBA" w:rsidRPr="0039277D">
        <w:rPr>
          <w:lang w:val="fr-FR"/>
        </w:rPr>
        <w:t>Proposition visant à modifier l’instruction d’emballage P902</w:t>
      </w:r>
      <w:r w:rsidRPr="0039277D">
        <w:rPr>
          <w:lang w:val="fr-FR"/>
        </w:rPr>
        <w:tab/>
      </w:r>
      <w:r w:rsidRPr="0039277D">
        <w:rPr>
          <w:lang w:val="fr-FR"/>
        </w:rPr>
        <w:tab/>
        <w:t>115</w:t>
      </w:r>
      <w:r w:rsidRPr="0039277D">
        <w:rPr>
          <w:lang w:val="fr-FR"/>
        </w:rPr>
        <w:tab/>
      </w:r>
      <w:r w:rsidR="00895BBA">
        <w:rPr>
          <w:lang w:val="fr-FR"/>
        </w:rPr>
        <w:t>27</w:t>
      </w:r>
    </w:p>
    <w:p w:rsidR="00D80597" w:rsidRPr="0039277D" w:rsidRDefault="00E12FEC" w:rsidP="00D80597">
      <w:pPr>
        <w:tabs>
          <w:tab w:val="right" w:pos="850"/>
          <w:tab w:val="right" w:leader="dot" w:pos="7654"/>
          <w:tab w:val="right" w:pos="8929"/>
          <w:tab w:val="right" w:pos="9638"/>
        </w:tabs>
        <w:spacing w:after="120"/>
        <w:ind w:left="1134" w:hanging="1134"/>
        <w:rPr>
          <w:lang w:val="fr-FR"/>
        </w:rPr>
      </w:pPr>
      <w:r>
        <w:rPr>
          <w:lang w:val="fr-FR"/>
        </w:rPr>
        <w:br w:type="page"/>
      </w:r>
      <w:r w:rsidR="00D80597" w:rsidRPr="0039277D">
        <w:rPr>
          <w:lang w:val="fr-FR"/>
        </w:rPr>
        <w:tab/>
        <w:t>VIII.</w:t>
      </w:r>
      <w:r w:rsidR="00D80597" w:rsidRPr="0039277D">
        <w:rPr>
          <w:lang w:val="fr-FR"/>
        </w:rPr>
        <w:tab/>
      </w:r>
      <w:r w:rsidR="00895BBA" w:rsidRPr="0039277D">
        <w:rPr>
          <w:lang w:val="fr-FR"/>
        </w:rPr>
        <w:t xml:space="preserve">Harmonisation à l’échelle mondiale des règlements relatifs au transport des </w:t>
      </w:r>
      <w:r w:rsidR="00895BBA">
        <w:rPr>
          <w:lang w:val="fr-FR"/>
        </w:rPr>
        <w:br/>
      </w:r>
      <w:r w:rsidR="00895BBA" w:rsidRPr="0039277D">
        <w:rPr>
          <w:lang w:val="fr-FR"/>
        </w:rPr>
        <w:t>marchandises dangereuses avec le Règlement type (point 7 de l’ordre du jour)</w:t>
      </w:r>
      <w:r w:rsidR="00D80597" w:rsidRPr="0039277D">
        <w:rPr>
          <w:lang w:val="fr-FR"/>
        </w:rPr>
        <w:tab/>
      </w:r>
      <w:r w:rsidR="00D80597" w:rsidRPr="0039277D">
        <w:rPr>
          <w:lang w:val="fr-FR"/>
        </w:rPr>
        <w:tab/>
        <w:t>116</w:t>
      </w:r>
      <w:r w:rsidR="00C90015">
        <w:rPr>
          <w:lang w:val="fr-FR"/>
        </w:rPr>
        <w:t>-</w:t>
      </w:r>
      <w:r w:rsidR="00D80597" w:rsidRPr="0039277D">
        <w:rPr>
          <w:lang w:val="fr-FR"/>
        </w:rPr>
        <w:t>123</w:t>
      </w:r>
      <w:r w:rsidR="00D80597" w:rsidRPr="0039277D">
        <w:rPr>
          <w:lang w:val="fr-FR"/>
        </w:rPr>
        <w:tab/>
      </w:r>
      <w:r w:rsidR="00895BBA">
        <w:rPr>
          <w:lang w:val="fr-FR"/>
        </w:rPr>
        <w:t>27</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A.</w:t>
      </w:r>
      <w:r w:rsidRPr="0039277D">
        <w:rPr>
          <w:lang w:val="fr-FR"/>
        </w:rPr>
        <w:tab/>
      </w:r>
      <w:r w:rsidR="00895BBA" w:rsidRPr="0039277D">
        <w:rPr>
          <w:lang w:val="fr-FR"/>
        </w:rPr>
        <w:t xml:space="preserve">Références aux signes distinctifs des véhicules à moteur </w:t>
      </w:r>
      <w:r w:rsidR="00895BBA">
        <w:rPr>
          <w:lang w:val="fr-FR"/>
        </w:rPr>
        <w:br/>
      </w:r>
      <w:r w:rsidR="00895BBA" w:rsidRPr="0039277D">
        <w:rPr>
          <w:lang w:val="fr-FR"/>
        </w:rPr>
        <w:t>en circulation internationale</w:t>
      </w:r>
      <w:r w:rsidRPr="0039277D">
        <w:rPr>
          <w:lang w:val="fr-FR"/>
        </w:rPr>
        <w:tab/>
      </w:r>
      <w:r w:rsidRPr="0039277D">
        <w:rPr>
          <w:lang w:val="fr-FR"/>
        </w:rPr>
        <w:tab/>
        <w:t>116</w:t>
      </w:r>
      <w:r w:rsidRPr="0039277D">
        <w:rPr>
          <w:lang w:val="fr-FR"/>
        </w:rPr>
        <w:tab/>
      </w:r>
      <w:r w:rsidR="00895BBA">
        <w:rPr>
          <w:lang w:val="fr-FR"/>
        </w:rPr>
        <w:t>27</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B.</w:t>
      </w:r>
      <w:r w:rsidRPr="0039277D">
        <w:rPr>
          <w:lang w:val="fr-FR"/>
        </w:rPr>
        <w:tab/>
      </w:r>
      <w:r w:rsidR="00895BBA" w:rsidRPr="0039277D">
        <w:rPr>
          <w:lang w:val="fr-FR"/>
        </w:rPr>
        <w:t xml:space="preserve">Ajout de définitions des termes « acier de référence » et « acier doux » </w:t>
      </w:r>
      <w:r w:rsidR="00895BBA">
        <w:rPr>
          <w:lang w:val="fr-FR"/>
        </w:rPr>
        <w:br/>
      </w:r>
      <w:r w:rsidR="00895BBA" w:rsidRPr="0039277D">
        <w:rPr>
          <w:lang w:val="fr-FR"/>
        </w:rPr>
        <w:t>dans la section 1.2.1 du Règlement type</w:t>
      </w:r>
      <w:r w:rsidRPr="0039277D">
        <w:rPr>
          <w:lang w:val="fr-FR"/>
        </w:rPr>
        <w:tab/>
      </w:r>
      <w:r w:rsidRPr="0039277D">
        <w:rPr>
          <w:lang w:val="fr-FR"/>
        </w:rPr>
        <w:tab/>
        <w:t>117</w:t>
      </w:r>
      <w:r w:rsidR="00C90015">
        <w:rPr>
          <w:lang w:val="fr-FR"/>
        </w:rPr>
        <w:t>-</w:t>
      </w:r>
      <w:r w:rsidRPr="0039277D">
        <w:rPr>
          <w:lang w:val="fr-FR"/>
        </w:rPr>
        <w:t>118</w:t>
      </w:r>
      <w:r w:rsidRPr="0039277D">
        <w:rPr>
          <w:lang w:val="fr-FR"/>
        </w:rPr>
        <w:tab/>
      </w:r>
      <w:r w:rsidR="00895BBA">
        <w:rPr>
          <w:lang w:val="fr-FR"/>
        </w:rPr>
        <w:t>27</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C.</w:t>
      </w:r>
      <w:r w:rsidRPr="0039277D">
        <w:rPr>
          <w:lang w:val="fr-FR"/>
        </w:rPr>
        <w:tab/>
      </w:r>
      <w:r w:rsidR="00895BBA" w:rsidRPr="0039277D">
        <w:rPr>
          <w:lang w:val="fr-FR"/>
        </w:rPr>
        <w:t xml:space="preserve">Traductions divergentes des désignations officielles de transport </w:t>
      </w:r>
      <w:r w:rsidR="00895BBA" w:rsidRPr="0039277D">
        <w:rPr>
          <w:lang w:val="fr-FR"/>
        </w:rPr>
        <w:br/>
        <w:t>dans la Liste des marchandises dangereuses du Règlement type</w:t>
      </w:r>
      <w:r w:rsidRPr="0039277D">
        <w:rPr>
          <w:lang w:val="fr-FR"/>
        </w:rPr>
        <w:tab/>
      </w:r>
      <w:r w:rsidRPr="0039277D">
        <w:rPr>
          <w:lang w:val="fr-FR"/>
        </w:rPr>
        <w:tab/>
        <w:t>119</w:t>
      </w:r>
      <w:r w:rsidR="00C90015">
        <w:rPr>
          <w:lang w:val="fr-FR"/>
        </w:rPr>
        <w:t>-</w:t>
      </w:r>
      <w:r w:rsidRPr="0039277D">
        <w:rPr>
          <w:lang w:val="fr-FR"/>
        </w:rPr>
        <w:t>121</w:t>
      </w:r>
      <w:r w:rsidRPr="0039277D">
        <w:rPr>
          <w:lang w:val="fr-FR"/>
        </w:rPr>
        <w:tab/>
      </w:r>
      <w:r w:rsidR="00895BBA">
        <w:rPr>
          <w:lang w:val="fr-FR"/>
        </w:rPr>
        <w:t>28</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D.</w:t>
      </w:r>
      <w:r w:rsidRPr="0039277D">
        <w:rPr>
          <w:lang w:val="fr-FR"/>
        </w:rPr>
        <w:tab/>
      </w:r>
      <w:r w:rsidR="00895BBA" w:rsidRPr="0039277D">
        <w:rPr>
          <w:lang w:val="fr-FR"/>
        </w:rPr>
        <w:t>Adoption d’amendements au Code IMDG</w:t>
      </w:r>
      <w:r w:rsidRPr="0039277D">
        <w:rPr>
          <w:lang w:val="fr-FR"/>
        </w:rPr>
        <w:tab/>
      </w:r>
      <w:r w:rsidRPr="0039277D">
        <w:rPr>
          <w:lang w:val="fr-FR"/>
        </w:rPr>
        <w:tab/>
        <w:t>122</w:t>
      </w:r>
      <w:r w:rsidRPr="0039277D">
        <w:rPr>
          <w:lang w:val="fr-FR"/>
        </w:rPr>
        <w:tab/>
      </w:r>
      <w:r w:rsidR="00895BBA">
        <w:rPr>
          <w:lang w:val="fr-FR"/>
        </w:rPr>
        <w:t>28</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E.</w:t>
      </w:r>
      <w:r w:rsidRPr="0039277D">
        <w:rPr>
          <w:lang w:val="fr-FR"/>
        </w:rPr>
        <w:tab/>
      </w:r>
      <w:r w:rsidR="00895BBA" w:rsidRPr="0039277D">
        <w:rPr>
          <w:lang w:val="fr-FR"/>
        </w:rPr>
        <w:t xml:space="preserve">Résultats de la Réunion commune de la Commission d’experts du RID </w:t>
      </w:r>
      <w:r w:rsidR="00895BBA">
        <w:rPr>
          <w:lang w:val="fr-FR"/>
        </w:rPr>
        <w:br/>
      </w:r>
      <w:r w:rsidR="00895BBA" w:rsidRPr="0039277D">
        <w:rPr>
          <w:lang w:val="fr-FR"/>
        </w:rPr>
        <w:t xml:space="preserve">et du Groupe de travail des transports de marchandises dangereuses </w:t>
      </w:r>
      <w:r w:rsidR="00895BBA">
        <w:rPr>
          <w:lang w:val="fr-FR"/>
        </w:rPr>
        <w:br/>
      </w:r>
      <w:r w:rsidR="00895BBA" w:rsidRPr="0039277D">
        <w:rPr>
          <w:lang w:val="fr-FR"/>
        </w:rPr>
        <w:t>sur sa session de printemps de 2016</w:t>
      </w:r>
      <w:r w:rsidRPr="0039277D">
        <w:rPr>
          <w:lang w:val="fr-FR"/>
        </w:rPr>
        <w:tab/>
      </w:r>
      <w:r w:rsidRPr="0039277D">
        <w:rPr>
          <w:lang w:val="fr-FR"/>
        </w:rPr>
        <w:tab/>
        <w:t>123</w:t>
      </w:r>
      <w:r w:rsidRPr="0039277D">
        <w:rPr>
          <w:lang w:val="fr-FR"/>
        </w:rPr>
        <w:tab/>
      </w:r>
      <w:r w:rsidR="00895BBA">
        <w:rPr>
          <w:lang w:val="fr-FR"/>
        </w:rPr>
        <w:t>29</w:t>
      </w:r>
    </w:p>
    <w:p w:rsidR="00D80597" w:rsidRPr="0039277D" w:rsidRDefault="00D80597" w:rsidP="00D80597">
      <w:pPr>
        <w:tabs>
          <w:tab w:val="right" w:pos="850"/>
          <w:tab w:val="right" w:leader="dot" w:pos="7654"/>
          <w:tab w:val="right" w:pos="8929"/>
          <w:tab w:val="right" w:pos="9638"/>
        </w:tabs>
        <w:spacing w:after="120"/>
        <w:ind w:left="1134" w:hanging="1134"/>
        <w:rPr>
          <w:lang w:val="fr-FR"/>
        </w:rPr>
      </w:pPr>
      <w:r w:rsidRPr="0039277D">
        <w:rPr>
          <w:lang w:val="fr-FR"/>
        </w:rPr>
        <w:tab/>
        <w:t>IX.</w:t>
      </w:r>
      <w:r w:rsidRPr="0039277D">
        <w:rPr>
          <w:lang w:val="fr-FR"/>
        </w:rPr>
        <w:tab/>
      </w:r>
      <w:r w:rsidR="00895BBA" w:rsidRPr="0039277D">
        <w:rPr>
          <w:lang w:val="fr-FR"/>
        </w:rPr>
        <w:t xml:space="preserve">Coopération avec l’Agence internationale de l’énergie atomique </w:t>
      </w:r>
      <w:r w:rsidR="00895BBA">
        <w:rPr>
          <w:lang w:val="fr-FR"/>
        </w:rPr>
        <w:br/>
      </w:r>
      <w:r w:rsidR="00895BBA" w:rsidRPr="0039277D">
        <w:rPr>
          <w:lang w:val="fr-FR"/>
        </w:rPr>
        <w:t>(point 8 de l’ordre du jour)</w:t>
      </w:r>
      <w:r w:rsidRPr="0039277D">
        <w:rPr>
          <w:lang w:val="fr-FR"/>
        </w:rPr>
        <w:tab/>
      </w:r>
      <w:r w:rsidRPr="0039277D">
        <w:rPr>
          <w:lang w:val="fr-FR"/>
        </w:rPr>
        <w:tab/>
        <w:t>124</w:t>
      </w:r>
      <w:r w:rsidRPr="0039277D">
        <w:rPr>
          <w:lang w:val="fr-FR"/>
        </w:rPr>
        <w:tab/>
      </w:r>
      <w:r w:rsidR="00895BBA">
        <w:rPr>
          <w:lang w:val="fr-FR"/>
        </w:rPr>
        <w:t>29</w:t>
      </w:r>
    </w:p>
    <w:p w:rsidR="00D80597" w:rsidRPr="0039277D" w:rsidRDefault="00D80597" w:rsidP="00D80597">
      <w:pPr>
        <w:tabs>
          <w:tab w:val="right" w:pos="850"/>
          <w:tab w:val="right" w:leader="dot" w:pos="7654"/>
          <w:tab w:val="right" w:pos="8929"/>
          <w:tab w:val="right" w:pos="9638"/>
        </w:tabs>
        <w:spacing w:after="120"/>
        <w:ind w:left="1134" w:hanging="1134"/>
        <w:rPr>
          <w:lang w:val="fr-FR"/>
        </w:rPr>
      </w:pPr>
      <w:r w:rsidRPr="0039277D">
        <w:rPr>
          <w:lang w:val="fr-FR"/>
        </w:rPr>
        <w:tab/>
        <w:t>X.</w:t>
      </w:r>
      <w:r w:rsidRPr="0039277D">
        <w:rPr>
          <w:lang w:val="fr-FR"/>
        </w:rPr>
        <w:tab/>
      </w:r>
      <w:r w:rsidR="00895BBA" w:rsidRPr="0039277D">
        <w:rPr>
          <w:lang w:val="fr-FR"/>
        </w:rPr>
        <w:t>Principes directeurs du Règlement type (point 9 de l’ordre du jour)</w:t>
      </w:r>
      <w:r w:rsidRPr="0039277D">
        <w:rPr>
          <w:lang w:val="fr-FR"/>
        </w:rPr>
        <w:tab/>
      </w:r>
      <w:r w:rsidRPr="0039277D">
        <w:rPr>
          <w:lang w:val="fr-FR"/>
        </w:rPr>
        <w:tab/>
        <w:t>125</w:t>
      </w:r>
      <w:r w:rsidRPr="0039277D">
        <w:rPr>
          <w:lang w:val="fr-FR"/>
        </w:rPr>
        <w:tab/>
      </w:r>
      <w:r w:rsidR="00895BBA">
        <w:rPr>
          <w:lang w:val="fr-FR"/>
        </w:rPr>
        <w:t>29</w:t>
      </w:r>
    </w:p>
    <w:p w:rsidR="00D80597" w:rsidRPr="0039277D" w:rsidRDefault="00D80597" w:rsidP="00D80597">
      <w:pPr>
        <w:tabs>
          <w:tab w:val="right" w:pos="850"/>
          <w:tab w:val="right" w:leader="dot" w:pos="7654"/>
          <w:tab w:val="right" w:pos="8929"/>
          <w:tab w:val="right" w:pos="9638"/>
        </w:tabs>
        <w:spacing w:after="120"/>
        <w:ind w:left="1134" w:hanging="1134"/>
        <w:rPr>
          <w:lang w:val="fr-FR"/>
        </w:rPr>
      </w:pPr>
      <w:r w:rsidRPr="0039277D">
        <w:rPr>
          <w:lang w:val="fr-FR"/>
        </w:rPr>
        <w:tab/>
        <w:t>XI.</w:t>
      </w:r>
      <w:r w:rsidRPr="0039277D">
        <w:rPr>
          <w:lang w:val="fr-FR"/>
        </w:rPr>
        <w:tab/>
      </w:r>
      <w:r w:rsidR="00895BBA" w:rsidRPr="0039277D">
        <w:rPr>
          <w:lang w:val="fr-FR"/>
        </w:rPr>
        <w:t xml:space="preserve">Questions relatives au Système général harmonisé de classification </w:t>
      </w:r>
      <w:r w:rsidR="00895BBA">
        <w:rPr>
          <w:lang w:val="fr-FR"/>
        </w:rPr>
        <w:br/>
      </w:r>
      <w:r w:rsidR="00895BBA" w:rsidRPr="0039277D">
        <w:rPr>
          <w:lang w:val="fr-FR"/>
        </w:rPr>
        <w:t>et d’étiquetage des produits chimiques (point 10 de l’ordre du jour)</w:t>
      </w:r>
      <w:r w:rsidRPr="0039277D">
        <w:rPr>
          <w:lang w:val="fr-FR"/>
        </w:rPr>
        <w:tab/>
      </w:r>
      <w:r w:rsidRPr="0039277D">
        <w:rPr>
          <w:lang w:val="fr-FR"/>
        </w:rPr>
        <w:tab/>
        <w:t>126</w:t>
      </w:r>
      <w:r w:rsidR="00C90015">
        <w:rPr>
          <w:lang w:val="fr-FR"/>
        </w:rPr>
        <w:t>-</w:t>
      </w:r>
      <w:r w:rsidRPr="0039277D">
        <w:rPr>
          <w:lang w:val="fr-FR"/>
        </w:rPr>
        <w:t>138</w:t>
      </w:r>
      <w:r w:rsidRPr="0039277D">
        <w:rPr>
          <w:lang w:val="fr-FR"/>
        </w:rPr>
        <w:tab/>
      </w:r>
      <w:r w:rsidR="00895BBA">
        <w:rPr>
          <w:lang w:val="fr-FR"/>
        </w:rPr>
        <w:t>29</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A.</w:t>
      </w:r>
      <w:r w:rsidRPr="0039277D">
        <w:rPr>
          <w:lang w:val="fr-FR"/>
        </w:rPr>
        <w:tab/>
      </w:r>
      <w:r w:rsidR="00895BBA" w:rsidRPr="0039277D">
        <w:rPr>
          <w:lang w:val="fr-FR"/>
        </w:rPr>
        <w:t>Critères relatifs à l’</w:t>
      </w:r>
      <w:proofErr w:type="spellStart"/>
      <w:r w:rsidR="00895BBA" w:rsidRPr="0039277D">
        <w:rPr>
          <w:lang w:val="fr-FR"/>
        </w:rPr>
        <w:t>hydroréactivité</w:t>
      </w:r>
      <w:proofErr w:type="spellEnd"/>
      <w:r w:rsidRPr="0039277D">
        <w:rPr>
          <w:lang w:val="fr-FR"/>
        </w:rPr>
        <w:tab/>
      </w:r>
      <w:r w:rsidRPr="0039277D">
        <w:rPr>
          <w:lang w:val="fr-FR"/>
        </w:rPr>
        <w:tab/>
        <w:t>127</w:t>
      </w:r>
      <w:r w:rsidRPr="0039277D">
        <w:rPr>
          <w:lang w:val="fr-FR"/>
        </w:rPr>
        <w:tab/>
      </w:r>
      <w:r w:rsidR="00895BBA">
        <w:rPr>
          <w:lang w:val="fr-FR"/>
        </w:rPr>
        <w:t>29</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B.</w:t>
      </w:r>
      <w:r w:rsidRPr="0039277D">
        <w:rPr>
          <w:lang w:val="fr-FR"/>
        </w:rPr>
        <w:tab/>
      </w:r>
      <w:r w:rsidR="00895BBA" w:rsidRPr="0039277D">
        <w:rPr>
          <w:lang w:val="fr-FR"/>
        </w:rPr>
        <w:t>Épreuves et critères relatifs aux matières liquides et solides comburantes</w:t>
      </w:r>
      <w:r w:rsidRPr="0039277D">
        <w:rPr>
          <w:lang w:val="fr-FR"/>
        </w:rPr>
        <w:tab/>
      </w:r>
      <w:r w:rsidRPr="0039277D">
        <w:rPr>
          <w:lang w:val="fr-FR"/>
        </w:rPr>
        <w:tab/>
        <w:t>128</w:t>
      </w:r>
      <w:r w:rsidRPr="0039277D">
        <w:rPr>
          <w:lang w:val="fr-FR"/>
        </w:rPr>
        <w:tab/>
      </w:r>
      <w:r w:rsidR="00895BBA">
        <w:rPr>
          <w:lang w:val="fr-FR"/>
        </w:rPr>
        <w:t>29</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C.</w:t>
      </w:r>
      <w:r w:rsidRPr="0039277D">
        <w:rPr>
          <w:lang w:val="fr-FR"/>
        </w:rPr>
        <w:tab/>
      </w:r>
      <w:r w:rsidR="00895BBA" w:rsidRPr="0039277D">
        <w:rPr>
          <w:lang w:val="fr-FR"/>
        </w:rPr>
        <w:t>Critères de classification relatifs aux gaz inflammables</w:t>
      </w:r>
      <w:r w:rsidRPr="0039277D">
        <w:rPr>
          <w:lang w:val="fr-FR"/>
        </w:rPr>
        <w:tab/>
      </w:r>
      <w:r w:rsidRPr="0039277D">
        <w:rPr>
          <w:lang w:val="fr-FR"/>
        </w:rPr>
        <w:tab/>
        <w:t>129</w:t>
      </w:r>
      <w:r w:rsidR="00C90015">
        <w:rPr>
          <w:lang w:val="fr-FR"/>
        </w:rPr>
        <w:t>-</w:t>
      </w:r>
      <w:r w:rsidRPr="0039277D">
        <w:rPr>
          <w:lang w:val="fr-FR"/>
        </w:rPr>
        <w:t>131</w:t>
      </w:r>
      <w:r w:rsidRPr="0039277D">
        <w:rPr>
          <w:lang w:val="fr-FR"/>
        </w:rPr>
        <w:tab/>
      </w:r>
      <w:r w:rsidR="00895BBA">
        <w:rPr>
          <w:lang w:val="fr-FR"/>
        </w:rPr>
        <w:t>30</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D.</w:t>
      </w:r>
      <w:r w:rsidRPr="0039277D">
        <w:rPr>
          <w:lang w:val="fr-FR"/>
        </w:rPr>
        <w:tab/>
      </w:r>
      <w:r w:rsidR="00895BBA" w:rsidRPr="0039277D">
        <w:rPr>
          <w:lang w:val="fr-FR"/>
        </w:rPr>
        <w:t>Jugement d’experts et force probante des données</w:t>
      </w:r>
      <w:r w:rsidRPr="0039277D">
        <w:rPr>
          <w:lang w:val="fr-FR"/>
        </w:rPr>
        <w:tab/>
      </w:r>
      <w:r w:rsidRPr="0039277D">
        <w:rPr>
          <w:lang w:val="fr-FR"/>
        </w:rPr>
        <w:tab/>
        <w:t>132</w:t>
      </w:r>
      <w:r w:rsidRPr="0039277D">
        <w:rPr>
          <w:lang w:val="fr-FR"/>
        </w:rPr>
        <w:tab/>
      </w:r>
      <w:r w:rsidR="00895BBA">
        <w:rPr>
          <w:lang w:val="fr-FR"/>
        </w:rPr>
        <w:t>30</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E.</w:t>
      </w:r>
      <w:r w:rsidRPr="0039277D">
        <w:rPr>
          <w:lang w:val="fr-FR"/>
        </w:rPr>
        <w:tab/>
      </w:r>
      <w:r w:rsidR="00895BBA" w:rsidRPr="0039277D">
        <w:rPr>
          <w:lang w:val="fr-FR"/>
        </w:rPr>
        <w:t>Critères relatifs à la corrosivité</w:t>
      </w:r>
      <w:r w:rsidRPr="0039277D">
        <w:rPr>
          <w:lang w:val="fr-FR"/>
        </w:rPr>
        <w:tab/>
      </w:r>
      <w:r w:rsidRPr="0039277D">
        <w:rPr>
          <w:lang w:val="fr-FR"/>
        </w:rPr>
        <w:tab/>
        <w:t>133</w:t>
      </w:r>
      <w:r w:rsidRPr="0039277D">
        <w:rPr>
          <w:lang w:val="fr-FR"/>
        </w:rPr>
        <w:tab/>
      </w:r>
      <w:r w:rsidR="00895BBA">
        <w:rPr>
          <w:lang w:val="fr-FR"/>
        </w:rPr>
        <w:t>30</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F.</w:t>
      </w:r>
      <w:r w:rsidRPr="0039277D">
        <w:rPr>
          <w:lang w:val="fr-FR"/>
        </w:rPr>
        <w:tab/>
      </w:r>
      <w:r w:rsidR="00895BBA" w:rsidRPr="0039277D">
        <w:rPr>
          <w:lang w:val="fr-FR"/>
        </w:rPr>
        <w:t>Actualisation des références aux directives de l’OCDE</w:t>
      </w:r>
      <w:r w:rsidRPr="0039277D">
        <w:rPr>
          <w:lang w:val="fr-FR"/>
        </w:rPr>
        <w:tab/>
      </w:r>
      <w:r w:rsidRPr="0039277D">
        <w:rPr>
          <w:lang w:val="fr-FR"/>
        </w:rPr>
        <w:tab/>
        <w:t>134</w:t>
      </w:r>
      <w:r w:rsidRPr="0039277D">
        <w:rPr>
          <w:lang w:val="fr-FR"/>
        </w:rPr>
        <w:tab/>
      </w:r>
      <w:r w:rsidR="00895BBA">
        <w:rPr>
          <w:lang w:val="fr-FR"/>
        </w:rPr>
        <w:t>30</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G.</w:t>
      </w:r>
      <w:r w:rsidRPr="0039277D">
        <w:rPr>
          <w:lang w:val="fr-FR"/>
        </w:rPr>
        <w:tab/>
      </w:r>
      <w:r w:rsidR="00895BBA" w:rsidRPr="0039277D">
        <w:rPr>
          <w:lang w:val="fr-FR"/>
        </w:rPr>
        <w:t>Utilisation du Manuel d’épreuves et de critères dans le cadre du SGH</w:t>
      </w:r>
      <w:r w:rsidRPr="0039277D">
        <w:rPr>
          <w:lang w:val="fr-FR"/>
        </w:rPr>
        <w:tab/>
      </w:r>
      <w:r w:rsidRPr="0039277D">
        <w:rPr>
          <w:lang w:val="fr-FR"/>
        </w:rPr>
        <w:tab/>
        <w:t>135</w:t>
      </w:r>
      <w:r w:rsidRPr="0039277D">
        <w:rPr>
          <w:lang w:val="fr-FR"/>
        </w:rPr>
        <w:tab/>
      </w:r>
      <w:r w:rsidR="00895BBA">
        <w:rPr>
          <w:lang w:val="fr-FR"/>
        </w:rPr>
        <w:t>30</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H.</w:t>
      </w:r>
      <w:r w:rsidRPr="0039277D">
        <w:rPr>
          <w:lang w:val="fr-FR"/>
        </w:rPr>
        <w:tab/>
      </w:r>
      <w:r w:rsidR="00895BBA" w:rsidRPr="0039277D">
        <w:rPr>
          <w:lang w:val="fr-FR"/>
        </w:rPr>
        <w:t>Travaux à mener conjointement avec le Sous-Comité SGH</w:t>
      </w:r>
      <w:r w:rsidRPr="0039277D">
        <w:rPr>
          <w:lang w:val="fr-FR"/>
        </w:rPr>
        <w:tab/>
      </w:r>
      <w:r w:rsidRPr="0039277D">
        <w:rPr>
          <w:lang w:val="fr-FR"/>
        </w:rPr>
        <w:tab/>
        <w:t>136</w:t>
      </w:r>
      <w:r w:rsidR="00C90015">
        <w:rPr>
          <w:lang w:val="fr-FR"/>
        </w:rPr>
        <w:t>-</w:t>
      </w:r>
      <w:r w:rsidRPr="0039277D">
        <w:rPr>
          <w:lang w:val="fr-FR"/>
        </w:rPr>
        <w:t>137</w:t>
      </w:r>
      <w:r w:rsidRPr="0039277D">
        <w:rPr>
          <w:lang w:val="fr-FR"/>
        </w:rPr>
        <w:tab/>
      </w:r>
      <w:r w:rsidR="00895BBA">
        <w:rPr>
          <w:lang w:val="fr-FR"/>
        </w:rPr>
        <w:t>31</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1.</w:t>
      </w:r>
      <w:r w:rsidRPr="0039277D">
        <w:rPr>
          <w:lang w:val="fr-FR"/>
        </w:rPr>
        <w:tab/>
      </w:r>
      <w:r w:rsidR="00895BBA" w:rsidRPr="0039277D">
        <w:rPr>
          <w:lang w:val="fr-FR"/>
        </w:rPr>
        <w:t>Examen du chapitre 2.1 du SGH</w:t>
      </w:r>
      <w:r w:rsidRPr="0039277D">
        <w:rPr>
          <w:lang w:val="fr-FR"/>
        </w:rPr>
        <w:tab/>
      </w:r>
      <w:r w:rsidRPr="0039277D">
        <w:rPr>
          <w:lang w:val="fr-FR"/>
        </w:rPr>
        <w:tab/>
        <w:t>136</w:t>
      </w:r>
      <w:r w:rsidRPr="0039277D">
        <w:rPr>
          <w:lang w:val="fr-FR"/>
        </w:rPr>
        <w:tab/>
      </w:r>
      <w:r w:rsidR="00895BBA">
        <w:rPr>
          <w:lang w:val="fr-FR"/>
        </w:rPr>
        <w:t>31</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2.</w:t>
      </w:r>
      <w:r w:rsidRPr="0039277D">
        <w:rPr>
          <w:lang w:val="fr-FR"/>
        </w:rPr>
        <w:tab/>
      </w:r>
      <w:r w:rsidR="00895BBA" w:rsidRPr="0039277D">
        <w:rPr>
          <w:lang w:val="fr-FR"/>
        </w:rPr>
        <w:t xml:space="preserve">Changements apportés à la sous-section 14.7 des directives du SGH </w:t>
      </w:r>
      <w:r w:rsidR="00895BBA" w:rsidRPr="0039277D">
        <w:rPr>
          <w:lang w:val="fr-FR"/>
        </w:rPr>
        <w:br/>
        <w:t>pour la compilation d’une fiche de données de sécurité</w:t>
      </w:r>
      <w:r w:rsidRPr="0039277D">
        <w:rPr>
          <w:lang w:val="fr-FR"/>
        </w:rPr>
        <w:tab/>
      </w:r>
      <w:r w:rsidRPr="0039277D">
        <w:rPr>
          <w:lang w:val="fr-FR"/>
        </w:rPr>
        <w:tab/>
        <w:t>137</w:t>
      </w:r>
      <w:r w:rsidRPr="0039277D">
        <w:rPr>
          <w:lang w:val="fr-FR"/>
        </w:rPr>
        <w:tab/>
      </w:r>
      <w:r w:rsidR="00895BBA">
        <w:rPr>
          <w:lang w:val="fr-FR"/>
        </w:rPr>
        <w:t>31</w:t>
      </w:r>
    </w:p>
    <w:p w:rsidR="00D80597" w:rsidRPr="0039277D" w:rsidRDefault="00D80597" w:rsidP="00D80597">
      <w:pPr>
        <w:tabs>
          <w:tab w:val="right" w:leader="dot" w:pos="7654"/>
          <w:tab w:val="right" w:pos="8929"/>
          <w:tab w:val="right" w:pos="9638"/>
        </w:tabs>
        <w:spacing w:after="120"/>
        <w:ind w:left="1559" w:hanging="425"/>
        <w:rPr>
          <w:lang w:val="fr-FR"/>
        </w:rPr>
      </w:pPr>
      <w:r w:rsidRPr="0039277D">
        <w:rPr>
          <w:lang w:val="fr-FR"/>
        </w:rPr>
        <w:t>I.</w:t>
      </w:r>
      <w:r w:rsidRPr="0039277D">
        <w:rPr>
          <w:lang w:val="fr-FR"/>
        </w:rPr>
        <w:tab/>
      </w:r>
      <w:r w:rsidR="00895BBA" w:rsidRPr="0039277D">
        <w:rPr>
          <w:lang w:val="fr-FR"/>
        </w:rPr>
        <w:t>Divers</w:t>
      </w:r>
      <w:r w:rsidRPr="0039277D">
        <w:rPr>
          <w:lang w:val="fr-FR"/>
        </w:rPr>
        <w:tab/>
      </w:r>
      <w:r w:rsidRPr="0039277D">
        <w:rPr>
          <w:lang w:val="fr-FR"/>
        </w:rPr>
        <w:tab/>
        <w:t>138</w:t>
      </w:r>
      <w:r w:rsidRPr="0039277D">
        <w:rPr>
          <w:lang w:val="fr-FR"/>
        </w:rPr>
        <w:tab/>
      </w:r>
      <w:r w:rsidR="00895BBA">
        <w:rPr>
          <w:lang w:val="fr-FR"/>
        </w:rPr>
        <w:t>31</w:t>
      </w:r>
    </w:p>
    <w:p w:rsidR="00D80597" w:rsidRPr="0039277D" w:rsidRDefault="006608EB" w:rsidP="006608EB">
      <w:pPr>
        <w:tabs>
          <w:tab w:val="right" w:leader="dot" w:pos="7654"/>
          <w:tab w:val="right" w:pos="8929"/>
          <w:tab w:val="right" w:pos="9638"/>
        </w:tabs>
        <w:spacing w:after="120"/>
        <w:ind w:left="1559" w:hanging="425"/>
        <w:rPr>
          <w:lang w:val="fr-FR"/>
        </w:rPr>
      </w:pPr>
      <w:r>
        <w:rPr>
          <w:lang w:val="fr-FR"/>
        </w:rPr>
        <w:tab/>
      </w:r>
      <w:r w:rsidR="00895BBA" w:rsidRPr="0039277D">
        <w:rPr>
          <w:lang w:val="fr-FR"/>
        </w:rPr>
        <w:t xml:space="preserve">Précisions concernant les critères de classement des explosifs flegmatisés </w:t>
      </w:r>
      <w:r w:rsidR="00895BBA">
        <w:rPr>
          <w:lang w:val="fr-FR"/>
        </w:rPr>
        <w:br/>
      </w:r>
      <w:r w:rsidR="00895BBA" w:rsidRPr="0039277D">
        <w:rPr>
          <w:lang w:val="fr-FR"/>
        </w:rPr>
        <w:t>dans le SGH</w:t>
      </w:r>
      <w:r w:rsidR="00D80597" w:rsidRPr="0039277D">
        <w:rPr>
          <w:lang w:val="fr-FR"/>
        </w:rPr>
        <w:tab/>
      </w:r>
      <w:r w:rsidR="00D80597" w:rsidRPr="0039277D">
        <w:rPr>
          <w:lang w:val="fr-FR"/>
        </w:rPr>
        <w:tab/>
        <w:t>138</w:t>
      </w:r>
      <w:r w:rsidR="00D80597" w:rsidRPr="0039277D">
        <w:rPr>
          <w:lang w:val="fr-FR"/>
        </w:rPr>
        <w:tab/>
      </w:r>
      <w:r w:rsidR="00895BBA">
        <w:rPr>
          <w:lang w:val="fr-FR"/>
        </w:rPr>
        <w:t>31</w:t>
      </w:r>
    </w:p>
    <w:p w:rsidR="00D80597" w:rsidRPr="0039277D" w:rsidRDefault="00D80597" w:rsidP="00D80597">
      <w:pPr>
        <w:tabs>
          <w:tab w:val="right" w:pos="850"/>
          <w:tab w:val="right" w:leader="dot" w:pos="7654"/>
          <w:tab w:val="right" w:pos="8929"/>
          <w:tab w:val="right" w:pos="9638"/>
        </w:tabs>
        <w:spacing w:after="120"/>
        <w:ind w:left="1134" w:hanging="1134"/>
        <w:rPr>
          <w:lang w:val="fr-FR"/>
        </w:rPr>
      </w:pPr>
      <w:r w:rsidRPr="0039277D">
        <w:rPr>
          <w:lang w:val="fr-FR"/>
        </w:rPr>
        <w:tab/>
        <w:t>XII.</w:t>
      </w:r>
      <w:r w:rsidRPr="0039277D">
        <w:rPr>
          <w:lang w:val="fr-FR"/>
        </w:rPr>
        <w:tab/>
      </w:r>
      <w:r w:rsidR="00895BBA" w:rsidRPr="0039277D">
        <w:rPr>
          <w:lang w:val="fr-FR"/>
        </w:rPr>
        <w:t>Questions diverses (point 11 de l’ordre du jour)</w:t>
      </w:r>
      <w:r w:rsidRPr="0039277D">
        <w:rPr>
          <w:lang w:val="fr-FR"/>
        </w:rPr>
        <w:tab/>
      </w:r>
      <w:r w:rsidRPr="0039277D">
        <w:rPr>
          <w:lang w:val="fr-FR"/>
        </w:rPr>
        <w:tab/>
        <w:t>139</w:t>
      </w:r>
      <w:r w:rsidR="00C90015">
        <w:rPr>
          <w:lang w:val="fr-FR"/>
        </w:rPr>
        <w:t>-</w:t>
      </w:r>
      <w:r w:rsidRPr="0039277D">
        <w:rPr>
          <w:lang w:val="fr-FR"/>
        </w:rPr>
        <w:t>141</w:t>
      </w:r>
      <w:r w:rsidRPr="0039277D">
        <w:rPr>
          <w:lang w:val="fr-FR"/>
        </w:rPr>
        <w:tab/>
      </w:r>
      <w:r w:rsidR="00895BBA">
        <w:rPr>
          <w:lang w:val="fr-FR"/>
        </w:rPr>
        <w:t>31</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1.</w:t>
      </w:r>
      <w:r w:rsidRPr="0039277D">
        <w:rPr>
          <w:lang w:val="fr-FR"/>
        </w:rPr>
        <w:tab/>
      </w:r>
      <w:r w:rsidR="00895BBA" w:rsidRPr="0039277D">
        <w:rPr>
          <w:lang w:val="fr-FR"/>
        </w:rPr>
        <w:t>Résolution 2015/7 du Conseil économique et social</w:t>
      </w:r>
      <w:r w:rsidRPr="0039277D">
        <w:rPr>
          <w:lang w:val="fr-FR"/>
        </w:rPr>
        <w:tab/>
      </w:r>
      <w:r w:rsidRPr="0039277D">
        <w:rPr>
          <w:lang w:val="fr-FR"/>
        </w:rPr>
        <w:tab/>
        <w:t>139</w:t>
      </w:r>
      <w:r w:rsidRPr="0039277D">
        <w:rPr>
          <w:lang w:val="fr-FR"/>
        </w:rPr>
        <w:tab/>
      </w:r>
      <w:r w:rsidR="00895BBA">
        <w:rPr>
          <w:lang w:val="fr-FR"/>
        </w:rPr>
        <w:t>31</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2.</w:t>
      </w:r>
      <w:r w:rsidRPr="0039277D">
        <w:rPr>
          <w:lang w:val="fr-FR"/>
        </w:rPr>
        <w:tab/>
      </w:r>
      <w:r w:rsidR="00895BBA" w:rsidRPr="0039277D">
        <w:rPr>
          <w:lang w:val="fr-FR"/>
        </w:rPr>
        <w:t xml:space="preserve">Évaluation de l’incidence à l’échelle mondiale et régionale </w:t>
      </w:r>
      <w:r w:rsidR="007340F5">
        <w:rPr>
          <w:lang w:val="fr-FR"/>
        </w:rPr>
        <w:br/>
      </w:r>
      <w:r w:rsidR="00895BBA" w:rsidRPr="0039277D">
        <w:rPr>
          <w:lang w:val="fr-FR"/>
        </w:rPr>
        <w:t xml:space="preserve">des règlements de la CEE et des Recommandations de l’ONU </w:t>
      </w:r>
      <w:r w:rsidR="007340F5">
        <w:rPr>
          <w:lang w:val="fr-FR"/>
        </w:rPr>
        <w:br/>
      </w:r>
      <w:r w:rsidR="00895BBA" w:rsidRPr="0039277D">
        <w:rPr>
          <w:lang w:val="fr-FR"/>
        </w:rPr>
        <w:t xml:space="preserve">relatives au transport des marchandises dangereuses (2005-2014) : </w:t>
      </w:r>
      <w:r w:rsidR="00895BBA">
        <w:rPr>
          <w:lang w:val="fr-FR"/>
        </w:rPr>
        <w:br/>
      </w:r>
      <w:r w:rsidR="00895BBA" w:rsidRPr="0039277D">
        <w:rPr>
          <w:lang w:val="fr-FR"/>
        </w:rPr>
        <w:t>résultats du questionnaire</w:t>
      </w:r>
      <w:r w:rsidRPr="0039277D">
        <w:rPr>
          <w:lang w:val="fr-FR"/>
        </w:rPr>
        <w:tab/>
      </w:r>
      <w:r w:rsidRPr="0039277D">
        <w:rPr>
          <w:lang w:val="fr-FR"/>
        </w:rPr>
        <w:tab/>
        <w:t>140</w:t>
      </w:r>
      <w:r w:rsidRPr="0039277D">
        <w:rPr>
          <w:lang w:val="fr-FR"/>
        </w:rPr>
        <w:tab/>
      </w:r>
      <w:r w:rsidR="00895BBA">
        <w:rPr>
          <w:lang w:val="fr-FR"/>
        </w:rPr>
        <w:t>32</w:t>
      </w:r>
    </w:p>
    <w:p w:rsidR="00D80597" w:rsidRPr="0039277D" w:rsidRDefault="00D80597" w:rsidP="00D80597">
      <w:pPr>
        <w:tabs>
          <w:tab w:val="right" w:leader="dot" w:pos="7654"/>
          <w:tab w:val="right" w:pos="8929"/>
          <w:tab w:val="right" w:pos="9638"/>
        </w:tabs>
        <w:spacing w:after="120"/>
        <w:ind w:left="1984" w:hanging="425"/>
        <w:rPr>
          <w:lang w:val="fr-FR"/>
        </w:rPr>
      </w:pPr>
      <w:r w:rsidRPr="0039277D">
        <w:rPr>
          <w:lang w:val="fr-FR"/>
        </w:rPr>
        <w:t>3.</w:t>
      </w:r>
      <w:r w:rsidRPr="0039277D">
        <w:rPr>
          <w:lang w:val="fr-FR"/>
        </w:rPr>
        <w:tab/>
      </w:r>
      <w:r w:rsidR="007340F5" w:rsidRPr="0039277D">
        <w:rPr>
          <w:lang w:val="fr-FR"/>
        </w:rPr>
        <w:t>Confirmation des amendements et corrections adoptés à titre provisoire</w:t>
      </w:r>
      <w:r w:rsidR="007340F5" w:rsidRPr="0039277D">
        <w:rPr>
          <w:lang w:val="fr-FR"/>
        </w:rPr>
        <w:br/>
        <w:t>à la session précédente</w:t>
      </w:r>
      <w:r w:rsidRPr="0039277D">
        <w:rPr>
          <w:lang w:val="fr-FR"/>
        </w:rPr>
        <w:tab/>
      </w:r>
      <w:r w:rsidRPr="0039277D">
        <w:rPr>
          <w:lang w:val="fr-FR"/>
        </w:rPr>
        <w:tab/>
        <w:t>141</w:t>
      </w:r>
      <w:r w:rsidRPr="0039277D">
        <w:rPr>
          <w:lang w:val="fr-FR"/>
        </w:rPr>
        <w:tab/>
      </w:r>
      <w:r w:rsidR="007340F5">
        <w:rPr>
          <w:lang w:val="fr-FR"/>
        </w:rPr>
        <w:t>32</w:t>
      </w:r>
    </w:p>
    <w:p w:rsidR="00D80597" w:rsidRPr="0039277D" w:rsidRDefault="00D80597" w:rsidP="00D80597">
      <w:pPr>
        <w:tabs>
          <w:tab w:val="right" w:pos="850"/>
          <w:tab w:val="right" w:leader="dot" w:pos="7654"/>
          <w:tab w:val="right" w:pos="8929"/>
          <w:tab w:val="right" w:pos="9638"/>
        </w:tabs>
        <w:spacing w:after="120"/>
        <w:ind w:left="1134" w:hanging="1134"/>
        <w:rPr>
          <w:lang w:val="fr-FR"/>
        </w:rPr>
      </w:pPr>
      <w:r w:rsidRPr="0039277D">
        <w:rPr>
          <w:lang w:val="fr-FR"/>
        </w:rPr>
        <w:tab/>
        <w:t>XIII.</w:t>
      </w:r>
      <w:r w:rsidRPr="0039277D">
        <w:rPr>
          <w:lang w:val="fr-FR"/>
        </w:rPr>
        <w:tab/>
      </w:r>
      <w:r w:rsidR="007340F5" w:rsidRPr="0039277D">
        <w:rPr>
          <w:lang w:val="fr-FR"/>
        </w:rPr>
        <w:t>Adoption du rapport (point 12 de l’ordre du jour)</w:t>
      </w:r>
      <w:r w:rsidRPr="0039277D">
        <w:rPr>
          <w:lang w:val="fr-FR"/>
        </w:rPr>
        <w:tab/>
      </w:r>
      <w:r w:rsidRPr="0039277D">
        <w:rPr>
          <w:lang w:val="fr-FR"/>
        </w:rPr>
        <w:tab/>
        <w:t>142</w:t>
      </w:r>
      <w:r w:rsidRPr="0039277D">
        <w:rPr>
          <w:lang w:val="fr-FR"/>
        </w:rPr>
        <w:tab/>
      </w:r>
      <w:r w:rsidR="007340F5">
        <w:rPr>
          <w:lang w:val="fr-FR"/>
        </w:rPr>
        <w:t>32</w:t>
      </w:r>
    </w:p>
    <w:p w:rsidR="00D80597" w:rsidRPr="00D80597" w:rsidRDefault="00E12FEC" w:rsidP="00D80597">
      <w:pPr>
        <w:tabs>
          <w:tab w:val="right" w:pos="850"/>
        </w:tabs>
        <w:spacing w:after="120"/>
        <w:rPr>
          <w:rFonts w:eastAsiaTheme="minorHAnsi"/>
        </w:rPr>
      </w:pPr>
      <w:r>
        <w:rPr>
          <w:rFonts w:eastAsiaTheme="minorHAnsi"/>
        </w:rPr>
        <w:tab/>
      </w:r>
      <w:r w:rsidR="00D80597" w:rsidRPr="00D80597">
        <w:rPr>
          <w:rFonts w:eastAsiaTheme="minorHAnsi"/>
        </w:rPr>
        <w:t>Annexes</w:t>
      </w:r>
    </w:p>
    <w:p w:rsidR="00D80597" w:rsidRPr="0039277D" w:rsidRDefault="006608EB" w:rsidP="00D80597">
      <w:pPr>
        <w:tabs>
          <w:tab w:val="right" w:pos="850"/>
          <w:tab w:val="right" w:leader="dot" w:pos="8929"/>
          <w:tab w:val="right" w:pos="9638"/>
        </w:tabs>
        <w:spacing w:after="120"/>
        <w:ind w:left="1134" w:hanging="1134"/>
        <w:rPr>
          <w:lang w:val="fr-FR"/>
        </w:rPr>
      </w:pPr>
      <w:r>
        <w:rPr>
          <w:lang w:val="fr-FR"/>
        </w:rPr>
        <w:tab/>
      </w:r>
      <w:r w:rsidR="00D80597" w:rsidRPr="0039277D">
        <w:rPr>
          <w:lang w:val="fr-FR"/>
        </w:rPr>
        <w:t>I.</w:t>
      </w:r>
      <w:r w:rsidR="00D80597" w:rsidRPr="0039277D">
        <w:rPr>
          <w:lang w:val="fr-FR"/>
        </w:rPr>
        <w:tab/>
        <w:t>Projets d</w:t>
      </w:r>
      <w:r w:rsidR="0039277D" w:rsidRPr="0039277D">
        <w:rPr>
          <w:lang w:val="fr-FR"/>
        </w:rPr>
        <w:t>’</w:t>
      </w:r>
      <w:r w:rsidR="00D80597" w:rsidRPr="0039277D">
        <w:rPr>
          <w:lang w:val="fr-FR"/>
        </w:rPr>
        <w:t xml:space="preserve">amendements à la sixième édition révisée des Recommandations relatives </w:t>
      </w:r>
      <w:r w:rsidR="00435345">
        <w:rPr>
          <w:lang w:val="fr-FR"/>
        </w:rPr>
        <w:br/>
      </w:r>
      <w:r w:rsidR="00D80597" w:rsidRPr="0039277D">
        <w:rPr>
          <w:lang w:val="fr-FR"/>
        </w:rPr>
        <w:t>au transport des marchandises dangereuses, Manuel d</w:t>
      </w:r>
      <w:r w:rsidR="0039277D" w:rsidRPr="0039277D">
        <w:rPr>
          <w:lang w:val="fr-FR"/>
        </w:rPr>
        <w:t>’</w:t>
      </w:r>
      <w:r w:rsidR="00D80597" w:rsidRPr="0039277D">
        <w:rPr>
          <w:lang w:val="fr-FR"/>
        </w:rPr>
        <w:t xml:space="preserve">épreuves et de critères </w:t>
      </w:r>
      <w:r w:rsidR="00435345">
        <w:rPr>
          <w:lang w:val="fr-FR"/>
        </w:rPr>
        <w:br/>
      </w:r>
      <w:r w:rsidR="00D80597" w:rsidRPr="0039277D">
        <w:rPr>
          <w:lang w:val="fr-FR"/>
        </w:rPr>
        <w:t>(ST/SG/AC.10/11/Rev.6)</w:t>
      </w:r>
      <w:r w:rsidR="001F071F">
        <w:rPr>
          <w:rStyle w:val="FootnoteReference"/>
        </w:rPr>
        <w:footnoteReference w:id="2"/>
      </w:r>
    </w:p>
    <w:p w:rsidR="00D80597" w:rsidRPr="0039277D" w:rsidRDefault="006608EB" w:rsidP="00D80597">
      <w:pPr>
        <w:tabs>
          <w:tab w:val="right" w:pos="850"/>
          <w:tab w:val="right" w:leader="dot" w:pos="8929"/>
          <w:tab w:val="right" w:pos="9638"/>
        </w:tabs>
        <w:spacing w:after="120"/>
        <w:ind w:left="1134" w:hanging="1134"/>
        <w:rPr>
          <w:lang w:val="fr-FR"/>
        </w:rPr>
      </w:pPr>
      <w:r>
        <w:rPr>
          <w:lang w:val="fr-FR"/>
        </w:rPr>
        <w:tab/>
      </w:r>
      <w:r w:rsidR="00D80597" w:rsidRPr="0039277D">
        <w:rPr>
          <w:lang w:val="fr-FR"/>
        </w:rPr>
        <w:t>II.</w:t>
      </w:r>
      <w:r w:rsidR="00D80597" w:rsidRPr="0039277D">
        <w:rPr>
          <w:lang w:val="fr-FR"/>
        </w:rPr>
        <w:tab/>
        <w:t>Projets d</w:t>
      </w:r>
      <w:r w:rsidR="0039277D" w:rsidRPr="0039277D">
        <w:rPr>
          <w:lang w:val="fr-FR"/>
        </w:rPr>
        <w:t>’</w:t>
      </w:r>
      <w:r w:rsidR="00D80597" w:rsidRPr="0039277D">
        <w:rPr>
          <w:lang w:val="fr-FR"/>
        </w:rPr>
        <w:t xml:space="preserve">amendements à la dix-neuvième édition révisée des Recommandations relatives </w:t>
      </w:r>
      <w:r w:rsidR="00435345">
        <w:rPr>
          <w:lang w:val="fr-FR"/>
        </w:rPr>
        <w:br/>
      </w:r>
      <w:r w:rsidR="00D80597" w:rsidRPr="0039277D">
        <w:rPr>
          <w:lang w:val="fr-FR"/>
        </w:rPr>
        <w:t>au transport des marchandises dangereuses, Règlement type (ST/SG/AC.10/1/Rev.19)</w:t>
      </w:r>
      <w:r w:rsidR="00D80597" w:rsidRPr="0039277D">
        <w:rPr>
          <w:vertAlign w:val="superscript"/>
          <w:lang w:val="fr-FR"/>
        </w:rPr>
        <w:t>1</w:t>
      </w:r>
    </w:p>
    <w:p w:rsidR="00D80597" w:rsidRPr="0039277D" w:rsidRDefault="00D80597" w:rsidP="00D80597">
      <w:pPr>
        <w:tabs>
          <w:tab w:val="right" w:pos="850"/>
          <w:tab w:val="right" w:leader="dot" w:pos="8929"/>
          <w:tab w:val="right" w:pos="9638"/>
        </w:tabs>
        <w:spacing w:after="120"/>
        <w:ind w:left="1134" w:hanging="1134"/>
        <w:rPr>
          <w:lang w:val="fr-FR"/>
        </w:rPr>
      </w:pPr>
      <w:r w:rsidRPr="0039277D">
        <w:rPr>
          <w:lang w:val="fr-FR"/>
        </w:rPr>
        <w:tab/>
        <w:t>III.</w:t>
      </w:r>
      <w:r w:rsidRPr="0039277D">
        <w:rPr>
          <w:lang w:val="fr-FR"/>
        </w:rPr>
        <w:tab/>
      </w:r>
      <w:r w:rsidR="006E33BB" w:rsidRPr="0039277D">
        <w:rPr>
          <w:lang w:val="fr-FR"/>
        </w:rPr>
        <w:t xml:space="preserve">Résumé des points convenus par le groupe de travail de pause déjeuner concernant </w:t>
      </w:r>
      <w:r w:rsidR="006E33BB">
        <w:rPr>
          <w:lang w:val="fr-FR"/>
        </w:rPr>
        <w:br/>
      </w:r>
      <w:r w:rsidR="006E33BB" w:rsidRPr="0039277D">
        <w:rPr>
          <w:lang w:val="fr-FR"/>
        </w:rPr>
        <w:t>les travaux sur le transport de déchets de la Division 6.2 de la catégorie A</w:t>
      </w:r>
      <w:r w:rsidR="00435345">
        <w:rPr>
          <w:lang w:val="fr-FR"/>
        </w:rPr>
        <w:tab/>
      </w:r>
      <w:r w:rsidR="00435345">
        <w:rPr>
          <w:lang w:val="fr-FR"/>
        </w:rPr>
        <w:tab/>
      </w:r>
      <w:r w:rsidR="006E33BB">
        <w:rPr>
          <w:lang w:val="fr-FR"/>
        </w:rPr>
        <w:t>34</w:t>
      </w:r>
    </w:p>
    <w:p w:rsidR="00D80597" w:rsidRPr="001F071F" w:rsidRDefault="00D80597" w:rsidP="00D80597">
      <w:pPr>
        <w:tabs>
          <w:tab w:val="right" w:pos="850"/>
          <w:tab w:val="right" w:leader="dot" w:pos="8929"/>
          <w:tab w:val="right" w:pos="9638"/>
        </w:tabs>
        <w:spacing w:after="120"/>
        <w:ind w:left="1134" w:hanging="1134"/>
        <w:rPr>
          <w:lang w:val="fr-FR"/>
        </w:rPr>
      </w:pPr>
      <w:r w:rsidRPr="0039277D">
        <w:rPr>
          <w:lang w:val="fr-FR"/>
        </w:rPr>
        <w:tab/>
        <w:t>IV.</w:t>
      </w:r>
      <w:r w:rsidRPr="0039277D">
        <w:rPr>
          <w:lang w:val="fr-FR"/>
        </w:rPr>
        <w:tab/>
        <w:t xml:space="preserve">Corrections à la sixième édition révisée des Recommandations relatives au transport </w:t>
      </w:r>
      <w:r w:rsidR="00435345">
        <w:rPr>
          <w:lang w:val="fr-FR"/>
        </w:rPr>
        <w:br/>
      </w:r>
      <w:r w:rsidRPr="0039277D">
        <w:rPr>
          <w:lang w:val="fr-FR"/>
        </w:rPr>
        <w:t>des marchandises dangereuses, Manuel d</w:t>
      </w:r>
      <w:r w:rsidR="0039277D" w:rsidRPr="0039277D">
        <w:rPr>
          <w:lang w:val="fr-FR"/>
        </w:rPr>
        <w:t>’</w:t>
      </w:r>
      <w:r w:rsidRPr="0039277D">
        <w:rPr>
          <w:lang w:val="fr-FR"/>
        </w:rPr>
        <w:t>épreuves et de critères (ST/SG/AC.10/11/Rev.6)</w:t>
      </w:r>
      <w:r w:rsidR="001F071F">
        <w:rPr>
          <w:vertAlign w:val="superscript"/>
          <w:lang w:val="fr-FR"/>
        </w:rPr>
        <w:t>1</w:t>
      </w:r>
    </w:p>
    <w:p w:rsidR="00D80597" w:rsidRPr="0039277D" w:rsidRDefault="00D80597" w:rsidP="00D80597">
      <w:pPr>
        <w:tabs>
          <w:tab w:val="right" w:pos="850"/>
          <w:tab w:val="right" w:leader="dot" w:pos="8929"/>
          <w:tab w:val="right" w:pos="9638"/>
        </w:tabs>
        <w:spacing w:after="120"/>
        <w:ind w:left="1134" w:hanging="1134"/>
        <w:rPr>
          <w:lang w:val="fr-FR"/>
        </w:rPr>
      </w:pPr>
      <w:r w:rsidRPr="0039277D">
        <w:rPr>
          <w:lang w:val="fr-FR"/>
        </w:rPr>
        <w:tab/>
        <w:t>V.</w:t>
      </w:r>
      <w:r w:rsidRPr="0039277D">
        <w:rPr>
          <w:lang w:val="fr-FR"/>
        </w:rPr>
        <w:tab/>
        <w:t xml:space="preserve">Corrections à la dix-neuvième édition révisée des Recommandations relatives au transport </w:t>
      </w:r>
      <w:r w:rsidR="00435345">
        <w:rPr>
          <w:lang w:val="fr-FR"/>
        </w:rPr>
        <w:br/>
      </w:r>
      <w:r w:rsidRPr="0039277D">
        <w:rPr>
          <w:lang w:val="fr-FR"/>
        </w:rPr>
        <w:t>des marchandises dangereuses, Règlement type (ST/SG/AC.10/1/Rev.19)</w:t>
      </w:r>
      <w:r w:rsidR="001F071F">
        <w:rPr>
          <w:vertAlign w:val="superscript"/>
          <w:lang w:val="fr-FR"/>
        </w:rPr>
        <w:t>1</w:t>
      </w:r>
    </w:p>
    <w:p w:rsidR="00D80597" w:rsidRPr="0039277D" w:rsidRDefault="00D80597" w:rsidP="00D80597">
      <w:pPr>
        <w:tabs>
          <w:tab w:val="right" w:pos="850"/>
          <w:tab w:val="right" w:leader="dot" w:pos="8929"/>
          <w:tab w:val="right" w:pos="9638"/>
        </w:tabs>
        <w:spacing w:after="120"/>
        <w:ind w:left="1134" w:hanging="1134"/>
        <w:rPr>
          <w:lang w:val="fr-FR"/>
        </w:rPr>
      </w:pPr>
      <w:r w:rsidRPr="0039277D">
        <w:rPr>
          <w:lang w:val="fr-FR"/>
        </w:rPr>
        <w:tab/>
        <w:t>VI.</w:t>
      </w:r>
      <w:r w:rsidRPr="0039277D">
        <w:rPr>
          <w:lang w:val="fr-FR"/>
        </w:rPr>
        <w:tab/>
        <w:t>Proposition d</w:t>
      </w:r>
      <w:r w:rsidR="0039277D" w:rsidRPr="0039277D">
        <w:rPr>
          <w:lang w:val="fr-FR"/>
        </w:rPr>
        <w:t>’</w:t>
      </w:r>
      <w:r w:rsidRPr="0039277D">
        <w:rPr>
          <w:lang w:val="fr-FR"/>
        </w:rPr>
        <w:t xml:space="preserve">amendements à la sixième édition révisée du Système général harmonisé </w:t>
      </w:r>
      <w:r w:rsidR="00435345">
        <w:rPr>
          <w:lang w:val="fr-FR"/>
        </w:rPr>
        <w:br/>
      </w:r>
      <w:r w:rsidRPr="0039277D">
        <w:rPr>
          <w:lang w:val="fr-FR"/>
        </w:rPr>
        <w:t>de classification et d</w:t>
      </w:r>
      <w:r w:rsidR="0039277D" w:rsidRPr="0039277D">
        <w:rPr>
          <w:lang w:val="fr-FR"/>
        </w:rPr>
        <w:t>’</w:t>
      </w:r>
      <w:r w:rsidRPr="0039277D">
        <w:rPr>
          <w:lang w:val="fr-FR"/>
        </w:rPr>
        <w:t>étiquetage des produits chimiques (SGH) (ST/SG/AC.10/30/Rev.6)</w:t>
      </w:r>
      <w:r w:rsidR="001F071F">
        <w:rPr>
          <w:vertAlign w:val="superscript"/>
          <w:lang w:val="fr-FR"/>
        </w:rPr>
        <w:t>1</w:t>
      </w:r>
    </w:p>
    <w:p w:rsidR="00D80597" w:rsidRPr="00E12FEC" w:rsidRDefault="00E12FEC" w:rsidP="00E12FEC">
      <w:pPr>
        <w:pStyle w:val="HChG"/>
        <w:rPr>
          <w:b w:val="0"/>
          <w:lang w:val="fr-FR"/>
        </w:rPr>
      </w:pPr>
      <w:r>
        <w:rPr>
          <w:lang w:val="fr-FR"/>
        </w:rPr>
        <w:br w:type="page"/>
      </w:r>
      <w:r w:rsidR="00D80597" w:rsidRPr="0039277D">
        <w:rPr>
          <w:lang w:val="fr-FR"/>
        </w:rPr>
        <w:tab/>
        <w:t>I.</w:t>
      </w:r>
      <w:r w:rsidR="00D80597" w:rsidRPr="0039277D">
        <w:rPr>
          <w:lang w:val="fr-FR"/>
        </w:rPr>
        <w:tab/>
        <w:t>Participation</w:t>
      </w:r>
    </w:p>
    <w:p w:rsidR="00D80597" w:rsidRPr="0039277D" w:rsidRDefault="00D80597" w:rsidP="008B3C58">
      <w:pPr>
        <w:pStyle w:val="ParNoG"/>
        <w:rPr>
          <w:lang w:val="fr-FR"/>
        </w:rPr>
      </w:pPr>
      <w:r w:rsidRPr="0039277D">
        <w:rPr>
          <w:lang w:val="fr-FR"/>
        </w:rPr>
        <w:t>Le Sous</w:t>
      </w:r>
      <w:r w:rsidR="0066043C">
        <w:rPr>
          <w:lang w:val="fr-FR"/>
        </w:rPr>
        <w:t>-</w:t>
      </w:r>
      <w:r w:rsidRPr="0039277D">
        <w:rPr>
          <w:lang w:val="fr-FR"/>
        </w:rPr>
        <w:t>Comité d</w:t>
      </w:r>
      <w:r w:rsidR="0039277D" w:rsidRPr="0039277D">
        <w:rPr>
          <w:lang w:val="fr-FR"/>
        </w:rPr>
        <w:t>’</w:t>
      </w:r>
      <w:r w:rsidRPr="0039277D">
        <w:rPr>
          <w:lang w:val="fr-FR"/>
        </w:rPr>
        <w:t>experts du transport des marchandises dangereuses a tenu sa quarante-neuvième session du 27</w:t>
      </w:r>
      <w:r w:rsidR="008813A0">
        <w:rPr>
          <w:lang w:val="fr-FR"/>
        </w:rPr>
        <w:t> </w:t>
      </w:r>
      <w:r w:rsidRPr="0039277D">
        <w:rPr>
          <w:lang w:val="fr-FR"/>
        </w:rPr>
        <w:t>juin au 6</w:t>
      </w:r>
      <w:r w:rsidR="008813A0">
        <w:rPr>
          <w:lang w:val="fr-FR"/>
        </w:rPr>
        <w:t> </w:t>
      </w:r>
      <w:r w:rsidRPr="0039277D">
        <w:rPr>
          <w:lang w:val="fr-FR"/>
        </w:rPr>
        <w:t>juillet 2016, sous la présidence de M. D. Pfund (États-Unis d</w:t>
      </w:r>
      <w:r w:rsidR="0039277D" w:rsidRPr="0039277D">
        <w:rPr>
          <w:lang w:val="fr-FR"/>
        </w:rPr>
        <w:t>’</w:t>
      </w:r>
      <w:r w:rsidRPr="0039277D">
        <w:rPr>
          <w:lang w:val="fr-FR"/>
        </w:rPr>
        <w:t>Amérique) et la vice-présidence de M.</w:t>
      </w:r>
      <w:r w:rsidR="008813A0">
        <w:rPr>
          <w:lang w:val="fr-FR"/>
        </w:rPr>
        <w:t> </w:t>
      </w:r>
      <w:r w:rsidRPr="0039277D">
        <w:rPr>
          <w:lang w:val="fr-FR"/>
        </w:rPr>
        <w:t>C. Pfauvadel (France).</w:t>
      </w:r>
    </w:p>
    <w:p w:rsidR="00D80597" w:rsidRPr="0039277D" w:rsidRDefault="00D80597" w:rsidP="008B3C58">
      <w:pPr>
        <w:pStyle w:val="ParNoG"/>
        <w:rPr>
          <w:lang w:val="fr-FR"/>
        </w:rPr>
      </w:pPr>
      <w:r w:rsidRPr="0039277D">
        <w:rPr>
          <w:lang w:val="fr-FR"/>
        </w:rPr>
        <w:t>Ont participé à cette session des experts des pays suivants : Afrique du Sud, Allemagne, Argentine, Australie, Autriche, Belgique, Brésil, Canada, Chine, Espagne, États-Unis d</w:t>
      </w:r>
      <w:r w:rsidR="0039277D" w:rsidRPr="0039277D">
        <w:rPr>
          <w:lang w:val="fr-FR"/>
        </w:rPr>
        <w:t>’</w:t>
      </w:r>
      <w:r w:rsidRPr="0039277D">
        <w:rPr>
          <w:lang w:val="fr-FR"/>
        </w:rPr>
        <w:t>Amérique, Fédération de Russie, Finlande, France, Italie, Japon, Norvège, Pays-Bas, Pologne, Portugal, République de Corée, Royaume-Uni, Suède et Suisse.</w:t>
      </w:r>
    </w:p>
    <w:p w:rsidR="00D80597" w:rsidRPr="0039277D" w:rsidRDefault="00D80597" w:rsidP="008B3C58">
      <w:pPr>
        <w:pStyle w:val="ParNoG"/>
        <w:rPr>
          <w:lang w:val="fr-FR"/>
        </w:rPr>
      </w:pPr>
      <w:r w:rsidRPr="0039277D">
        <w:rPr>
          <w:lang w:val="fr-FR"/>
        </w:rPr>
        <w:t>En vertu de l</w:t>
      </w:r>
      <w:r w:rsidR="0039277D" w:rsidRPr="0039277D">
        <w:rPr>
          <w:lang w:val="fr-FR"/>
        </w:rPr>
        <w:t>’</w:t>
      </w:r>
      <w:r w:rsidRPr="0039277D">
        <w:rPr>
          <w:lang w:val="fr-FR"/>
        </w:rPr>
        <w:t>article 72 du Règlement intérieur du Conseil économique et social, des observateurs du Luxembourg, de la Nouvelle-Zélande et de la Roumanie y ont également participé.</w:t>
      </w:r>
    </w:p>
    <w:p w:rsidR="00D80597" w:rsidRPr="0039277D" w:rsidRDefault="00D80597" w:rsidP="008B3C58">
      <w:pPr>
        <w:pStyle w:val="ParNoG"/>
        <w:rPr>
          <w:lang w:val="fr-FR"/>
        </w:rPr>
      </w:pPr>
      <w:r w:rsidRPr="0039277D">
        <w:rPr>
          <w:lang w:val="fr-FR"/>
        </w:rPr>
        <w:t>L</w:t>
      </w:r>
      <w:r w:rsidR="0039277D" w:rsidRPr="0039277D">
        <w:rPr>
          <w:lang w:val="fr-FR"/>
        </w:rPr>
        <w:t>’</w:t>
      </w:r>
      <w:r w:rsidRPr="0039277D">
        <w:rPr>
          <w:lang w:val="fr-FR"/>
        </w:rPr>
        <w:t>Union européenne et l</w:t>
      </w:r>
      <w:r w:rsidR="0039277D" w:rsidRPr="0039277D">
        <w:rPr>
          <w:lang w:val="fr-FR"/>
        </w:rPr>
        <w:t>’</w:t>
      </w:r>
      <w:r w:rsidRPr="0039277D">
        <w:rPr>
          <w:lang w:val="fr-FR"/>
        </w:rPr>
        <w:t>Organisation intergouvernementale pour les transports internationaux ferroviaires (OTIF) étaient également représentées.</w:t>
      </w:r>
    </w:p>
    <w:p w:rsidR="00D80597" w:rsidRPr="0039277D" w:rsidRDefault="00D80597" w:rsidP="008B3C58">
      <w:pPr>
        <w:pStyle w:val="ParNoG"/>
        <w:rPr>
          <w:lang w:val="fr-FR"/>
        </w:rPr>
      </w:pPr>
      <w:r w:rsidRPr="0039277D">
        <w:rPr>
          <w:lang w:val="fr-FR"/>
        </w:rPr>
        <w:t>Des représentants de l</w:t>
      </w:r>
      <w:r w:rsidR="0039277D" w:rsidRPr="0039277D">
        <w:rPr>
          <w:lang w:val="fr-FR"/>
        </w:rPr>
        <w:t>’</w:t>
      </w:r>
      <w:r w:rsidRPr="0039277D">
        <w:rPr>
          <w:lang w:val="fr-FR"/>
        </w:rPr>
        <w:t>Institut des Nations Unies pour la formation et la recherche (UNITAR), de l</w:t>
      </w:r>
      <w:r w:rsidR="0039277D" w:rsidRPr="0039277D">
        <w:rPr>
          <w:lang w:val="fr-FR"/>
        </w:rPr>
        <w:t>’</w:t>
      </w:r>
      <w:r w:rsidRPr="0039277D">
        <w:rPr>
          <w:lang w:val="fr-FR"/>
        </w:rPr>
        <w:t>Organisation de l</w:t>
      </w:r>
      <w:r w:rsidR="0039277D" w:rsidRPr="0039277D">
        <w:rPr>
          <w:lang w:val="fr-FR"/>
        </w:rPr>
        <w:t>’</w:t>
      </w:r>
      <w:r w:rsidRPr="0039277D">
        <w:rPr>
          <w:lang w:val="fr-FR"/>
        </w:rPr>
        <w:t>aviation civile internationale (OACI), de l</w:t>
      </w:r>
      <w:r w:rsidR="0039277D" w:rsidRPr="0039277D">
        <w:rPr>
          <w:lang w:val="fr-FR"/>
        </w:rPr>
        <w:t>’</w:t>
      </w:r>
      <w:r w:rsidRPr="0039277D">
        <w:rPr>
          <w:lang w:val="fr-FR"/>
        </w:rPr>
        <w:t>Organisation maritime internationale (OMI), de l</w:t>
      </w:r>
      <w:r w:rsidR="0039277D" w:rsidRPr="0039277D">
        <w:rPr>
          <w:lang w:val="fr-FR"/>
        </w:rPr>
        <w:t>’</w:t>
      </w:r>
      <w:r w:rsidRPr="0039277D">
        <w:rPr>
          <w:lang w:val="fr-FR"/>
        </w:rPr>
        <w:t>Organisation mondiale de la Santé (OMS) et de l</w:t>
      </w:r>
      <w:r w:rsidR="0039277D" w:rsidRPr="0039277D">
        <w:rPr>
          <w:lang w:val="fr-FR"/>
        </w:rPr>
        <w:t>’</w:t>
      </w:r>
      <w:r w:rsidRPr="0039277D">
        <w:rPr>
          <w:lang w:val="fr-FR"/>
        </w:rPr>
        <w:t>Organisation des Nations Unies pour l</w:t>
      </w:r>
      <w:r w:rsidR="0039277D" w:rsidRPr="0039277D">
        <w:rPr>
          <w:lang w:val="fr-FR"/>
        </w:rPr>
        <w:t>’</w:t>
      </w:r>
      <w:r w:rsidRPr="0039277D">
        <w:rPr>
          <w:lang w:val="fr-FR"/>
        </w:rPr>
        <w:t>alimentation et l</w:t>
      </w:r>
      <w:r w:rsidR="0039277D" w:rsidRPr="0039277D">
        <w:rPr>
          <w:lang w:val="fr-FR"/>
        </w:rPr>
        <w:t>’</w:t>
      </w:r>
      <w:r w:rsidRPr="0039277D">
        <w:rPr>
          <w:lang w:val="fr-FR"/>
        </w:rPr>
        <w:t>agriculture (FAO) étaient également présents.</w:t>
      </w:r>
    </w:p>
    <w:p w:rsidR="00D80597" w:rsidRPr="0039277D" w:rsidRDefault="00D80597" w:rsidP="008B3C58">
      <w:pPr>
        <w:pStyle w:val="ParNoG"/>
        <w:rPr>
          <w:lang w:val="fr-FR"/>
        </w:rPr>
      </w:pPr>
      <w:r w:rsidRPr="0039277D">
        <w:rPr>
          <w:lang w:val="fr-FR"/>
        </w:rPr>
        <w:t>Ont participé aux débats sur des points intéressant leur organisation des représentants des organisations non gouvernementales suivantes : Association du transport aérien international (IATA) ; Association européenne des fournisseurs de l</w:t>
      </w:r>
      <w:r w:rsidR="0039277D" w:rsidRPr="0039277D">
        <w:rPr>
          <w:lang w:val="fr-FR"/>
        </w:rPr>
        <w:t>’</w:t>
      </w:r>
      <w:r w:rsidRPr="0039277D">
        <w:rPr>
          <w:lang w:val="fr-FR"/>
        </w:rPr>
        <w:t>automobile (CLEPA) ; Association européenne des gaz industriels (EIGA) ; Association internationale de la savonnerie, de la détergence et des produits d</w:t>
      </w:r>
      <w:r w:rsidR="0039277D" w:rsidRPr="0039277D">
        <w:rPr>
          <w:lang w:val="fr-FR"/>
        </w:rPr>
        <w:t>’</w:t>
      </w:r>
      <w:r w:rsidRPr="0039277D">
        <w:rPr>
          <w:lang w:val="fr-FR"/>
        </w:rPr>
        <w:t>entretien (AISE) ; Association internationale des services d</w:t>
      </w:r>
      <w:r w:rsidR="0039277D" w:rsidRPr="0039277D">
        <w:rPr>
          <w:lang w:val="fr-FR"/>
        </w:rPr>
        <w:t>’</w:t>
      </w:r>
      <w:r w:rsidRPr="0039277D">
        <w:rPr>
          <w:lang w:val="fr-FR"/>
        </w:rPr>
        <w:t>incendie et de secours (CTIF) ; Australian Explosives Industry Safety Group (AEISG) ; Compressed Gas Association (CGA) ; Conseil européen de l</w:t>
      </w:r>
      <w:r w:rsidR="0039277D" w:rsidRPr="0039277D">
        <w:rPr>
          <w:lang w:val="fr-FR"/>
        </w:rPr>
        <w:t>’</w:t>
      </w:r>
      <w:r w:rsidRPr="0039277D">
        <w:rPr>
          <w:lang w:val="fr-FR"/>
        </w:rPr>
        <w:t>industrie chimique (CEFIC) ; Conseil international des associations chimiques (ICCA) ; Conseil international des peintures et des encres d</w:t>
      </w:r>
      <w:r w:rsidR="0039277D" w:rsidRPr="0039277D">
        <w:rPr>
          <w:lang w:val="fr-FR"/>
        </w:rPr>
        <w:t>’</w:t>
      </w:r>
      <w:r w:rsidRPr="0039277D">
        <w:rPr>
          <w:lang w:val="fr-FR"/>
        </w:rPr>
        <w:t>imprimerie (IPPIC) ; Cosmetics Europe ; Council on Safe Transportation of Hazardous Articles (COSTHA) ; Dangerous Goods Advisory Council (DGAC) ; Dangerous Goods Trainers Association (DGTA) ; European Association for Advanced Rechargeable Batteries (RECHARGE) ; Fédération européenne des aérosols (FEA) ; Fertilizers Europe (FE) ; Fédération internationale des sociétés d</w:t>
      </w:r>
      <w:r w:rsidR="0039277D" w:rsidRPr="0039277D">
        <w:rPr>
          <w:lang w:val="fr-FR"/>
        </w:rPr>
        <w:t>’</w:t>
      </w:r>
      <w:r w:rsidRPr="0039277D">
        <w:rPr>
          <w:lang w:val="fr-FR"/>
        </w:rPr>
        <w:t>inspection (IFIA) ; Institute of Makers of Explosives (IME) ; International Confederation of Container Reconditioners (ICCR) ; International Confederation of Plastics Packaging Manufacturers (ICPP) ; International Council of Intermediate Bulk Container Associations (ICIBCA) ;</w:t>
      </w:r>
      <w:r w:rsidRPr="0039277D">
        <w:rPr>
          <w:b/>
          <w:i/>
          <w:lang w:val="fr-FR"/>
        </w:rPr>
        <w:t xml:space="preserve"> </w:t>
      </w:r>
      <w:r w:rsidRPr="0039277D">
        <w:rPr>
          <w:lang w:val="fr-FR"/>
        </w:rPr>
        <w:t xml:space="preserve">International Dangerous Goods and Containers Association (IDGCA) ; International Fibre Drum Institute (IFDI) ; International Fishmeal and Fish Oil Organization (IFFO) ; KiloFarad International (KFI) ; Organisation internationale de normalisation (ISO) ; Organisation internationale des </w:t>
      </w:r>
      <w:r w:rsidR="00C90015" w:rsidRPr="0039277D">
        <w:rPr>
          <w:lang w:val="fr-FR"/>
        </w:rPr>
        <w:t>c</w:t>
      </w:r>
      <w:r w:rsidRPr="0039277D">
        <w:rPr>
          <w:lang w:val="fr-FR"/>
        </w:rPr>
        <w:t>onstructeurs automobiles (OICA) ; Portable Rechargeable Battery Association (PRBA) ; Responsible Packaging Management Association of Southern Africa (RPMASA) ; et Sporting Arms and Ammunition Manufacturers</w:t>
      </w:r>
      <w:r w:rsidR="0039277D" w:rsidRPr="0039277D">
        <w:rPr>
          <w:lang w:val="fr-FR"/>
        </w:rPr>
        <w:t>’</w:t>
      </w:r>
      <w:r w:rsidRPr="0039277D">
        <w:rPr>
          <w:lang w:val="fr-FR"/>
        </w:rPr>
        <w:t xml:space="preserve"> Institute (SAAMI).</w:t>
      </w:r>
    </w:p>
    <w:p w:rsidR="00D80597" w:rsidRPr="0039277D" w:rsidRDefault="00D80597" w:rsidP="00E12FEC">
      <w:pPr>
        <w:pStyle w:val="HChG"/>
        <w:rPr>
          <w:lang w:val="fr-FR"/>
        </w:rPr>
      </w:pPr>
      <w:r w:rsidRPr="0039277D">
        <w:rPr>
          <w:lang w:val="fr-FR"/>
        </w:rPr>
        <w:tab/>
        <w:t>II.</w:t>
      </w:r>
      <w:r w:rsidRPr="0039277D">
        <w:rPr>
          <w:lang w:val="fr-FR"/>
        </w:rPr>
        <w:tab/>
        <w:t>Adoption de l</w:t>
      </w:r>
      <w:r w:rsidR="0039277D" w:rsidRPr="0039277D">
        <w:rPr>
          <w:lang w:val="fr-FR"/>
        </w:rPr>
        <w:t>’</w:t>
      </w:r>
      <w:r w:rsidRPr="0039277D">
        <w:rPr>
          <w:lang w:val="fr-FR"/>
        </w:rPr>
        <w:t>ordre du jour (point 1 de l</w:t>
      </w:r>
      <w:r w:rsidR="0039277D" w:rsidRPr="0039277D">
        <w:rPr>
          <w:lang w:val="fr-FR"/>
        </w:rPr>
        <w:t>’</w:t>
      </w:r>
      <w:r w:rsidRPr="0039277D">
        <w:rPr>
          <w:lang w:val="fr-FR"/>
        </w:rPr>
        <w:t>ordre du jour)</w:t>
      </w:r>
    </w:p>
    <w:p w:rsidR="00D80597" w:rsidRPr="0039277D" w:rsidRDefault="00D80597" w:rsidP="00855C98">
      <w:pPr>
        <w:keepNext/>
        <w:spacing w:after="120"/>
        <w:ind w:left="3119" w:hanging="1985"/>
        <w:rPr>
          <w:lang w:val="fr-FR"/>
        </w:rPr>
      </w:pPr>
      <w:r w:rsidRPr="0039277D">
        <w:rPr>
          <w:i/>
          <w:lang w:val="fr-FR"/>
        </w:rPr>
        <w:t>Documents</w:t>
      </w:r>
      <w:r w:rsidRPr="0039277D">
        <w:rPr>
          <w:lang w:val="fr-FR"/>
        </w:rPr>
        <w:t> :</w:t>
      </w:r>
      <w:r w:rsidRPr="0039277D">
        <w:rPr>
          <w:lang w:val="fr-FR"/>
        </w:rPr>
        <w:tab/>
        <w:t>ST/SG/AC.10/C.3/97 (ordre du jour provisoire)</w:t>
      </w:r>
      <w:r w:rsidRPr="0039277D">
        <w:rPr>
          <w:lang w:val="fr-FR"/>
        </w:rPr>
        <w:br/>
        <w:t>ST/SG/AC.10/C.3/97/Add.1 (liste des documents).</w:t>
      </w:r>
    </w:p>
    <w:p w:rsidR="00D80597" w:rsidRPr="0039277D" w:rsidRDefault="00D80597" w:rsidP="00855C98">
      <w:pPr>
        <w:keepNext/>
        <w:spacing w:after="120"/>
        <w:ind w:left="3119" w:hanging="1985"/>
        <w:rPr>
          <w:lang w:val="fr-FR"/>
        </w:rPr>
      </w:pPr>
      <w:r w:rsidRPr="0039277D">
        <w:rPr>
          <w:i/>
          <w:lang w:val="fr-FR"/>
        </w:rPr>
        <w:t>Documents informels</w:t>
      </w:r>
      <w:r w:rsidRPr="0039277D">
        <w:rPr>
          <w:lang w:val="fr-FR"/>
        </w:rPr>
        <w:t> :</w:t>
      </w:r>
      <w:r w:rsidRPr="0039277D">
        <w:rPr>
          <w:lang w:val="fr-FR"/>
        </w:rPr>
        <w:tab/>
        <w:t>INF.1 et INF.2 (liste des documents)</w:t>
      </w:r>
      <w:r w:rsidRPr="0039277D">
        <w:rPr>
          <w:lang w:val="fr-FR"/>
        </w:rPr>
        <w:br/>
        <w:t>INF.8 (calendrier provisoire)</w:t>
      </w:r>
      <w:r w:rsidRPr="0039277D">
        <w:rPr>
          <w:lang w:val="fr-FR"/>
        </w:rPr>
        <w:br/>
        <w:t>INF.44 (réception organisée par les organisations non gouvernementales).</w:t>
      </w:r>
    </w:p>
    <w:p w:rsidR="00D80597" w:rsidRPr="0039277D" w:rsidRDefault="00D80597" w:rsidP="00855C98">
      <w:pPr>
        <w:pStyle w:val="ParNoG"/>
        <w:rPr>
          <w:lang w:val="fr-FR"/>
        </w:rPr>
      </w:pPr>
      <w:r w:rsidRPr="0039277D">
        <w:rPr>
          <w:lang w:val="fr-FR"/>
        </w:rPr>
        <w:t>Le Sous-Comité a adopté l</w:t>
      </w:r>
      <w:r w:rsidR="0039277D" w:rsidRPr="0039277D">
        <w:rPr>
          <w:lang w:val="fr-FR"/>
        </w:rPr>
        <w:t>’</w:t>
      </w:r>
      <w:r w:rsidRPr="0039277D">
        <w:rPr>
          <w:lang w:val="fr-FR"/>
        </w:rPr>
        <w:t>ordre du jour provisoire établi par le secrétariat après l</w:t>
      </w:r>
      <w:r w:rsidR="0039277D" w:rsidRPr="0039277D">
        <w:rPr>
          <w:lang w:val="fr-FR"/>
        </w:rPr>
        <w:t>’</w:t>
      </w:r>
      <w:r w:rsidRPr="0039277D">
        <w:rPr>
          <w:lang w:val="fr-FR"/>
        </w:rPr>
        <w:t>avoir modifié pour tenir compte des documents informels.</w:t>
      </w:r>
    </w:p>
    <w:p w:rsidR="00D80597" w:rsidRPr="0039277D" w:rsidRDefault="00D80597" w:rsidP="00E12FEC">
      <w:pPr>
        <w:pStyle w:val="HChG"/>
        <w:rPr>
          <w:lang w:val="fr-FR"/>
        </w:rPr>
      </w:pPr>
      <w:r w:rsidRPr="0039277D">
        <w:rPr>
          <w:lang w:val="fr-FR"/>
        </w:rPr>
        <w:tab/>
        <w:t>III.</w:t>
      </w:r>
      <w:r w:rsidRPr="0039277D">
        <w:rPr>
          <w:lang w:val="fr-FR"/>
        </w:rPr>
        <w:tab/>
        <w:t>Explosifs et questions connexes (point 2 de l</w:t>
      </w:r>
      <w:r w:rsidR="0039277D" w:rsidRPr="0039277D">
        <w:rPr>
          <w:lang w:val="fr-FR"/>
        </w:rPr>
        <w:t>’</w:t>
      </w:r>
      <w:r w:rsidRPr="0039277D">
        <w:rPr>
          <w:lang w:val="fr-FR"/>
        </w:rPr>
        <w:t>ordre du jour)</w:t>
      </w:r>
    </w:p>
    <w:p w:rsidR="00D80597" w:rsidRPr="0039277D" w:rsidRDefault="00D80597" w:rsidP="008B3C58">
      <w:pPr>
        <w:pStyle w:val="ParNoG"/>
        <w:rPr>
          <w:lang w:val="fr-FR"/>
        </w:rPr>
      </w:pPr>
      <w:r w:rsidRPr="0039277D">
        <w:rPr>
          <w:lang w:val="fr-FR"/>
        </w:rPr>
        <w:t>Après un examen préliminaire en séance plénière, la plupart des questions relatives à ce point de l</w:t>
      </w:r>
      <w:r w:rsidR="0039277D" w:rsidRPr="0039277D">
        <w:rPr>
          <w:lang w:val="fr-FR"/>
        </w:rPr>
        <w:t>’</w:t>
      </w:r>
      <w:r w:rsidRPr="0039277D">
        <w:rPr>
          <w:lang w:val="fr-FR"/>
        </w:rPr>
        <w:t>ordre du jour ont été renvoyées au Groupe de travail des explosifs, qui s</w:t>
      </w:r>
      <w:r w:rsidR="0039277D" w:rsidRPr="0039277D">
        <w:rPr>
          <w:lang w:val="fr-FR"/>
        </w:rPr>
        <w:t>’</w:t>
      </w:r>
      <w:r w:rsidRPr="0039277D">
        <w:rPr>
          <w:lang w:val="fr-FR"/>
        </w:rPr>
        <w:t>est réuni du 27</w:t>
      </w:r>
      <w:r w:rsidR="008813A0">
        <w:rPr>
          <w:lang w:val="fr-FR"/>
        </w:rPr>
        <w:t> </w:t>
      </w:r>
      <w:r w:rsidRPr="0039277D">
        <w:rPr>
          <w:lang w:val="fr-FR"/>
        </w:rPr>
        <w:t>juin au 1</w:t>
      </w:r>
      <w:r w:rsidRPr="0039277D">
        <w:rPr>
          <w:vertAlign w:val="superscript"/>
          <w:lang w:val="fr-FR"/>
        </w:rPr>
        <w:t>er</w:t>
      </w:r>
      <w:r w:rsidR="008813A0">
        <w:rPr>
          <w:lang w:val="fr-FR"/>
        </w:rPr>
        <w:t> </w:t>
      </w:r>
      <w:r w:rsidRPr="0039277D">
        <w:rPr>
          <w:lang w:val="fr-FR"/>
        </w:rPr>
        <w:t>juillet 2016, sous la présidence de M.</w:t>
      </w:r>
      <w:r w:rsidR="008813A0">
        <w:rPr>
          <w:lang w:val="fr-FR"/>
        </w:rPr>
        <w:t> </w:t>
      </w:r>
      <w:r w:rsidRPr="0039277D">
        <w:rPr>
          <w:lang w:val="fr-FR"/>
        </w:rPr>
        <w:t>E. de Jong (Pays-Bas).</w:t>
      </w:r>
    </w:p>
    <w:p w:rsidR="00D80597" w:rsidRPr="0039277D" w:rsidRDefault="00D80597" w:rsidP="008B3C58">
      <w:pPr>
        <w:pStyle w:val="ParNoG"/>
        <w:rPr>
          <w:lang w:val="fr-FR"/>
        </w:rPr>
      </w:pPr>
      <w:r w:rsidRPr="0039277D">
        <w:rPr>
          <w:lang w:val="fr-FR"/>
        </w:rPr>
        <w:t>Ont de même été renvoyés au Groupe de travail des explosifs les documents informels INF.4 et Add.1 à 5 et INF.6 relatifs à l</w:t>
      </w:r>
      <w:r w:rsidR="0039277D" w:rsidRPr="0039277D">
        <w:rPr>
          <w:lang w:val="fr-FR"/>
        </w:rPr>
        <w:t>’</w:t>
      </w:r>
      <w:r w:rsidRPr="0039277D">
        <w:rPr>
          <w:lang w:val="fr-FR"/>
        </w:rPr>
        <w:t>utilisation du Manuel d</w:t>
      </w:r>
      <w:r w:rsidR="0039277D" w:rsidRPr="0039277D">
        <w:rPr>
          <w:lang w:val="fr-FR"/>
        </w:rPr>
        <w:t>’</w:t>
      </w:r>
      <w:r w:rsidRPr="0039277D">
        <w:rPr>
          <w:lang w:val="fr-FR"/>
        </w:rPr>
        <w:t>épreuves et de critères dans le contexte du</w:t>
      </w:r>
      <w:r w:rsidR="008813A0">
        <w:rPr>
          <w:lang w:val="fr-FR"/>
        </w:rPr>
        <w:t xml:space="preserve"> SGH inscrits au titre du point </w:t>
      </w:r>
      <w:r w:rsidRPr="0039277D">
        <w:rPr>
          <w:lang w:val="fr-FR"/>
        </w:rPr>
        <w:t>10 g) de l</w:t>
      </w:r>
      <w:r w:rsidR="0039277D" w:rsidRPr="0039277D">
        <w:rPr>
          <w:lang w:val="fr-FR"/>
        </w:rPr>
        <w:t>’</w:t>
      </w:r>
      <w:r w:rsidRPr="0039277D">
        <w:rPr>
          <w:lang w:val="fr-FR"/>
        </w:rPr>
        <w:t>ordre du jour, le document ST/SG/AC.10/C.3/2016/30 relatif à des précisions concernant les critères de classification des explosifs désensibilisés dans le SGH inscrit au titre du point 10</w:t>
      </w:r>
      <w:r w:rsidR="008813A0">
        <w:rPr>
          <w:lang w:val="fr-FR"/>
        </w:rPr>
        <w:t> </w:t>
      </w:r>
      <w:r w:rsidRPr="0039277D">
        <w:rPr>
          <w:lang w:val="fr-FR"/>
        </w:rPr>
        <w:t>i) de l</w:t>
      </w:r>
      <w:r w:rsidR="0039277D" w:rsidRPr="0039277D">
        <w:rPr>
          <w:lang w:val="fr-FR"/>
        </w:rPr>
        <w:t>’</w:t>
      </w:r>
      <w:r w:rsidRPr="0039277D">
        <w:rPr>
          <w:lang w:val="fr-FR"/>
        </w:rPr>
        <w:t>ordre du jour, ainsi que le document ST/SG/AC.10/C.3/2016/15 relatif à la définition de l</w:t>
      </w:r>
      <w:r w:rsidR="0039277D" w:rsidRPr="0039277D">
        <w:rPr>
          <w:lang w:val="fr-FR"/>
        </w:rPr>
        <w:t>’</w:t>
      </w:r>
      <w:r w:rsidRPr="0039277D">
        <w:rPr>
          <w:lang w:val="fr-FR"/>
        </w:rPr>
        <w:t>acier doux, inscrit au titre du point 7 de l</w:t>
      </w:r>
      <w:r w:rsidR="0039277D" w:rsidRPr="0039277D">
        <w:rPr>
          <w:lang w:val="fr-FR"/>
        </w:rPr>
        <w:t>’</w:t>
      </w:r>
      <w:r w:rsidRPr="0039277D">
        <w:rPr>
          <w:lang w:val="fr-FR"/>
        </w:rPr>
        <w:t>ordre du jour.</w:t>
      </w:r>
    </w:p>
    <w:p w:rsidR="00D80597" w:rsidRPr="0039277D" w:rsidRDefault="00E12FEC" w:rsidP="00E12FEC">
      <w:pPr>
        <w:pStyle w:val="H23G"/>
        <w:rPr>
          <w:lang w:val="fr-FR"/>
        </w:rPr>
      </w:pPr>
      <w:r>
        <w:rPr>
          <w:lang w:val="fr-FR"/>
        </w:rPr>
        <w:tab/>
      </w:r>
      <w:r w:rsidR="00D80597" w:rsidRPr="0039277D">
        <w:rPr>
          <w:lang w:val="fr-FR"/>
        </w:rPr>
        <w:tab/>
        <w:t>Rapport du Groupe de travail des explosifs</w:t>
      </w:r>
    </w:p>
    <w:p w:rsidR="00D80597" w:rsidRPr="0039277D" w:rsidRDefault="00D80597" w:rsidP="00855C98">
      <w:pPr>
        <w:keepNext/>
        <w:spacing w:after="120"/>
        <w:ind w:left="3119" w:hanging="1985"/>
        <w:rPr>
          <w:lang w:val="fr-FR"/>
        </w:rPr>
      </w:pPr>
      <w:r w:rsidRPr="0039277D">
        <w:rPr>
          <w:i/>
          <w:lang w:val="fr-FR"/>
        </w:rPr>
        <w:t>Document informel</w:t>
      </w:r>
      <w:r w:rsidR="0066043C">
        <w:rPr>
          <w:lang w:val="fr-FR"/>
        </w:rPr>
        <w:t> :</w:t>
      </w:r>
      <w:r w:rsidR="0066043C">
        <w:rPr>
          <w:lang w:val="fr-FR"/>
        </w:rPr>
        <w:tab/>
      </w:r>
      <w:r w:rsidRPr="0039277D">
        <w:rPr>
          <w:lang w:val="fr-FR"/>
        </w:rPr>
        <w:t>INF.66 (Président du Groupe de travail).</w:t>
      </w:r>
    </w:p>
    <w:p w:rsidR="00D80597" w:rsidRPr="0039277D" w:rsidRDefault="00D80597" w:rsidP="008B3C58">
      <w:pPr>
        <w:pStyle w:val="ParNoG"/>
        <w:rPr>
          <w:lang w:val="fr-FR"/>
        </w:rPr>
      </w:pPr>
      <w:r w:rsidRPr="0039277D">
        <w:rPr>
          <w:lang w:val="fr-FR"/>
        </w:rPr>
        <w:t>Ayant examiné le rapport du Groupe de travail et entendu les explications fournies par son Président, le Sous-Comité a abouti aux conclusions ci-après pour chaque alinéa du point</w:t>
      </w:r>
      <w:r w:rsidR="008813A0">
        <w:rPr>
          <w:lang w:val="fr-FR"/>
        </w:rPr>
        <w:t> </w:t>
      </w:r>
      <w:r w:rsidRPr="0039277D">
        <w:rPr>
          <w:lang w:val="fr-FR"/>
        </w:rPr>
        <w:t>2 de l</w:t>
      </w:r>
      <w:r w:rsidR="0039277D" w:rsidRPr="0039277D">
        <w:rPr>
          <w:lang w:val="fr-FR"/>
        </w:rPr>
        <w:t>’</w:t>
      </w:r>
      <w:r w:rsidRPr="0039277D">
        <w:rPr>
          <w:lang w:val="fr-FR"/>
        </w:rPr>
        <w:t>ordre du jour.</w:t>
      </w:r>
    </w:p>
    <w:p w:rsidR="00D80597" w:rsidRPr="0039277D" w:rsidRDefault="008D1FF7" w:rsidP="008D1FF7">
      <w:pPr>
        <w:pStyle w:val="H1G"/>
        <w:rPr>
          <w:lang w:val="fr-FR"/>
        </w:rPr>
      </w:pPr>
      <w:r>
        <w:rPr>
          <w:lang w:val="fr-FR"/>
        </w:rPr>
        <w:tab/>
        <w:t>A.</w:t>
      </w:r>
      <w:r>
        <w:rPr>
          <w:lang w:val="fr-FR"/>
        </w:rPr>
        <w:tab/>
      </w:r>
      <w:r w:rsidR="00D80597" w:rsidRPr="0039277D">
        <w:rPr>
          <w:lang w:val="fr-FR"/>
        </w:rPr>
        <w:t>Épreuves et critères relatifs aux compositions éclair</w:t>
      </w:r>
    </w:p>
    <w:p w:rsidR="00D80597" w:rsidRPr="0039277D" w:rsidRDefault="008D1FF7" w:rsidP="008D1FF7">
      <w:pPr>
        <w:pStyle w:val="H23G"/>
        <w:rPr>
          <w:lang w:val="fr-FR"/>
        </w:rPr>
      </w:pPr>
      <w:r>
        <w:rPr>
          <w:lang w:val="fr-FR"/>
        </w:rPr>
        <w:tab/>
      </w:r>
      <w:r>
        <w:rPr>
          <w:lang w:val="fr-FR"/>
        </w:rPr>
        <w:tab/>
      </w:r>
      <w:r w:rsidR="00D80597" w:rsidRPr="0039277D">
        <w:rPr>
          <w:lang w:val="fr-FR"/>
        </w:rPr>
        <w:t>Actualisation des épreuves concernant les compositions éclair des États-Unis et HSL</w:t>
      </w:r>
    </w:p>
    <w:p w:rsidR="00D80597" w:rsidRPr="0039277D" w:rsidRDefault="00D80597" w:rsidP="00855C98">
      <w:pPr>
        <w:keepNext/>
        <w:spacing w:after="120"/>
        <w:ind w:left="3119" w:hanging="1985"/>
        <w:rPr>
          <w:lang w:val="fr-FR"/>
        </w:rPr>
      </w:pPr>
      <w:r w:rsidRPr="0039277D">
        <w:rPr>
          <w:i/>
          <w:lang w:val="fr-FR"/>
        </w:rPr>
        <w:t>Documents</w:t>
      </w:r>
      <w:r w:rsidR="0066043C">
        <w:rPr>
          <w:i/>
          <w:lang w:val="fr-FR"/>
        </w:rPr>
        <w:t> </w:t>
      </w:r>
      <w:r w:rsidR="0066043C" w:rsidRPr="008813A0">
        <w:rPr>
          <w:lang w:val="fr-FR"/>
        </w:rPr>
        <w:t>:</w:t>
      </w:r>
      <w:r w:rsidR="0066043C" w:rsidRPr="008813A0">
        <w:rPr>
          <w:lang w:val="fr-FR"/>
        </w:rPr>
        <w:tab/>
        <w:t>S</w:t>
      </w:r>
      <w:r w:rsidRPr="0039277D">
        <w:rPr>
          <w:lang w:val="fr-FR"/>
        </w:rPr>
        <w:t>T/SG/AC.10/C.3/96, par.11, et Add.1, annexes I et II.</w:t>
      </w:r>
    </w:p>
    <w:p w:rsidR="00D80597" w:rsidRPr="0039277D" w:rsidRDefault="00D80597" w:rsidP="008B3C58">
      <w:pPr>
        <w:pStyle w:val="ParNoG"/>
        <w:rPr>
          <w:lang w:val="fr-FR"/>
        </w:rPr>
      </w:pPr>
      <w:r w:rsidRPr="0039277D">
        <w:rPr>
          <w:lang w:val="fr-FR"/>
        </w:rPr>
        <w:t>Le Sous-Comité a confirmé tous les amendements adoptés à sa session précédente en ce qui concernait les épreuves et critères relatifs aux comp</w:t>
      </w:r>
      <w:r w:rsidR="008813A0">
        <w:rPr>
          <w:lang w:val="fr-FR"/>
        </w:rPr>
        <w:t xml:space="preserve">ositions éclair (appendice 7 du </w:t>
      </w:r>
      <w:r w:rsidRPr="0039277D">
        <w:rPr>
          <w:lang w:val="fr-FR"/>
        </w:rPr>
        <w:t>Manuel d</w:t>
      </w:r>
      <w:r w:rsidR="0039277D" w:rsidRPr="0039277D">
        <w:rPr>
          <w:lang w:val="fr-FR"/>
        </w:rPr>
        <w:t>’</w:t>
      </w:r>
      <w:r w:rsidRPr="0039277D">
        <w:rPr>
          <w:lang w:val="fr-FR"/>
        </w:rPr>
        <w:t xml:space="preserve">épreuves et de critères et chapitre 2.1 du Règlement type), mis à part le fait que les mots </w:t>
      </w:r>
      <w:r w:rsidR="00CD7394" w:rsidRPr="00CD7394">
        <w:rPr>
          <w:lang w:val="fr-FR"/>
        </w:rPr>
        <w:t>« </w:t>
      </w:r>
      <w:r w:rsidRPr="0039277D">
        <w:rPr>
          <w:i/>
        </w:rPr>
        <w:t>lifting charge</w:t>
      </w:r>
      <w:r w:rsidRPr="00CD7394">
        <w:rPr>
          <w:lang w:val="fr-FR"/>
        </w:rPr>
        <w:t> »</w:t>
      </w:r>
      <w:r w:rsidRPr="0039277D">
        <w:rPr>
          <w:lang w:val="fr-FR"/>
        </w:rPr>
        <w:t xml:space="preserve"> ont été remplacés par les mots </w:t>
      </w:r>
      <w:r w:rsidRPr="00CD7394">
        <w:rPr>
          <w:lang w:val="fr-FR"/>
        </w:rPr>
        <w:t>« </w:t>
      </w:r>
      <w:r w:rsidRPr="0039277D">
        <w:rPr>
          <w:i/>
        </w:rPr>
        <w:t>propellant charge</w:t>
      </w:r>
      <w:r w:rsidRPr="00CD7394">
        <w:rPr>
          <w:lang w:val="fr-FR"/>
        </w:rPr>
        <w:t> »</w:t>
      </w:r>
      <w:r w:rsidRPr="0039277D">
        <w:rPr>
          <w:lang w:val="fr-FR"/>
        </w:rPr>
        <w:t xml:space="preserve"> dans la version anglaise de la nouvelle section</w:t>
      </w:r>
      <w:r w:rsidR="008813A0">
        <w:rPr>
          <w:lang w:val="fr-FR"/>
        </w:rPr>
        <w:t> </w:t>
      </w:r>
      <w:r w:rsidRPr="0039277D">
        <w:rPr>
          <w:lang w:val="fr-FR"/>
        </w:rPr>
        <w:t>2.4 de l</w:t>
      </w:r>
      <w:r w:rsidR="0039277D" w:rsidRPr="0039277D">
        <w:rPr>
          <w:lang w:val="fr-FR"/>
        </w:rPr>
        <w:t>’</w:t>
      </w:r>
      <w:r w:rsidRPr="0039277D">
        <w:rPr>
          <w:lang w:val="fr-FR"/>
        </w:rPr>
        <w:t>appendice</w:t>
      </w:r>
      <w:r w:rsidR="008813A0">
        <w:rPr>
          <w:lang w:val="fr-FR"/>
        </w:rPr>
        <w:t> </w:t>
      </w:r>
      <w:r w:rsidRPr="0039277D">
        <w:rPr>
          <w:lang w:val="fr-FR"/>
        </w:rPr>
        <w:t xml:space="preserve">7 (document ST/SG/AC.10/C.3/96/Add.1, annexe I). Tous les crochets concernant ces amendements ont été supprimés (voir les annexes I et II ci-dessous). </w:t>
      </w:r>
    </w:p>
    <w:p w:rsidR="00D80597" w:rsidRPr="0039277D" w:rsidRDefault="00D80597" w:rsidP="00E12FEC">
      <w:pPr>
        <w:pStyle w:val="H1G"/>
        <w:rPr>
          <w:lang w:val="fr-FR"/>
        </w:rPr>
      </w:pPr>
      <w:r w:rsidRPr="0039277D">
        <w:rPr>
          <w:lang w:val="fr-FR"/>
        </w:rPr>
        <w:tab/>
        <w:t>B.</w:t>
      </w:r>
      <w:r w:rsidRPr="0039277D">
        <w:rPr>
          <w:lang w:val="fr-FR"/>
        </w:rPr>
        <w:tab/>
        <w:t>Révision des épreuves de la série 6</w:t>
      </w:r>
    </w:p>
    <w:p w:rsidR="00D80597" w:rsidRPr="0039277D" w:rsidRDefault="00D80597" w:rsidP="008B3C58">
      <w:pPr>
        <w:pStyle w:val="ParNoG"/>
        <w:rPr>
          <w:lang w:val="fr-FR"/>
        </w:rPr>
      </w:pPr>
      <w:r w:rsidRPr="0039277D">
        <w:rPr>
          <w:lang w:val="fr-FR"/>
        </w:rPr>
        <w:t>Aucun document n</w:t>
      </w:r>
      <w:r w:rsidR="0039277D" w:rsidRPr="0039277D">
        <w:rPr>
          <w:lang w:val="fr-FR"/>
        </w:rPr>
        <w:t>’</w:t>
      </w:r>
      <w:r w:rsidRPr="0039277D">
        <w:rPr>
          <w:lang w:val="fr-FR"/>
        </w:rPr>
        <w:t>ayant été soumis au titre de ce point de l</w:t>
      </w:r>
      <w:r w:rsidR="0039277D" w:rsidRPr="0039277D">
        <w:rPr>
          <w:lang w:val="fr-FR"/>
        </w:rPr>
        <w:t>’</w:t>
      </w:r>
      <w:r w:rsidRPr="0039277D">
        <w:rPr>
          <w:lang w:val="fr-FR"/>
        </w:rPr>
        <w:t>ordre du jour, cette question n</w:t>
      </w:r>
      <w:r w:rsidR="0039277D" w:rsidRPr="0039277D">
        <w:rPr>
          <w:lang w:val="fr-FR"/>
        </w:rPr>
        <w:t>’</w:t>
      </w:r>
      <w:r w:rsidRPr="0039277D">
        <w:rPr>
          <w:lang w:val="fr-FR"/>
        </w:rPr>
        <w:t>a pas été examinée.</w:t>
      </w:r>
    </w:p>
    <w:p w:rsidR="00D80597" w:rsidRPr="0039277D" w:rsidRDefault="00E12FEC" w:rsidP="00E12FEC">
      <w:pPr>
        <w:pStyle w:val="H1G"/>
        <w:rPr>
          <w:lang w:val="fr-FR"/>
        </w:rPr>
      </w:pPr>
      <w:r>
        <w:rPr>
          <w:lang w:val="fr-FR"/>
        </w:rPr>
        <w:tab/>
      </w:r>
      <w:r w:rsidR="00D80597" w:rsidRPr="0039277D">
        <w:rPr>
          <w:lang w:val="fr-FR"/>
        </w:rPr>
        <w:t>C.</w:t>
      </w:r>
      <w:r w:rsidR="00D80597" w:rsidRPr="0039277D">
        <w:rPr>
          <w:lang w:val="fr-FR"/>
        </w:rPr>
        <w:tab/>
        <w:t>Révision des épreuves des parties I et II du Manuel d</w:t>
      </w:r>
      <w:r w:rsidR="0039277D" w:rsidRPr="0039277D">
        <w:rPr>
          <w:lang w:val="fr-FR"/>
        </w:rPr>
        <w:t>’</w:t>
      </w:r>
      <w:r w:rsidR="00D80597" w:rsidRPr="0039277D">
        <w:rPr>
          <w:lang w:val="fr-FR"/>
        </w:rPr>
        <w:t xml:space="preserve">épreuves </w:t>
      </w:r>
      <w:r w:rsidR="00D80597" w:rsidRPr="0039277D">
        <w:rPr>
          <w:lang w:val="fr-FR"/>
        </w:rPr>
        <w:br/>
        <w:t>et de critères</w:t>
      </w:r>
    </w:p>
    <w:p w:rsidR="00D80597" w:rsidRPr="0039277D" w:rsidRDefault="00D80597" w:rsidP="00E12FEC">
      <w:pPr>
        <w:pStyle w:val="H23G"/>
        <w:rPr>
          <w:lang w:val="fr-FR"/>
        </w:rPr>
      </w:pPr>
      <w:r w:rsidRPr="0039277D">
        <w:rPr>
          <w:lang w:val="fr-FR"/>
        </w:rPr>
        <w:tab/>
        <w:t>1.</w:t>
      </w:r>
      <w:r w:rsidRPr="0039277D">
        <w:rPr>
          <w:lang w:val="fr-FR"/>
        </w:rPr>
        <w:tab/>
        <w:t>Amélioration de l</w:t>
      </w:r>
      <w:r w:rsidR="0039277D" w:rsidRPr="0039277D">
        <w:rPr>
          <w:lang w:val="fr-FR"/>
        </w:rPr>
        <w:t>’</w:t>
      </w:r>
      <w:r w:rsidRPr="0039277D">
        <w:rPr>
          <w:lang w:val="fr-FR"/>
        </w:rPr>
        <w:t>épreuve de Koenen</w:t>
      </w:r>
    </w:p>
    <w:p w:rsidR="00D80597" w:rsidRPr="0039277D" w:rsidRDefault="00D80597" w:rsidP="00855C98">
      <w:pPr>
        <w:keepNext/>
        <w:spacing w:after="120"/>
        <w:ind w:left="3119" w:hanging="1985"/>
        <w:rPr>
          <w:lang w:val="fr-FR"/>
        </w:rPr>
      </w:pPr>
      <w:r w:rsidRPr="0039277D">
        <w:rPr>
          <w:i/>
          <w:lang w:val="fr-FR"/>
        </w:rPr>
        <w:t>Document</w:t>
      </w:r>
      <w:r w:rsidR="0066043C">
        <w:rPr>
          <w:i/>
          <w:lang w:val="fr-FR"/>
        </w:rPr>
        <w:t> </w:t>
      </w:r>
      <w:r w:rsidR="0066043C" w:rsidRPr="0066043C">
        <w:rPr>
          <w:lang w:val="fr-FR"/>
        </w:rPr>
        <w:t>:</w:t>
      </w:r>
      <w:r w:rsidR="0066043C">
        <w:rPr>
          <w:i/>
          <w:lang w:val="fr-FR"/>
        </w:rPr>
        <w:tab/>
      </w:r>
      <w:r w:rsidR="0066043C" w:rsidRPr="00C90015">
        <w:rPr>
          <w:lang w:val="fr-FR"/>
        </w:rPr>
        <w:t>S</w:t>
      </w:r>
      <w:r w:rsidRPr="00C90015">
        <w:rPr>
          <w:lang w:val="fr-FR"/>
        </w:rPr>
        <w:t>T</w:t>
      </w:r>
      <w:r w:rsidRPr="0039277D">
        <w:rPr>
          <w:lang w:val="fr-FR"/>
        </w:rPr>
        <w:t>/SG/AC.10/C.3/2016/6 (Allemagne).</w:t>
      </w:r>
    </w:p>
    <w:p w:rsidR="00D80597" w:rsidRPr="0039277D" w:rsidRDefault="00D80597" w:rsidP="00855C98">
      <w:pPr>
        <w:keepNext/>
        <w:spacing w:after="120"/>
        <w:ind w:left="3119" w:hanging="1985"/>
        <w:rPr>
          <w:lang w:val="fr-FR"/>
        </w:rPr>
      </w:pPr>
      <w:r w:rsidRPr="0039277D">
        <w:rPr>
          <w:i/>
          <w:lang w:val="fr-FR"/>
        </w:rPr>
        <w:t>Document informel</w:t>
      </w:r>
      <w:r w:rsidR="0066043C">
        <w:rPr>
          <w:lang w:val="fr-FR"/>
        </w:rPr>
        <w:t> :</w:t>
      </w:r>
      <w:r w:rsidRPr="0039277D">
        <w:rPr>
          <w:lang w:val="fr-FR"/>
        </w:rPr>
        <w:tab/>
        <w:t>INF.27 (Allemagne).</w:t>
      </w:r>
    </w:p>
    <w:p w:rsidR="00D80597" w:rsidRPr="0039277D" w:rsidRDefault="00D80597" w:rsidP="008B3C58">
      <w:pPr>
        <w:pStyle w:val="ParNoG"/>
      </w:pPr>
      <w:r w:rsidRPr="0039277D">
        <w:rPr>
          <w:lang w:val="fr-FR"/>
        </w:rPr>
        <w:t>Les propositions figurant dans le document ST/SG/AC.10/C.3/2016/6 ont été acceptées, si ce n</w:t>
      </w:r>
      <w:r w:rsidR="0039277D" w:rsidRPr="0039277D">
        <w:rPr>
          <w:lang w:val="fr-FR"/>
        </w:rPr>
        <w:t>’</w:t>
      </w:r>
      <w:r w:rsidRPr="0039277D">
        <w:rPr>
          <w:lang w:val="fr-FR"/>
        </w:rPr>
        <w:t>est que la plage de pressions a été modifiée de 28 MPa</w:t>
      </w:r>
      <w:r w:rsidR="004C6102">
        <w:rPr>
          <w:lang w:val="fr-FR"/>
        </w:rPr>
        <w:t> </w:t>
      </w:r>
      <w:r w:rsidRPr="0039277D">
        <w:rPr>
          <w:lang w:val="fr-FR"/>
        </w:rPr>
        <w:t>± 4</w:t>
      </w:r>
      <w:r w:rsidR="004C6102">
        <w:rPr>
          <w:lang w:val="fr-FR"/>
        </w:rPr>
        <w:t> </w:t>
      </w:r>
      <w:r w:rsidRPr="0039277D">
        <w:rPr>
          <w:lang w:val="fr-FR"/>
        </w:rPr>
        <w:t>MPa, tel qu</w:t>
      </w:r>
      <w:r w:rsidR="0039277D" w:rsidRPr="0039277D">
        <w:rPr>
          <w:lang w:val="fr-FR"/>
        </w:rPr>
        <w:t>’</w:t>
      </w:r>
      <w:r w:rsidRPr="0039277D">
        <w:rPr>
          <w:lang w:val="fr-FR"/>
        </w:rPr>
        <w:t>initialement proposé, en 29 MPa</w:t>
      </w:r>
      <w:r w:rsidR="004C6102">
        <w:rPr>
          <w:lang w:val="fr-FR"/>
        </w:rPr>
        <w:t> </w:t>
      </w:r>
      <w:r w:rsidRPr="0039277D">
        <w:rPr>
          <w:lang w:val="fr-FR"/>
        </w:rPr>
        <w:t>± 4</w:t>
      </w:r>
      <w:r w:rsidR="004C6102">
        <w:rPr>
          <w:lang w:val="fr-FR"/>
        </w:rPr>
        <w:t> </w:t>
      </w:r>
      <w:r w:rsidRPr="0039277D">
        <w:rPr>
          <w:lang w:val="fr-FR"/>
        </w:rPr>
        <w:t>MPa (voir annexe I).</w:t>
      </w:r>
    </w:p>
    <w:p w:rsidR="00D80597" w:rsidRPr="0039277D" w:rsidRDefault="00D80597" w:rsidP="00E12FEC">
      <w:pPr>
        <w:pStyle w:val="H23G"/>
      </w:pPr>
      <w:r w:rsidRPr="0039277D">
        <w:rPr>
          <w:lang w:val="fr-FR"/>
        </w:rPr>
        <w:tab/>
        <w:t>2.</w:t>
      </w:r>
      <w:r w:rsidRPr="0039277D">
        <w:rPr>
          <w:lang w:val="fr-FR"/>
        </w:rPr>
        <w:tab/>
        <w:t xml:space="preserve">Proposition tendant à remplacer le phthalate de dibutyle dans le cadre </w:t>
      </w:r>
      <w:r w:rsidR="004C6102">
        <w:rPr>
          <w:lang w:val="fr-FR"/>
        </w:rPr>
        <w:br/>
      </w:r>
      <w:r w:rsidRPr="0039277D">
        <w:rPr>
          <w:lang w:val="fr-FR"/>
        </w:rPr>
        <w:t>de l</w:t>
      </w:r>
      <w:r w:rsidR="0039277D" w:rsidRPr="0039277D">
        <w:rPr>
          <w:lang w:val="fr-FR"/>
        </w:rPr>
        <w:t>’</w:t>
      </w:r>
      <w:r w:rsidRPr="0039277D">
        <w:rPr>
          <w:lang w:val="fr-FR"/>
        </w:rPr>
        <w:t>épreuve de Koenen</w:t>
      </w:r>
    </w:p>
    <w:p w:rsidR="00D80597" w:rsidRPr="0039277D" w:rsidRDefault="00D80597" w:rsidP="00855C98">
      <w:pPr>
        <w:keepNext/>
        <w:spacing w:after="120"/>
        <w:ind w:left="3119" w:hanging="1985"/>
      </w:pPr>
      <w:r w:rsidRPr="0039277D">
        <w:rPr>
          <w:i/>
          <w:lang w:val="fr-FR"/>
        </w:rPr>
        <w:t>Document</w:t>
      </w:r>
      <w:r w:rsidR="0066043C">
        <w:rPr>
          <w:i/>
          <w:lang w:val="fr-FR"/>
        </w:rPr>
        <w:t> </w:t>
      </w:r>
      <w:r w:rsidR="0066043C" w:rsidRPr="0066043C">
        <w:rPr>
          <w:lang w:val="fr-FR"/>
        </w:rPr>
        <w:t>:</w:t>
      </w:r>
      <w:r w:rsidR="0066043C">
        <w:rPr>
          <w:i/>
          <w:lang w:val="fr-FR"/>
        </w:rPr>
        <w:tab/>
      </w:r>
      <w:r w:rsidR="0066043C" w:rsidRPr="00C90015">
        <w:rPr>
          <w:lang w:val="fr-FR"/>
        </w:rPr>
        <w:t>S</w:t>
      </w:r>
      <w:r w:rsidRPr="00C90015">
        <w:rPr>
          <w:lang w:val="fr-FR"/>
        </w:rPr>
        <w:t>T</w:t>
      </w:r>
      <w:r w:rsidRPr="0039277D">
        <w:rPr>
          <w:lang w:val="fr-FR"/>
        </w:rPr>
        <w:t>/SG/AC.10/C.3/2016/13 (France).</w:t>
      </w:r>
    </w:p>
    <w:p w:rsidR="00D80597" w:rsidRPr="0039277D" w:rsidRDefault="00D80597" w:rsidP="008B3C58">
      <w:pPr>
        <w:pStyle w:val="ParNoG"/>
      </w:pPr>
      <w:r w:rsidRPr="0039277D">
        <w:rPr>
          <w:lang w:val="fr-FR"/>
        </w:rPr>
        <w:t>Le Sous-Comité a noté que le Groupe de travail avait convenu que le pétrole synthétique (tel que proposé par la France) était un bon substitut au phthalate de dibutyle. Étant donné que devait se dérouler un programme d</w:t>
      </w:r>
      <w:r w:rsidR="0039277D" w:rsidRPr="0039277D">
        <w:rPr>
          <w:lang w:val="fr-FR"/>
        </w:rPr>
        <w:t>’</w:t>
      </w:r>
      <w:r w:rsidRPr="0039277D">
        <w:rPr>
          <w:lang w:val="fr-FR"/>
        </w:rPr>
        <w:t>épreuves interlaboratoires coordonné par la France, il n</w:t>
      </w:r>
      <w:r w:rsidR="0039277D" w:rsidRPr="0039277D">
        <w:rPr>
          <w:lang w:val="fr-FR"/>
        </w:rPr>
        <w:t>’</w:t>
      </w:r>
      <w:r w:rsidRPr="0039277D">
        <w:rPr>
          <w:lang w:val="fr-FR"/>
        </w:rPr>
        <w:t>était nécessaire de prendre aucune décision à ce stade.</w:t>
      </w:r>
    </w:p>
    <w:p w:rsidR="00D80597" w:rsidRPr="0039277D" w:rsidRDefault="00D80597" w:rsidP="00E12FEC">
      <w:pPr>
        <w:pStyle w:val="H23G"/>
      </w:pPr>
      <w:r w:rsidRPr="0039277D">
        <w:rPr>
          <w:lang w:val="fr-FR"/>
        </w:rPr>
        <w:tab/>
        <w:t>3.</w:t>
      </w:r>
      <w:r w:rsidRPr="0039277D">
        <w:rPr>
          <w:lang w:val="fr-FR"/>
        </w:rPr>
        <w:tab/>
        <w:t>Détonateur normalisé de l</w:t>
      </w:r>
      <w:r w:rsidR="0039277D" w:rsidRPr="0039277D">
        <w:rPr>
          <w:lang w:val="fr-FR"/>
        </w:rPr>
        <w:t>’</w:t>
      </w:r>
      <w:r w:rsidRPr="0039277D">
        <w:rPr>
          <w:lang w:val="fr-FR"/>
        </w:rPr>
        <w:t>ONU</w:t>
      </w:r>
    </w:p>
    <w:p w:rsidR="00D80597" w:rsidRPr="0039277D" w:rsidRDefault="00D80597" w:rsidP="00855C98">
      <w:pPr>
        <w:keepNext/>
        <w:spacing w:after="120"/>
        <w:ind w:left="3119" w:hanging="1985"/>
      </w:pPr>
      <w:r w:rsidRPr="0039277D">
        <w:rPr>
          <w:i/>
          <w:lang w:val="fr-FR"/>
        </w:rPr>
        <w:t>Document</w:t>
      </w:r>
      <w:r w:rsidR="0066043C">
        <w:rPr>
          <w:i/>
          <w:lang w:val="fr-FR"/>
        </w:rPr>
        <w:t> </w:t>
      </w:r>
      <w:r w:rsidR="0066043C" w:rsidRPr="0066043C">
        <w:rPr>
          <w:lang w:val="fr-FR"/>
        </w:rPr>
        <w:t>:</w:t>
      </w:r>
      <w:r w:rsidR="0066043C">
        <w:rPr>
          <w:i/>
          <w:lang w:val="fr-FR"/>
        </w:rPr>
        <w:tab/>
      </w:r>
      <w:r w:rsidR="0066043C" w:rsidRPr="00C90015">
        <w:rPr>
          <w:lang w:val="fr-FR"/>
        </w:rPr>
        <w:t>S</w:t>
      </w:r>
      <w:r w:rsidRPr="00C90015">
        <w:rPr>
          <w:lang w:val="fr-FR"/>
        </w:rPr>
        <w:t>T</w:t>
      </w:r>
      <w:r w:rsidRPr="0039277D">
        <w:rPr>
          <w:lang w:val="fr-FR"/>
        </w:rPr>
        <w:t>/SG/AC.10/C.3/2016/10 (Allemagne).</w:t>
      </w:r>
    </w:p>
    <w:p w:rsidR="00D80597" w:rsidRPr="0039277D" w:rsidRDefault="00D80597" w:rsidP="00855C98">
      <w:pPr>
        <w:keepNext/>
        <w:spacing w:after="120"/>
        <w:ind w:left="3119" w:hanging="1985"/>
      </w:pPr>
      <w:r w:rsidRPr="0039277D">
        <w:rPr>
          <w:i/>
          <w:lang w:val="fr-FR"/>
        </w:rPr>
        <w:t>Document informel </w:t>
      </w:r>
      <w:r w:rsidRPr="0066043C">
        <w:rPr>
          <w:lang w:val="fr-FR"/>
        </w:rPr>
        <w:t>:</w:t>
      </w:r>
      <w:r w:rsidRPr="0039277D">
        <w:rPr>
          <w:lang w:val="fr-FR"/>
        </w:rPr>
        <w:tab/>
        <w:t>INF.36 (IME).</w:t>
      </w:r>
    </w:p>
    <w:p w:rsidR="00D80597" w:rsidRPr="0039277D" w:rsidRDefault="00D80597" w:rsidP="008B3C58">
      <w:pPr>
        <w:pStyle w:val="ParNoG"/>
      </w:pPr>
      <w:r w:rsidRPr="0039277D">
        <w:rPr>
          <w:lang w:val="fr-FR"/>
        </w:rPr>
        <w:t>Le Sous-Comité a noté que le Groupe de travail avait continué d</w:t>
      </w:r>
      <w:r w:rsidR="0039277D" w:rsidRPr="0039277D">
        <w:rPr>
          <w:lang w:val="fr-FR"/>
        </w:rPr>
        <w:t>’</w:t>
      </w:r>
      <w:r w:rsidRPr="0039277D">
        <w:rPr>
          <w:lang w:val="fr-FR"/>
        </w:rPr>
        <w:t>appuyer l</w:t>
      </w:r>
      <w:r w:rsidR="0039277D" w:rsidRPr="0039277D">
        <w:rPr>
          <w:lang w:val="fr-FR"/>
        </w:rPr>
        <w:t>’</w:t>
      </w:r>
      <w:r w:rsidRPr="0039277D">
        <w:rPr>
          <w:lang w:val="fr-FR"/>
        </w:rPr>
        <w:t>élaboration éventuelle d</w:t>
      </w:r>
      <w:r w:rsidR="0039277D" w:rsidRPr="0039277D">
        <w:rPr>
          <w:lang w:val="fr-FR"/>
        </w:rPr>
        <w:t>’</w:t>
      </w:r>
      <w:r w:rsidRPr="0039277D">
        <w:rPr>
          <w:lang w:val="fr-FR"/>
        </w:rPr>
        <w:t>une version universelle unique du détonateur normalisé au lieu des deux versions actuellement décrites à l</w:t>
      </w:r>
      <w:r w:rsidR="0039277D" w:rsidRPr="0039277D">
        <w:rPr>
          <w:lang w:val="fr-FR"/>
        </w:rPr>
        <w:t>’</w:t>
      </w:r>
      <w:r w:rsidRPr="0039277D">
        <w:rPr>
          <w:lang w:val="fr-FR"/>
        </w:rPr>
        <w:t>appendice 1 du Manuel, mais que des travaux qui seraient sans doute coordonnés par l</w:t>
      </w:r>
      <w:r w:rsidR="0039277D" w:rsidRPr="0039277D">
        <w:rPr>
          <w:lang w:val="fr-FR"/>
        </w:rPr>
        <w:t>’</w:t>
      </w:r>
      <w:r w:rsidRPr="0039277D">
        <w:rPr>
          <w:lang w:val="fr-FR"/>
        </w:rPr>
        <w:t>Allemagne et l</w:t>
      </w:r>
      <w:r w:rsidR="0039277D" w:rsidRPr="0039277D">
        <w:rPr>
          <w:lang w:val="fr-FR"/>
        </w:rPr>
        <w:t>’</w:t>
      </w:r>
      <w:r w:rsidRPr="0039277D">
        <w:rPr>
          <w:lang w:val="fr-FR"/>
        </w:rPr>
        <w:t>IME devraient se poursuivre au cours de l</w:t>
      </w:r>
      <w:r w:rsidR="0039277D" w:rsidRPr="0039277D">
        <w:rPr>
          <w:lang w:val="fr-FR"/>
        </w:rPr>
        <w:t>’</w:t>
      </w:r>
      <w:r w:rsidRPr="0039277D">
        <w:rPr>
          <w:lang w:val="fr-FR"/>
        </w:rPr>
        <w:t>exercice biennal 2017-2018 avant qu</w:t>
      </w:r>
      <w:r w:rsidR="0039277D" w:rsidRPr="0039277D">
        <w:rPr>
          <w:lang w:val="fr-FR"/>
        </w:rPr>
        <w:t>’</w:t>
      </w:r>
      <w:r w:rsidRPr="0039277D">
        <w:rPr>
          <w:lang w:val="fr-FR"/>
        </w:rPr>
        <w:t>une proposition officielle puisse être présentée d</w:t>
      </w:r>
      <w:r w:rsidR="0039277D" w:rsidRPr="0039277D">
        <w:rPr>
          <w:lang w:val="fr-FR"/>
        </w:rPr>
        <w:t>’</w:t>
      </w:r>
      <w:r w:rsidRPr="0039277D">
        <w:rPr>
          <w:lang w:val="fr-FR"/>
        </w:rPr>
        <w:t xml:space="preserve">ici à la fin dudit exercice biennal. </w:t>
      </w:r>
    </w:p>
    <w:p w:rsidR="00D80597" w:rsidRPr="0039277D" w:rsidRDefault="00D80597" w:rsidP="00E12FEC">
      <w:pPr>
        <w:pStyle w:val="H23G"/>
      </w:pPr>
      <w:r w:rsidRPr="0039277D">
        <w:rPr>
          <w:lang w:val="fr-FR"/>
        </w:rPr>
        <w:tab/>
        <w:t>4.</w:t>
      </w:r>
      <w:r w:rsidRPr="0039277D">
        <w:rPr>
          <w:lang w:val="fr-FR"/>
        </w:rPr>
        <w:tab/>
        <w:t xml:space="preserve">Épreuve relative à la pression minimale de combustion : une éventuelle solution </w:t>
      </w:r>
      <w:r w:rsidR="0066043C">
        <w:rPr>
          <w:lang w:val="fr-FR"/>
        </w:rPr>
        <w:br/>
      </w:r>
      <w:r w:rsidRPr="0039277D">
        <w:rPr>
          <w:lang w:val="fr-FR"/>
        </w:rPr>
        <w:t>de rechange ou de remplacement pour les épreuves 8 c) et/ou 8 d)</w:t>
      </w:r>
    </w:p>
    <w:p w:rsidR="00D80597" w:rsidRPr="0039277D" w:rsidRDefault="00D80597" w:rsidP="00855C98">
      <w:pPr>
        <w:keepNext/>
        <w:spacing w:after="120"/>
        <w:ind w:left="3119" w:hanging="1985"/>
      </w:pPr>
      <w:r w:rsidRPr="0039277D">
        <w:rPr>
          <w:i/>
          <w:lang w:val="fr-FR"/>
        </w:rPr>
        <w:t>Documents informels </w:t>
      </w:r>
      <w:r w:rsidRPr="0066043C">
        <w:rPr>
          <w:lang w:val="fr-FR"/>
        </w:rPr>
        <w:t>:</w:t>
      </w:r>
      <w:r w:rsidRPr="0039277D">
        <w:rPr>
          <w:lang w:val="fr-FR"/>
        </w:rPr>
        <w:tab/>
        <w:t xml:space="preserve">INF.34 (Espagne) </w:t>
      </w:r>
      <w:r w:rsidRPr="0039277D">
        <w:rPr>
          <w:lang w:val="fr-FR"/>
        </w:rPr>
        <w:br/>
        <w:t xml:space="preserve">INF.50 (Canada) </w:t>
      </w:r>
      <w:r w:rsidRPr="0039277D">
        <w:rPr>
          <w:lang w:val="fr-FR"/>
        </w:rPr>
        <w:br/>
        <w:t>INF.60 (AEISG).</w:t>
      </w:r>
    </w:p>
    <w:p w:rsidR="00D80597" w:rsidRPr="0039277D" w:rsidRDefault="00D80597" w:rsidP="008B3C58">
      <w:pPr>
        <w:pStyle w:val="ParNoG"/>
      </w:pPr>
      <w:r w:rsidRPr="0039277D">
        <w:rPr>
          <w:lang w:val="fr-FR"/>
        </w:rPr>
        <w:t>Le Sous-Comité a noté qu</w:t>
      </w:r>
      <w:r w:rsidR="0039277D" w:rsidRPr="0039277D">
        <w:rPr>
          <w:lang w:val="fr-FR"/>
        </w:rPr>
        <w:t>’</w:t>
      </w:r>
      <w:r w:rsidRPr="0039277D">
        <w:rPr>
          <w:lang w:val="fr-FR"/>
        </w:rPr>
        <w:t>un groupe intersessions par correspondance dirigé par le Canada continuerait d</w:t>
      </w:r>
      <w:r w:rsidR="0039277D" w:rsidRPr="0039277D">
        <w:rPr>
          <w:lang w:val="fr-FR"/>
        </w:rPr>
        <w:t>’</w:t>
      </w:r>
      <w:r w:rsidRPr="0039277D">
        <w:rPr>
          <w:lang w:val="fr-FR"/>
        </w:rPr>
        <w:t>œuvrer au cours de l</w:t>
      </w:r>
      <w:r w:rsidR="0039277D" w:rsidRPr="0039277D">
        <w:rPr>
          <w:lang w:val="fr-FR"/>
        </w:rPr>
        <w:t>’</w:t>
      </w:r>
      <w:r w:rsidRPr="0039277D">
        <w:rPr>
          <w:lang w:val="fr-FR"/>
        </w:rPr>
        <w:t>été pour examiner la question de savoir si l</w:t>
      </w:r>
      <w:r w:rsidR="0039277D" w:rsidRPr="0039277D">
        <w:rPr>
          <w:lang w:val="fr-FR"/>
        </w:rPr>
        <w:t>’</w:t>
      </w:r>
      <w:r w:rsidRPr="0039277D">
        <w:rPr>
          <w:lang w:val="fr-FR"/>
        </w:rPr>
        <w:t>épreuve de Koenen pouvait être une épreuve 8 c) adéquate pour les gels et suspensions ainsi que l</w:t>
      </w:r>
      <w:r w:rsidR="0039277D" w:rsidRPr="0039277D">
        <w:rPr>
          <w:lang w:val="fr-FR"/>
        </w:rPr>
        <w:t>’</w:t>
      </w:r>
      <w:r w:rsidRPr="0039277D">
        <w:rPr>
          <w:lang w:val="fr-FR"/>
        </w:rPr>
        <w:t>épreuve de pression minimale de combustion pour les émulsions.</w:t>
      </w:r>
    </w:p>
    <w:p w:rsidR="00D80597" w:rsidRPr="0039277D" w:rsidRDefault="00E12FEC" w:rsidP="00E12FEC">
      <w:pPr>
        <w:pStyle w:val="H1G"/>
      </w:pPr>
      <w:r>
        <w:rPr>
          <w:lang w:val="fr-FR"/>
        </w:rPr>
        <w:tab/>
      </w:r>
      <w:r w:rsidR="00D80597" w:rsidRPr="0039277D">
        <w:rPr>
          <w:lang w:val="fr-FR"/>
        </w:rPr>
        <w:t>D.</w:t>
      </w:r>
      <w:r w:rsidR="00D80597" w:rsidRPr="0039277D">
        <w:rPr>
          <w:lang w:val="fr-FR"/>
        </w:rPr>
        <w:tab/>
        <w:t>Révision des instructions d</w:t>
      </w:r>
      <w:r w:rsidR="0039277D" w:rsidRPr="0039277D">
        <w:rPr>
          <w:lang w:val="fr-FR"/>
        </w:rPr>
        <w:t>’</w:t>
      </w:r>
      <w:r w:rsidR="00D80597" w:rsidRPr="0039277D">
        <w:rPr>
          <w:lang w:val="fr-FR"/>
        </w:rPr>
        <w:t>emballage relatives aux explosifs</w:t>
      </w:r>
    </w:p>
    <w:p w:rsidR="00D80597" w:rsidRPr="0039277D" w:rsidRDefault="00D80597" w:rsidP="008B3C58">
      <w:pPr>
        <w:pStyle w:val="ParNoG"/>
      </w:pPr>
      <w:r w:rsidRPr="0039277D">
        <w:rPr>
          <w:lang w:val="fr-FR"/>
        </w:rPr>
        <w:t>Aucun document n</w:t>
      </w:r>
      <w:r w:rsidR="0039277D" w:rsidRPr="0039277D">
        <w:rPr>
          <w:lang w:val="fr-FR"/>
        </w:rPr>
        <w:t>’</w:t>
      </w:r>
      <w:r w:rsidRPr="0039277D">
        <w:rPr>
          <w:lang w:val="fr-FR"/>
        </w:rPr>
        <w:t>ayant été soumis au titre de ce point de l</w:t>
      </w:r>
      <w:r w:rsidR="0039277D" w:rsidRPr="0039277D">
        <w:rPr>
          <w:lang w:val="fr-FR"/>
        </w:rPr>
        <w:t>’</w:t>
      </w:r>
      <w:r w:rsidRPr="0039277D">
        <w:rPr>
          <w:lang w:val="fr-FR"/>
        </w:rPr>
        <w:t>ordre du jour, la question n</w:t>
      </w:r>
      <w:r w:rsidR="0039277D" w:rsidRPr="0039277D">
        <w:rPr>
          <w:lang w:val="fr-FR"/>
        </w:rPr>
        <w:t>’</w:t>
      </w:r>
      <w:r w:rsidRPr="0039277D">
        <w:rPr>
          <w:lang w:val="fr-FR"/>
        </w:rPr>
        <w:t>a pas été abordée.</w:t>
      </w:r>
    </w:p>
    <w:p w:rsidR="00D80597" w:rsidRPr="0039277D" w:rsidRDefault="00E12FEC" w:rsidP="00E12FEC">
      <w:pPr>
        <w:pStyle w:val="H1G"/>
      </w:pPr>
      <w:r>
        <w:rPr>
          <w:lang w:val="fr-FR"/>
        </w:rPr>
        <w:tab/>
      </w:r>
      <w:r w:rsidR="00D80597" w:rsidRPr="0039277D">
        <w:rPr>
          <w:lang w:val="fr-FR"/>
        </w:rPr>
        <w:t>E.</w:t>
      </w:r>
      <w:r w:rsidR="00D80597" w:rsidRPr="0039277D">
        <w:rPr>
          <w:lang w:val="fr-FR"/>
        </w:rPr>
        <w:tab/>
        <w:t xml:space="preserve">Norme générale harmonisée applicable aux marques de sûreté </w:t>
      </w:r>
      <w:r w:rsidR="00C90015">
        <w:rPr>
          <w:lang w:val="fr-FR"/>
        </w:rPr>
        <w:br/>
      </w:r>
      <w:r w:rsidR="00D80597" w:rsidRPr="0039277D">
        <w:rPr>
          <w:lang w:val="fr-FR"/>
        </w:rPr>
        <w:t>pour explosifs</w:t>
      </w:r>
    </w:p>
    <w:p w:rsidR="00D80597" w:rsidRPr="0039277D" w:rsidRDefault="00D80597" w:rsidP="00855C98">
      <w:pPr>
        <w:keepNext/>
        <w:spacing w:after="120"/>
        <w:ind w:left="3119" w:hanging="1985"/>
      </w:pPr>
      <w:r w:rsidRPr="0039277D">
        <w:rPr>
          <w:i/>
          <w:lang w:val="fr-FR"/>
        </w:rPr>
        <w:t>Documents informels </w:t>
      </w:r>
      <w:r w:rsidRPr="00C90015">
        <w:rPr>
          <w:lang w:val="fr-FR"/>
        </w:rPr>
        <w:t>:</w:t>
      </w:r>
      <w:r w:rsidR="00C90015">
        <w:rPr>
          <w:lang w:val="fr-FR"/>
        </w:rPr>
        <w:tab/>
        <w:t>INF.35 (IME)</w:t>
      </w:r>
      <w:r w:rsidRPr="0039277D">
        <w:rPr>
          <w:lang w:val="fr-FR"/>
        </w:rPr>
        <w:t xml:space="preserve"> </w:t>
      </w:r>
      <w:r w:rsidRPr="0039277D">
        <w:rPr>
          <w:lang w:val="fr-FR"/>
        </w:rPr>
        <w:br/>
        <w:t>INF.67 (États-Unis d</w:t>
      </w:r>
      <w:r w:rsidR="0039277D" w:rsidRPr="0039277D">
        <w:rPr>
          <w:lang w:val="fr-FR"/>
        </w:rPr>
        <w:t>’</w:t>
      </w:r>
      <w:r w:rsidRPr="0039277D">
        <w:rPr>
          <w:lang w:val="fr-FR"/>
        </w:rPr>
        <w:t>Amérique et Royaume-Uni).</w:t>
      </w:r>
    </w:p>
    <w:p w:rsidR="00D80597" w:rsidRPr="0039277D" w:rsidRDefault="00D80597" w:rsidP="008B3C58">
      <w:pPr>
        <w:pStyle w:val="ParNoG"/>
      </w:pPr>
      <w:r w:rsidRPr="0039277D">
        <w:rPr>
          <w:lang w:val="fr-FR"/>
        </w:rPr>
        <w:t>Cette question, qui avait été examinée en plénière, n</w:t>
      </w:r>
      <w:r w:rsidR="0039277D" w:rsidRPr="0039277D">
        <w:rPr>
          <w:lang w:val="fr-FR"/>
        </w:rPr>
        <w:t>’</w:t>
      </w:r>
      <w:r w:rsidRPr="0039277D">
        <w:rPr>
          <w:lang w:val="fr-FR"/>
        </w:rPr>
        <w:t>avait pas été débattue par le Groupe de travail. S</w:t>
      </w:r>
      <w:r w:rsidR="0039277D" w:rsidRPr="0039277D">
        <w:rPr>
          <w:lang w:val="fr-FR"/>
        </w:rPr>
        <w:t>’</w:t>
      </w:r>
      <w:r w:rsidRPr="0039277D">
        <w:rPr>
          <w:lang w:val="fr-FR"/>
        </w:rPr>
        <w:t>agissant de la proposition figurant dans le document informel INF.35, plusieurs experts qui avaient exprimé un certain scepticisme lors de sessions précédentes ont indiqué que le libellé proposé ne donnait plus lieu à des réserves de leur part. Néanmoins, les experts des États-Unis d</w:t>
      </w:r>
      <w:r w:rsidR="0039277D" w:rsidRPr="0039277D">
        <w:rPr>
          <w:lang w:val="fr-FR"/>
        </w:rPr>
        <w:t>’</w:t>
      </w:r>
      <w:r w:rsidRPr="0039277D">
        <w:rPr>
          <w:lang w:val="fr-FR"/>
        </w:rPr>
        <w:t>Amérique et du Royaume-Uni ont rédigé une autre proposition au cours de la session (document informel INF.67).</w:t>
      </w:r>
    </w:p>
    <w:p w:rsidR="00D80597" w:rsidRPr="0039277D" w:rsidRDefault="00D80597" w:rsidP="008B3C58">
      <w:pPr>
        <w:pStyle w:val="ParNoG"/>
      </w:pPr>
      <w:r w:rsidRPr="0039277D">
        <w:rPr>
          <w:lang w:val="fr-FR"/>
        </w:rPr>
        <w:t>Étant donné que de nombreux pays, y compris au sein de l</w:t>
      </w:r>
      <w:r w:rsidR="0039277D" w:rsidRPr="0039277D">
        <w:rPr>
          <w:lang w:val="fr-FR"/>
        </w:rPr>
        <w:t>’</w:t>
      </w:r>
      <w:r w:rsidRPr="0039277D">
        <w:rPr>
          <w:lang w:val="fr-FR"/>
        </w:rPr>
        <w:t>Union européenne et en Amérique du Nord, avaient adopté des prescriptions de marquage en vertu desquelles des informations d</w:t>
      </w:r>
      <w:r w:rsidR="0039277D" w:rsidRPr="0039277D">
        <w:rPr>
          <w:lang w:val="fr-FR"/>
        </w:rPr>
        <w:t>’</w:t>
      </w:r>
      <w:r w:rsidRPr="0039277D">
        <w:rPr>
          <w:lang w:val="fr-FR"/>
        </w:rPr>
        <w:t>identification uniques liées à la sécurité devaient figurer sur les colis, et bien que ces prescriptions de marquage ne soient pas directement liées à la sécurité ou à la sûreté des transports, le Sous-Comité a convenu qu</w:t>
      </w:r>
      <w:r w:rsidR="0039277D" w:rsidRPr="0039277D">
        <w:rPr>
          <w:lang w:val="fr-FR"/>
        </w:rPr>
        <w:t>’</w:t>
      </w:r>
      <w:r w:rsidRPr="0039277D">
        <w:rPr>
          <w:lang w:val="fr-FR"/>
        </w:rPr>
        <w:t>il était important de prendre en considération la présence éventuelle de ces marques et d</w:t>
      </w:r>
      <w:r w:rsidR="0039277D" w:rsidRPr="0039277D">
        <w:rPr>
          <w:lang w:val="fr-FR"/>
        </w:rPr>
        <w:t>’</w:t>
      </w:r>
      <w:r w:rsidRPr="0039277D">
        <w:rPr>
          <w:lang w:val="fr-FR"/>
        </w:rPr>
        <w:t>encourager l</w:t>
      </w:r>
      <w:r w:rsidR="0039277D" w:rsidRPr="0039277D">
        <w:rPr>
          <w:lang w:val="fr-FR"/>
        </w:rPr>
        <w:t>’</w:t>
      </w:r>
      <w:r w:rsidRPr="0039277D">
        <w:rPr>
          <w:lang w:val="fr-FR"/>
        </w:rPr>
        <w:t>adoption d</w:t>
      </w:r>
      <w:r w:rsidR="0039277D" w:rsidRPr="0039277D">
        <w:rPr>
          <w:lang w:val="fr-FR"/>
        </w:rPr>
        <w:t>’</w:t>
      </w:r>
      <w:r w:rsidRPr="0039277D">
        <w:rPr>
          <w:lang w:val="fr-FR"/>
        </w:rPr>
        <w:t>un modèle cohérent au plan international afin de faciliter le transport international et multimodal. Le Sous-Comité a donc décidé d</w:t>
      </w:r>
      <w:r w:rsidR="0039277D" w:rsidRPr="0039277D">
        <w:rPr>
          <w:lang w:val="fr-FR"/>
        </w:rPr>
        <w:t>’</w:t>
      </w:r>
      <w:r w:rsidRPr="0039277D">
        <w:rPr>
          <w:lang w:val="fr-FR"/>
        </w:rPr>
        <w:t xml:space="preserve">ajouter après le paragraphe 1.4.3.2.1 un </w:t>
      </w:r>
      <w:r w:rsidRPr="0039277D">
        <w:rPr>
          <w:i/>
          <w:iCs/>
          <w:lang w:val="fr-FR"/>
        </w:rPr>
        <w:t>NOTA</w:t>
      </w:r>
      <w:r w:rsidRPr="0039277D">
        <w:rPr>
          <w:lang w:val="fr-FR"/>
        </w:rPr>
        <w:t xml:space="preserve"> tel que proposé dans le document informel INF.67. Les propositions correspondantes ayant été soumises tardivement en tant que documents informels (INF.35 et INF.67), le </w:t>
      </w:r>
      <w:r w:rsidRPr="0039277D">
        <w:rPr>
          <w:i/>
          <w:lang w:val="fr-FR"/>
        </w:rPr>
        <w:t>NOTA</w:t>
      </w:r>
      <w:r w:rsidRPr="0039277D">
        <w:rPr>
          <w:lang w:val="fr-FR"/>
        </w:rPr>
        <w:t xml:space="preserve"> a été placé entre crochets pour confirmation à la session suivante (voir annexe II).</w:t>
      </w:r>
    </w:p>
    <w:p w:rsidR="00D80597" w:rsidRPr="0039277D" w:rsidRDefault="00E12FEC" w:rsidP="00E12FEC">
      <w:pPr>
        <w:pStyle w:val="H1G"/>
      </w:pPr>
      <w:r>
        <w:rPr>
          <w:lang w:val="fr-FR"/>
        </w:rPr>
        <w:tab/>
      </w:r>
      <w:r w:rsidR="00D80597" w:rsidRPr="0039277D">
        <w:rPr>
          <w:lang w:val="fr-FR"/>
        </w:rPr>
        <w:t>F.</w:t>
      </w:r>
      <w:r w:rsidR="00D80597" w:rsidRPr="0039277D">
        <w:rPr>
          <w:lang w:val="fr-FR"/>
        </w:rPr>
        <w:tab/>
        <w:t>Classement des artifices de divertissement</w:t>
      </w:r>
    </w:p>
    <w:p w:rsidR="00D80597" w:rsidRPr="0039277D" w:rsidRDefault="00D80597" w:rsidP="008B3C58">
      <w:pPr>
        <w:pStyle w:val="ParNoG"/>
      </w:pPr>
      <w:r w:rsidRPr="0039277D">
        <w:rPr>
          <w:lang w:val="fr-FR"/>
        </w:rPr>
        <w:t>Aucun document n</w:t>
      </w:r>
      <w:r w:rsidR="0039277D" w:rsidRPr="0039277D">
        <w:rPr>
          <w:lang w:val="fr-FR"/>
        </w:rPr>
        <w:t>’</w:t>
      </w:r>
      <w:r w:rsidRPr="0039277D">
        <w:rPr>
          <w:lang w:val="fr-FR"/>
        </w:rPr>
        <w:t>ayant été soumis au titre de ce point de l</w:t>
      </w:r>
      <w:r w:rsidR="0039277D" w:rsidRPr="0039277D">
        <w:rPr>
          <w:lang w:val="fr-FR"/>
        </w:rPr>
        <w:t>’</w:t>
      </w:r>
      <w:r w:rsidRPr="0039277D">
        <w:rPr>
          <w:lang w:val="fr-FR"/>
        </w:rPr>
        <w:t>ordre du jour, la question n</w:t>
      </w:r>
      <w:r w:rsidR="0039277D" w:rsidRPr="0039277D">
        <w:rPr>
          <w:lang w:val="fr-FR"/>
        </w:rPr>
        <w:t>’</w:t>
      </w:r>
      <w:r w:rsidRPr="0039277D">
        <w:rPr>
          <w:lang w:val="fr-FR"/>
        </w:rPr>
        <w:t>a pas été examinée.</w:t>
      </w:r>
    </w:p>
    <w:p w:rsidR="00D80597" w:rsidRPr="0039277D" w:rsidRDefault="00E12FEC" w:rsidP="00E12FEC">
      <w:pPr>
        <w:pStyle w:val="H1G"/>
      </w:pPr>
      <w:r>
        <w:rPr>
          <w:lang w:val="fr-FR"/>
        </w:rPr>
        <w:tab/>
      </w:r>
      <w:r w:rsidR="00D80597" w:rsidRPr="0039277D">
        <w:rPr>
          <w:lang w:val="fr-FR"/>
        </w:rPr>
        <w:t>G.</w:t>
      </w:r>
      <w:r w:rsidR="00D80597" w:rsidRPr="0039277D">
        <w:rPr>
          <w:lang w:val="fr-FR"/>
        </w:rPr>
        <w:tab/>
        <w:t xml:space="preserve">Classement des objets sous le </w:t>
      </w:r>
      <w:r w:rsidR="00CD7394">
        <w:rPr>
          <w:lang w:val="fr-FR"/>
        </w:rPr>
        <w:t>No </w:t>
      </w:r>
      <w:r w:rsidR="00D80597" w:rsidRPr="0039277D">
        <w:rPr>
          <w:lang w:val="fr-FR"/>
        </w:rPr>
        <w:t>ONU 0349</w:t>
      </w:r>
    </w:p>
    <w:p w:rsidR="00D80597" w:rsidRPr="0039277D" w:rsidRDefault="00D80597" w:rsidP="008B3C58">
      <w:pPr>
        <w:pStyle w:val="ParNoG"/>
      </w:pPr>
      <w:r w:rsidRPr="0039277D">
        <w:rPr>
          <w:lang w:val="fr-FR"/>
        </w:rPr>
        <w:t>Aucun document n</w:t>
      </w:r>
      <w:r w:rsidR="0039277D" w:rsidRPr="0039277D">
        <w:rPr>
          <w:lang w:val="fr-FR"/>
        </w:rPr>
        <w:t>’</w:t>
      </w:r>
      <w:r w:rsidRPr="0039277D">
        <w:rPr>
          <w:lang w:val="fr-FR"/>
        </w:rPr>
        <w:t>ayant été soumis au titre de ce point de l</w:t>
      </w:r>
      <w:r w:rsidR="0039277D" w:rsidRPr="0039277D">
        <w:rPr>
          <w:lang w:val="fr-FR"/>
        </w:rPr>
        <w:t>’</w:t>
      </w:r>
      <w:r w:rsidRPr="0039277D">
        <w:rPr>
          <w:lang w:val="fr-FR"/>
        </w:rPr>
        <w:t>ordre du jour, la question n</w:t>
      </w:r>
      <w:r w:rsidR="0039277D" w:rsidRPr="0039277D">
        <w:rPr>
          <w:lang w:val="fr-FR"/>
        </w:rPr>
        <w:t>’</w:t>
      </w:r>
      <w:r w:rsidRPr="0039277D">
        <w:rPr>
          <w:lang w:val="fr-FR"/>
        </w:rPr>
        <w:t>a pas été examinée.</w:t>
      </w:r>
    </w:p>
    <w:p w:rsidR="00D80597" w:rsidRPr="0039277D" w:rsidRDefault="00E12FEC" w:rsidP="00E12FEC">
      <w:pPr>
        <w:pStyle w:val="H1G"/>
      </w:pPr>
      <w:r>
        <w:rPr>
          <w:lang w:val="fr-FR"/>
        </w:rPr>
        <w:tab/>
      </w:r>
      <w:r w:rsidR="00D80597" w:rsidRPr="0039277D">
        <w:rPr>
          <w:lang w:val="fr-FR"/>
        </w:rPr>
        <w:t>H.</w:t>
      </w:r>
      <w:r w:rsidR="00D80597" w:rsidRPr="0039277D">
        <w:rPr>
          <w:lang w:val="fr-FR"/>
        </w:rPr>
        <w:tab/>
        <w:t>Examen du c</w:t>
      </w:r>
      <w:r w:rsidR="008D1FF7">
        <w:rPr>
          <w:lang w:val="fr-FR"/>
        </w:rPr>
        <w:t>hapitre 2.1 du SGH</w:t>
      </w:r>
    </w:p>
    <w:p w:rsidR="00D80597" w:rsidRPr="0039277D" w:rsidRDefault="00D80597" w:rsidP="00855C98">
      <w:pPr>
        <w:keepNext/>
        <w:spacing w:after="120"/>
        <w:ind w:left="3119" w:hanging="1985"/>
        <w:rPr>
          <w:lang w:val="fr-FR"/>
        </w:rPr>
      </w:pPr>
      <w:r w:rsidRPr="0039277D">
        <w:rPr>
          <w:i/>
          <w:lang w:val="fr-FR"/>
        </w:rPr>
        <w:t>Documents</w:t>
      </w:r>
      <w:r w:rsidR="0066043C">
        <w:rPr>
          <w:i/>
          <w:lang w:val="fr-FR"/>
        </w:rPr>
        <w:t> </w:t>
      </w:r>
      <w:r w:rsidR="0066043C" w:rsidRPr="0066043C">
        <w:rPr>
          <w:lang w:val="fr-FR"/>
        </w:rPr>
        <w:t>:</w:t>
      </w:r>
      <w:r w:rsidR="0066043C">
        <w:rPr>
          <w:i/>
          <w:lang w:val="fr-FR"/>
        </w:rPr>
        <w:tab/>
      </w:r>
      <w:r w:rsidR="0066043C" w:rsidRPr="00C90015">
        <w:rPr>
          <w:lang w:val="fr-FR"/>
        </w:rPr>
        <w:t>S</w:t>
      </w:r>
      <w:r w:rsidRPr="00C90015">
        <w:rPr>
          <w:lang w:val="fr-FR"/>
        </w:rPr>
        <w:t>T</w:t>
      </w:r>
      <w:r w:rsidRPr="0039277D">
        <w:rPr>
          <w:lang w:val="fr-FR"/>
        </w:rPr>
        <w:t xml:space="preserve">/SG/AC.10/C.3/2016/7 (AEISG) </w:t>
      </w:r>
      <w:r w:rsidRPr="0039277D">
        <w:rPr>
          <w:lang w:val="fr-FR"/>
        </w:rPr>
        <w:br/>
        <w:t>ST/SG/AC.10/C.3/2016/47 (SAAMI).</w:t>
      </w:r>
    </w:p>
    <w:p w:rsidR="00D80597" w:rsidRPr="0039277D" w:rsidRDefault="00D80597" w:rsidP="00855C98">
      <w:pPr>
        <w:keepNext/>
        <w:spacing w:after="120"/>
        <w:ind w:left="3119" w:hanging="1985"/>
        <w:rPr>
          <w:lang w:val="fr-FR"/>
        </w:rPr>
      </w:pPr>
      <w:r w:rsidRPr="0039277D">
        <w:rPr>
          <w:i/>
          <w:lang w:val="fr-FR"/>
        </w:rPr>
        <w:t>Documents informels</w:t>
      </w:r>
      <w:r w:rsidRPr="0039277D">
        <w:rPr>
          <w:lang w:val="fr-FR"/>
        </w:rPr>
        <w:t xml:space="preserve"> : </w:t>
      </w:r>
      <w:r w:rsidRPr="0039277D">
        <w:rPr>
          <w:lang w:val="fr-FR"/>
        </w:rPr>
        <w:tab/>
        <w:t>INF.15 (AEISG)</w:t>
      </w:r>
      <w:r w:rsidRPr="0039277D">
        <w:rPr>
          <w:lang w:val="fr-FR"/>
        </w:rPr>
        <w:br/>
        <w:t>INF.45 (Canada)</w:t>
      </w:r>
      <w:r w:rsidRPr="0039277D">
        <w:rPr>
          <w:lang w:val="fr-FR"/>
        </w:rPr>
        <w:br/>
        <w:t>INF.37 (Suède).</w:t>
      </w:r>
    </w:p>
    <w:p w:rsidR="00D80597" w:rsidRPr="0039277D" w:rsidRDefault="00D80597" w:rsidP="008B3C58">
      <w:pPr>
        <w:pStyle w:val="ParNoG"/>
      </w:pPr>
      <w:r w:rsidRPr="0039277D">
        <w:rPr>
          <w:lang w:val="fr-FR"/>
        </w:rPr>
        <w:t>Le Sous-Comité a pris note des vues du Groupe de travail sur les diverses questions soulevées concernant l</w:t>
      </w:r>
      <w:r w:rsidR="0039277D" w:rsidRPr="0039277D">
        <w:rPr>
          <w:lang w:val="fr-FR"/>
        </w:rPr>
        <w:t>’</w:t>
      </w:r>
      <w:r w:rsidRPr="0039277D">
        <w:rPr>
          <w:lang w:val="fr-FR"/>
        </w:rPr>
        <w:t>application du SGH aux explosifs dans des secteurs autres que celui des transports (prescriptions en matière d</w:t>
      </w:r>
      <w:r w:rsidR="0039277D" w:rsidRPr="0039277D">
        <w:rPr>
          <w:lang w:val="fr-FR"/>
        </w:rPr>
        <w:t>’</w:t>
      </w:r>
      <w:r w:rsidRPr="0039277D">
        <w:rPr>
          <w:lang w:val="fr-FR"/>
        </w:rPr>
        <w:t>étiquetage, sujétion des éléments de l</w:t>
      </w:r>
      <w:r w:rsidR="0039277D" w:rsidRPr="0039277D">
        <w:rPr>
          <w:lang w:val="fr-FR"/>
        </w:rPr>
        <w:t>’</w:t>
      </w:r>
      <w:r w:rsidRPr="0039277D">
        <w:rPr>
          <w:lang w:val="fr-FR"/>
        </w:rPr>
        <w:t>étiquetage à l</w:t>
      </w:r>
      <w:r w:rsidR="0039277D" w:rsidRPr="0039277D">
        <w:rPr>
          <w:lang w:val="fr-FR"/>
        </w:rPr>
        <w:t>’</w:t>
      </w:r>
      <w:r w:rsidRPr="0039277D">
        <w:rPr>
          <w:lang w:val="fr-FR"/>
        </w:rPr>
        <w:t>égard de l</w:t>
      </w:r>
      <w:r w:rsidR="0039277D" w:rsidRPr="0039277D">
        <w:rPr>
          <w:lang w:val="fr-FR"/>
        </w:rPr>
        <w:t>’</w:t>
      </w:r>
      <w:r w:rsidRPr="0039277D">
        <w:rPr>
          <w:lang w:val="fr-FR"/>
        </w:rPr>
        <w:t>emballage, explosifs instables, etc.). Le Groupe de travail a estimé que certains des problèmes rencontrés avaient pour origine un manque de clarté de la définition de la portée et de l</w:t>
      </w:r>
      <w:r w:rsidR="0039277D" w:rsidRPr="0039277D">
        <w:rPr>
          <w:lang w:val="fr-FR"/>
        </w:rPr>
        <w:t>’</w:t>
      </w:r>
      <w:r w:rsidRPr="0039277D">
        <w:rPr>
          <w:lang w:val="fr-FR"/>
        </w:rPr>
        <w:t>applicabilité du SGH au cycle de vie des explosifs. Le Sous-Comité a décidé que ces questions devaient être portées à l</w:t>
      </w:r>
      <w:r w:rsidR="0039277D" w:rsidRPr="0039277D">
        <w:rPr>
          <w:lang w:val="fr-FR"/>
        </w:rPr>
        <w:t>’</w:t>
      </w:r>
      <w:r w:rsidRPr="0039277D">
        <w:rPr>
          <w:lang w:val="fr-FR"/>
        </w:rPr>
        <w:t>attention du Sous-Comité SGH (document informel INF.22 de la trente et unième session du Sous-Comité SGH) et que les travaux devaient continuer en vue de les affiner ainsi que les autres questions énumérées dans les documents soumis au titre du présent alinéa de l</w:t>
      </w:r>
      <w:r w:rsidR="0039277D" w:rsidRPr="0039277D">
        <w:rPr>
          <w:lang w:val="fr-FR"/>
        </w:rPr>
        <w:t>’</w:t>
      </w:r>
      <w:r w:rsidRPr="0039277D">
        <w:rPr>
          <w:lang w:val="fr-FR"/>
        </w:rPr>
        <w:t>ordre du jour. Ces discussions devaient aboutir à de nouvelles propositions pour la session suivante.</w:t>
      </w:r>
    </w:p>
    <w:p w:rsidR="00D80597" w:rsidRPr="0039277D" w:rsidRDefault="00E12FEC" w:rsidP="00E12FEC">
      <w:pPr>
        <w:pStyle w:val="H1G"/>
      </w:pPr>
      <w:r>
        <w:rPr>
          <w:lang w:val="fr-FR"/>
        </w:rPr>
        <w:tab/>
      </w:r>
      <w:r w:rsidR="00D80597" w:rsidRPr="0039277D">
        <w:rPr>
          <w:lang w:val="fr-FR"/>
        </w:rPr>
        <w:t>I.</w:t>
      </w:r>
      <w:r w:rsidR="00D80597" w:rsidRPr="0039277D">
        <w:rPr>
          <w:lang w:val="fr-FR"/>
        </w:rPr>
        <w:tab/>
        <w:t>Divers</w:t>
      </w:r>
    </w:p>
    <w:p w:rsidR="00D80597" w:rsidRPr="0039277D" w:rsidRDefault="00E12FEC" w:rsidP="00E12FEC">
      <w:pPr>
        <w:pStyle w:val="H23G"/>
        <w:rPr>
          <w:lang w:val="fr-FR"/>
        </w:rPr>
      </w:pPr>
      <w:r>
        <w:rPr>
          <w:lang w:val="fr-FR"/>
        </w:rPr>
        <w:tab/>
      </w:r>
      <w:r w:rsidR="00D80597" w:rsidRPr="0039277D">
        <w:rPr>
          <w:lang w:val="fr-FR"/>
        </w:rPr>
        <w:t>1.</w:t>
      </w:r>
      <w:r w:rsidR="00D80597" w:rsidRPr="0039277D">
        <w:rPr>
          <w:lang w:val="fr-FR"/>
        </w:rPr>
        <w:tab/>
        <w:t>Rubriques supplémentaires pour la disposition spéciale 347</w:t>
      </w:r>
    </w:p>
    <w:p w:rsidR="00D80597" w:rsidRPr="0039277D" w:rsidRDefault="00D80597" w:rsidP="00855C98">
      <w:pPr>
        <w:keepNext/>
        <w:spacing w:after="120"/>
        <w:ind w:left="3119" w:hanging="1985"/>
        <w:rPr>
          <w:lang w:val="fr-FR"/>
        </w:rPr>
      </w:pPr>
      <w:r w:rsidRPr="0039277D">
        <w:rPr>
          <w:i/>
          <w:lang w:val="fr-FR"/>
        </w:rPr>
        <w:t>Document</w:t>
      </w:r>
      <w:r w:rsidR="0066043C">
        <w:rPr>
          <w:i/>
          <w:lang w:val="fr-FR"/>
        </w:rPr>
        <w:t> </w:t>
      </w:r>
      <w:r w:rsidR="0066043C" w:rsidRPr="0066043C">
        <w:rPr>
          <w:lang w:val="fr-FR"/>
        </w:rPr>
        <w:t>:</w:t>
      </w:r>
      <w:r w:rsidR="0066043C">
        <w:rPr>
          <w:lang w:val="fr-FR"/>
        </w:rPr>
        <w:tab/>
      </w:r>
      <w:r w:rsidR="0066043C" w:rsidRPr="0066043C">
        <w:rPr>
          <w:lang w:val="fr-FR"/>
        </w:rPr>
        <w:t>S</w:t>
      </w:r>
      <w:r w:rsidRPr="0039277D">
        <w:rPr>
          <w:lang w:val="fr-FR"/>
        </w:rPr>
        <w:t>T/SG/AC.10/C.3/2016/18 (Canada).</w:t>
      </w:r>
    </w:p>
    <w:p w:rsidR="00D80597" w:rsidRPr="0039277D" w:rsidRDefault="00D80597" w:rsidP="008B3C58">
      <w:pPr>
        <w:pStyle w:val="ParNoG"/>
      </w:pPr>
      <w:r w:rsidRPr="0039277D">
        <w:rPr>
          <w:lang w:val="fr-FR"/>
        </w:rPr>
        <w:t>Le Sous-Comité a adopté la proposition d</w:t>
      </w:r>
      <w:r w:rsidR="0039277D" w:rsidRPr="0039277D">
        <w:rPr>
          <w:lang w:val="fr-FR"/>
        </w:rPr>
        <w:t>’</w:t>
      </w:r>
      <w:r w:rsidRPr="0039277D">
        <w:rPr>
          <w:lang w:val="fr-FR"/>
        </w:rPr>
        <w:t xml:space="preserve">appliquer la disposition spéciale 347 aux </w:t>
      </w:r>
      <w:r w:rsidR="00C90015">
        <w:rPr>
          <w:lang w:val="fr-FR"/>
        </w:rPr>
        <w:t>N</w:t>
      </w:r>
      <w:r w:rsidRPr="0039277D">
        <w:rPr>
          <w:lang w:val="fr-FR"/>
        </w:rPr>
        <w:t>os</w:t>
      </w:r>
      <w:r w:rsidR="00C90015">
        <w:rPr>
          <w:lang w:val="fr-FR"/>
        </w:rPr>
        <w:t> </w:t>
      </w:r>
      <w:r w:rsidRPr="0039277D">
        <w:rPr>
          <w:lang w:val="fr-FR"/>
        </w:rPr>
        <w:t>ONU 0349, 0367, 0384 et 0481 (voir annexe II).</w:t>
      </w:r>
    </w:p>
    <w:p w:rsidR="00D80597" w:rsidRPr="0039277D" w:rsidRDefault="00E12FEC" w:rsidP="00E12FEC">
      <w:pPr>
        <w:pStyle w:val="H23G"/>
      </w:pPr>
      <w:r>
        <w:rPr>
          <w:lang w:val="fr-FR"/>
        </w:rPr>
        <w:tab/>
      </w:r>
      <w:r w:rsidR="00D80597" w:rsidRPr="0039277D">
        <w:rPr>
          <w:lang w:val="fr-FR"/>
        </w:rPr>
        <w:t>2.</w:t>
      </w:r>
      <w:r w:rsidR="00D80597" w:rsidRPr="0039277D">
        <w:rPr>
          <w:lang w:val="fr-FR"/>
        </w:rPr>
        <w:tab/>
        <w:t>Amendements au paragraphe 1.1.2 et au paragraphe 2.3 de l</w:t>
      </w:r>
      <w:r w:rsidR="0039277D" w:rsidRPr="0039277D">
        <w:rPr>
          <w:lang w:val="fr-FR"/>
        </w:rPr>
        <w:t>’</w:t>
      </w:r>
      <w:r w:rsidR="00D80597" w:rsidRPr="0039277D">
        <w:rPr>
          <w:lang w:val="fr-FR"/>
        </w:rPr>
        <w:t xml:space="preserve">appendice 6 </w:t>
      </w:r>
      <w:r w:rsidR="004C6102">
        <w:rPr>
          <w:lang w:val="fr-FR"/>
        </w:rPr>
        <w:br/>
      </w:r>
      <w:r w:rsidR="00D80597" w:rsidRPr="0039277D">
        <w:rPr>
          <w:lang w:val="fr-FR"/>
        </w:rPr>
        <w:t>du Manuel d</w:t>
      </w:r>
      <w:r w:rsidR="0039277D" w:rsidRPr="0039277D">
        <w:rPr>
          <w:lang w:val="fr-FR"/>
        </w:rPr>
        <w:t>’</w:t>
      </w:r>
      <w:r w:rsidR="00D80597" w:rsidRPr="0039277D">
        <w:rPr>
          <w:lang w:val="fr-FR"/>
        </w:rPr>
        <w:t>épreuves et de critères</w:t>
      </w:r>
    </w:p>
    <w:p w:rsidR="00D80597" w:rsidRPr="0039277D" w:rsidRDefault="00D80597" w:rsidP="00855C98">
      <w:pPr>
        <w:keepNext/>
        <w:spacing w:after="120"/>
        <w:ind w:left="3119" w:hanging="1985"/>
      </w:pPr>
      <w:r w:rsidRPr="0039277D">
        <w:rPr>
          <w:i/>
          <w:lang w:val="fr-FR"/>
        </w:rPr>
        <w:t>Document</w:t>
      </w:r>
      <w:r w:rsidR="0066043C">
        <w:rPr>
          <w:i/>
          <w:lang w:val="fr-FR"/>
        </w:rPr>
        <w:t> </w:t>
      </w:r>
      <w:r w:rsidR="0066043C" w:rsidRPr="0066043C">
        <w:rPr>
          <w:lang w:val="fr-FR"/>
        </w:rPr>
        <w:t>:</w:t>
      </w:r>
      <w:r w:rsidR="0066043C">
        <w:rPr>
          <w:i/>
          <w:lang w:val="fr-FR"/>
        </w:rPr>
        <w:tab/>
      </w:r>
      <w:r w:rsidR="0066043C" w:rsidRPr="0066043C">
        <w:rPr>
          <w:lang w:val="fr-FR"/>
        </w:rPr>
        <w:t>S</w:t>
      </w:r>
      <w:r w:rsidRPr="0039277D">
        <w:rPr>
          <w:lang w:val="fr-FR"/>
        </w:rPr>
        <w:t>T/SG/AC.10/C.3/2016/19 (IME).</w:t>
      </w:r>
    </w:p>
    <w:p w:rsidR="00D80597" w:rsidRPr="0039277D" w:rsidRDefault="00D80597" w:rsidP="008B3C58">
      <w:pPr>
        <w:pStyle w:val="ParNoG"/>
      </w:pPr>
      <w:r w:rsidRPr="0039277D">
        <w:rPr>
          <w:lang w:val="fr-FR"/>
        </w:rPr>
        <w:t>Le Sous-Comité a adopté les modifications recommandées par le Groupe de travail sur la base du document ST/SG/AC.10/C.3/2016/19 tel que modifié par le Groupe (voir annexe I).</w:t>
      </w:r>
    </w:p>
    <w:p w:rsidR="00D80597" w:rsidRPr="0039277D" w:rsidRDefault="00D80597" w:rsidP="00E12FEC">
      <w:pPr>
        <w:pStyle w:val="H23G"/>
      </w:pPr>
      <w:r w:rsidRPr="0039277D">
        <w:rPr>
          <w:lang w:val="fr-FR"/>
        </w:rPr>
        <w:tab/>
        <w:t>3.</w:t>
      </w:r>
      <w:r w:rsidRPr="0039277D">
        <w:rPr>
          <w:lang w:val="fr-FR"/>
        </w:rPr>
        <w:tab/>
        <w:t>Classification des engrais au nitrate d</w:t>
      </w:r>
      <w:r w:rsidR="0039277D" w:rsidRPr="0039277D">
        <w:rPr>
          <w:lang w:val="fr-FR"/>
        </w:rPr>
        <w:t>’</w:t>
      </w:r>
      <w:r w:rsidRPr="0039277D">
        <w:rPr>
          <w:lang w:val="fr-FR"/>
        </w:rPr>
        <w:t xml:space="preserve">ammonium </w:t>
      </w:r>
      <w:r w:rsidR="004C6102">
        <w:rPr>
          <w:lang w:val="fr-FR"/>
        </w:rPr>
        <w:br/>
      </w:r>
      <w:r w:rsidRPr="0039277D">
        <w:rPr>
          <w:lang w:val="fr-FR"/>
        </w:rPr>
        <w:t>(</w:t>
      </w:r>
      <w:r w:rsidR="00CD7394">
        <w:rPr>
          <w:lang w:val="fr-FR"/>
        </w:rPr>
        <w:t>Nos </w:t>
      </w:r>
      <w:r w:rsidRPr="0039277D">
        <w:rPr>
          <w:lang w:val="fr-FR"/>
        </w:rPr>
        <w:t>ONU 2067 et 2071 et disposition spéciale 307)</w:t>
      </w:r>
    </w:p>
    <w:p w:rsidR="00D80597" w:rsidRPr="0039277D" w:rsidRDefault="00D80597" w:rsidP="00855C98">
      <w:pPr>
        <w:keepNext/>
        <w:spacing w:after="120"/>
        <w:ind w:left="3119" w:hanging="1985"/>
        <w:rPr>
          <w:lang w:val="fr-FR"/>
        </w:rPr>
      </w:pPr>
      <w:r w:rsidRPr="0039277D">
        <w:rPr>
          <w:i/>
          <w:lang w:val="fr-FR"/>
        </w:rPr>
        <w:t>Document</w:t>
      </w:r>
      <w:r w:rsidR="0066043C">
        <w:rPr>
          <w:i/>
          <w:lang w:val="fr-FR"/>
        </w:rPr>
        <w:t> </w:t>
      </w:r>
      <w:r w:rsidR="0066043C" w:rsidRPr="000E0F45">
        <w:rPr>
          <w:lang w:val="fr-FR"/>
        </w:rPr>
        <w:t>:</w:t>
      </w:r>
      <w:r w:rsidR="0066043C" w:rsidRPr="000E0F45">
        <w:rPr>
          <w:lang w:val="fr-FR"/>
        </w:rPr>
        <w:tab/>
        <w:t>S</w:t>
      </w:r>
      <w:r w:rsidRPr="0039277D">
        <w:rPr>
          <w:lang w:val="fr-FR"/>
        </w:rPr>
        <w:t>T/SG/AC.10/C.3/2016/29 (Suède).</w:t>
      </w:r>
    </w:p>
    <w:p w:rsidR="00D80597" w:rsidRPr="0039277D" w:rsidRDefault="00D80597" w:rsidP="00855C98">
      <w:pPr>
        <w:keepNext/>
        <w:spacing w:after="120"/>
        <w:ind w:left="3119" w:hanging="1985"/>
      </w:pPr>
      <w:r w:rsidRPr="0039277D">
        <w:rPr>
          <w:i/>
          <w:lang w:val="fr-FR"/>
        </w:rPr>
        <w:t>Documents informels </w:t>
      </w:r>
      <w:r w:rsidRPr="000E0F45">
        <w:rPr>
          <w:lang w:val="fr-FR"/>
        </w:rPr>
        <w:t>:</w:t>
      </w:r>
      <w:r w:rsidRPr="0039277D">
        <w:rPr>
          <w:lang w:val="fr-FR"/>
        </w:rPr>
        <w:tab/>
        <w:t>INF.5 et INF.23 (Suède).</w:t>
      </w:r>
    </w:p>
    <w:p w:rsidR="00D80597" w:rsidRPr="0039277D" w:rsidRDefault="00D80597" w:rsidP="008B3C58">
      <w:pPr>
        <w:pStyle w:val="ParNoG"/>
      </w:pPr>
      <w:r w:rsidRPr="0039277D">
        <w:rPr>
          <w:lang w:val="fr-FR"/>
        </w:rPr>
        <w:t>Le Sous-Comité a noté qu</w:t>
      </w:r>
      <w:r w:rsidR="0039277D" w:rsidRPr="0039277D">
        <w:rPr>
          <w:lang w:val="fr-FR"/>
        </w:rPr>
        <w:t>’</w:t>
      </w:r>
      <w:r w:rsidRPr="0039277D">
        <w:rPr>
          <w:lang w:val="fr-FR"/>
        </w:rPr>
        <w:t>il existait un appui général au sein du Groupe de travail en faveur de la proposition d</w:t>
      </w:r>
      <w:r w:rsidR="0039277D" w:rsidRPr="0039277D">
        <w:rPr>
          <w:lang w:val="fr-FR"/>
        </w:rPr>
        <w:t>’</w:t>
      </w:r>
      <w:r w:rsidRPr="0039277D">
        <w:rPr>
          <w:lang w:val="fr-FR"/>
        </w:rPr>
        <w:t>insérer une nouvelle section 39 dans le Manuel et de traduire les prescriptions complexes dans un diagramme, et que l</w:t>
      </w:r>
      <w:r w:rsidR="0039277D" w:rsidRPr="0039277D">
        <w:rPr>
          <w:lang w:val="fr-FR"/>
        </w:rPr>
        <w:t>’</w:t>
      </w:r>
      <w:r w:rsidRPr="0039277D">
        <w:rPr>
          <w:lang w:val="fr-FR"/>
        </w:rPr>
        <w:t xml:space="preserve">expert de </w:t>
      </w:r>
      <w:r w:rsidR="00C90015">
        <w:rPr>
          <w:lang w:val="fr-FR"/>
        </w:rPr>
        <w:t xml:space="preserve">la </w:t>
      </w:r>
      <w:r w:rsidRPr="0039277D">
        <w:rPr>
          <w:lang w:val="fr-FR"/>
        </w:rPr>
        <w:t>Suède établirait une nouvelle proposition pour tenir compte des diverses observations formulées par le Groupe de travail. Toutefois, l</w:t>
      </w:r>
      <w:r w:rsidR="0039277D" w:rsidRPr="0039277D">
        <w:rPr>
          <w:lang w:val="fr-FR"/>
        </w:rPr>
        <w:t>’</w:t>
      </w:r>
      <w:r w:rsidRPr="0039277D">
        <w:rPr>
          <w:lang w:val="fr-FR"/>
        </w:rPr>
        <w:t>expert des États-Unis d</w:t>
      </w:r>
      <w:r w:rsidR="0039277D" w:rsidRPr="0039277D">
        <w:rPr>
          <w:lang w:val="fr-FR"/>
        </w:rPr>
        <w:t>’</w:t>
      </w:r>
      <w:r w:rsidRPr="0039277D">
        <w:rPr>
          <w:lang w:val="fr-FR"/>
        </w:rPr>
        <w:t>Amérique a appelé l</w:t>
      </w:r>
      <w:r w:rsidR="0039277D" w:rsidRPr="0039277D">
        <w:rPr>
          <w:lang w:val="fr-FR"/>
        </w:rPr>
        <w:t>’</w:t>
      </w:r>
      <w:r w:rsidRPr="0039277D">
        <w:rPr>
          <w:lang w:val="fr-FR"/>
        </w:rPr>
        <w:t>attention sur le fait que le diagramme de décision proposé par l</w:t>
      </w:r>
      <w:r w:rsidR="0039277D" w:rsidRPr="0039277D">
        <w:rPr>
          <w:lang w:val="fr-FR"/>
        </w:rPr>
        <w:t>’</w:t>
      </w:r>
      <w:r w:rsidRPr="0039277D">
        <w:rPr>
          <w:lang w:val="fr-FR"/>
        </w:rPr>
        <w:t>expert de la Suède comportait des nœuds décisionnels fondés sur des teneurs en sulfate d</w:t>
      </w:r>
      <w:r w:rsidR="0039277D" w:rsidRPr="0039277D">
        <w:rPr>
          <w:lang w:val="fr-FR"/>
        </w:rPr>
        <w:t>’</w:t>
      </w:r>
      <w:r w:rsidRPr="0039277D">
        <w:rPr>
          <w:lang w:val="fr-FR"/>
        </w:rPr>
        <w:t>ammonium qui ne figuraient pas dans les dispositions actuelles. Le Sous-Comité a souscrit à l</w:t>
      </w:r>
      <w:r w:rsidR="0039277D" w:rsidRPr="0039277D">
        <w:rPr>
          <w:lang w:val="fr-FR"/>
        </w:rPr>
        <w:t>’</w:t>
      </w:r>
      <w:r w:rsidRPr="0039277D">
        <w:rPr>
          <w:lang w:val="fr-FR"/>
        </w:rPr>
        <w:t>avis de l</w:t>
      </w:r>
      <w:r w:rsidR="0039277D" w:rsidRPr="0039277D">
        <w:rPr>
          <w:lang w:val="fr-FR"/>
        </w:rPr>
        <w:t>’</w:t>
      </w:r>
      <w:r w:rsidRPr="0039277D">
        <w:rPr>
          <w:lang w:val="fr-FR"/>
        </w:rPr>
        <w:t>expert des États-Unis d</w:t>
      </w:r>
      <w:r w:rsidR="0039277D" w:rsidRPr="0039277D">
        <w:rPr>
          <w:lang w:val="fr-FR"/>
        </w:rPr>
        <w:t>’</w:t>
      </w:r>
      <w:r w:rsidRPr="0039277D">
        <w:rPr>
          <w:lang w:val="fr-FR"/>
        </w:rPr>
        <w:t>Amérique selon lequel l</w:t>
      </w:r>
      <w:r w:rsidR="0039277D" w:rsidRPr="0039277D">
        <w:rPr>
          <w:lang w:val="fr-FR"/>
        </w:rPr>
        <w:t>’</w:t>
      </w:r>
      <w:r w:rsidRPr="0039277D">
        <w:rPr>
          <w:lang w:val="fr-FR"/>
        </w:rPr>
        <w:t>ajout éventuel de tels critères dans un diagramme de décision devrait être justifié.</w:t>
      </w:r>
    </w:p>
    <w:p w:rsidR="00D80597" w:rsidRPr="0039277D" w:rsidRDefault="00D80597" w:rsidP="008B3C58">
      <w:pPr>
        <w:pStyle w:val="ParNoG"/>
      </w:pPr>
      <w:r w:rsidRPr="0039277D">
        <w:rPr>
          <w:lang w:val="fr-FR"/>
        </w:rPr>
        <w:t>Le Sous-Comité a également noté que dans l</w:t>
      </w:r>
      <w:r w:rsidR="0039277D" w:rsidRPr="0039277D">
        <w:rPr>
          <w:lang w:val="fr-FR"/>
        </w:rPr>
        <w:t>’</w:t>
      </w:r>
      <w:r w:rsidRPr="0039277D">
        <w:rPr>
          <w:lang w:val="fr-FR"/>
        </w:rPr>
        <w:t>actuelle sous-section 38.2 du Manuel figurait une obligation relative au nitrate d</w:t>
      </w:r>
      <w:r w:rsidR="0039277D" w:rsidRPr="0039277D">
        <w:rPr>
          <w:lang w:val="fr-FR"/>
        </w:rPr>
        <w:t>’</w:t>
      </w:r>
      <w:r w:rsidRPr="0039277D">
        <w:rPr>
          <w:lang w:val="fr-FR"/>
        </w:rPr>
        <w:t>ammonium qui tirait son origine d</w:t>
      </w:r>
      <w:r w:rsidR="0039277D" w:rsidRPr="0039277D">
        <w:rPr>
          <w:lang w:val="fr-FR"/>
        </w:rPr>
        <w:t>’</w:t>
      </w:r>
      <w:r w:rsidRPr="0039277D">
        <w:rPr>
          <w:lang w:val="fr-FR"/>
        </w:rPr>
        <w:t>une ancienne version de la disposition spéciale 193 et qui n</w:t>
      </w:r>
      <w:r w:rsidR="0039277D" w:rsidRPr="0039277D">
        <w:rPr>
          <w:lang w:val="fr-FR"/>
        </w:rPr>
        <w:t>’</w:t>
      </w:r>
      <w:r w:rsidRPr="0039277D">
        <w:rPr>
          <w:lang w:val="fr-FR"/>
        </w:rPr>
        <w:t>avait pas été supprimée lorsque ladite disposition spéciale avait été modifiée. Le Sous-Comité a pris note de la conclusion du Groupe de travail selon laquelle il serait souhaitable de supprimer cette phrase, car les résultats des essais devaient avoir le pas sur cette prescription qui n</w:t>
      </w:r>
      <w:r w:rsidR="0039277D" w:rsidRPr="0039277D">
        <w:rPr>
          <w:lang w:val="fr-FR"/>
        </w:rPr>
        <w:t>’</w:t>
      </w:r>
      <w:r w:rsidRPr="0039277D">
        <w:rPr>
          <w:lang w:val="fr-FR"/>
        </w:rPr>
        <w:t>était plus en vigueur. Ce changement serait souligné et inclus dans la prochaine version du projet de septième édition révisée du Manuel (voir annexe I).</w:t>
      </w:r>
    </w:p>
    <w:p w:rsidR="00D80597" w:rsidRPr="0039277D" w:rsidRDefault="00D80597" w:rsidP="00E12FEC">
      <w:pPr>
        <w:pStyle w:val="H23G"/>
      </w:pPr>
      <w:r w:rsidRPr="0039277D">
        <w:rPr>
          <w:lang w:val="fr-FR"/>
        </w:rPr>
        <w:tab/>
        <w:t>4.</w:t>
      </w:r>
      <w:r w:rsidRPr="0039277D">
        <w:rPr>
          <w:lang w:val="fr-FR"/>
        </w:rPr>
        <w:tab/>
        <w:t>Transport d</w:t>
      </w:r>
      <w:r w:rsidR="0039277D" w:rsidRPr="0039277D">
        <w:rPr>
          <w:lang w:val="fr-FR"/>
        </w:rPr>
        <w:t>’</w:t>
      </w:r>
      <w:r w:rsidRPr="0039277D">
        <w:rPr>
          <w:lang w:val="fr-FR"/>
        </w:rPr>
        <w:t>objets de la classe 1 en quantités limitées</w:t>
      </w:r>
    </w:p>
    <w:p w:rsidR="00D80597" w:rsidRPr="0039277D" w:rsidRDefault="00D80597" w:rsidP="00855C98">
      <w:pPr>
        <w:keepNext/>
        <w:spacing w:after="120"/>
        <w:ind w:left="3119" w:hanging="1985"/>
        <w:rPr>
          <w:lang w:val="fr-FR"/>
        </w:rPr>
      </w:pPr>
      <w:r w:rsidRPr="0039277D">
        <w:rPr>
          <w:i/>
          <w:lang w:val="fr-FR"/>
        </w:rPr>
        <w:t>Document</w:t>
      </w:r>
      <w:r w:rsidR="0066043C">
        <w:rPr>
          <w:i/>
          <w:lang w:val="fr-FR"/>
        </w:rPr>
        <w:t> </w:t>
      </w:r>
      <w:r w:rsidR="0066043C" w:rsidRPr="000E0F45">
        <w:rPr>
          <w:lang w:val="fr-FR"/>
        </w:rPr>
        <w:t>:</w:t>
      </w:r>
      <w:r w:rsidR="0066043C" w:rsidRPr="000E0F45">
        <w:rPr>
          <w:lang w:val="fr-FR"/>
        </w:rPr>
        <w:tab/>
      </w:r>
      <w:r w:rsidR="0066043C" w:rsidRPr="00C418D8">
        <w:rPr>
          <w:lang w:val="fr-FR"/>
        </w:rPr>
        <w:t>S</w:t>
      </w:r>
      <w:r w:rsidRPr="0039277D">
        <w:rPr>
          <w:lang w:val="fr-FR"/>
        </w:rPr>
        <w:t>T/SG/AC.10/C.3/2016/31 (SAAMI).</w:t>
      </w:r>
    </w:p>
    <w:p w:rsidR="00D80597" w:rsidRPr="0039277D" w:rsidRDefault="00D80597" w:rsidP="008B3C58">
      <w:pPr>
        <w:pStyle w:val="ParNoG"/>
      </w:pPr>
      <w:r w:rsidRPr="0039277D">
        <w:rPr>
          <w:lang w:val="fr-FR"/>
        </w:rPr>
        <w:t>Le Sous-Comité a noté que le SAAMI tiendrait compte des observations du Groupe de travail lorsqu</w:t>
      </w:r>
      <w:r w:rsidR="0039277D" w:rsidRPr="0039277D">
        <w:rPr>
          <w:lang w:val="fr-FR"/>
        </w:rPr>
        <w:t>’</w:t>
      </w:r>
      <w:r w:rsidRPr="0039277D">
        <w:rPr>
          <w:lang w:val="fr-FR"/>
        </w:rPr>
        <w:t xml:space="preserve">il établirait une proposition révisée pour une future session. </w:t>
      </w:r>
    </w:p>
    <w:p w:rsidR="00D80597" w:rsidRPr="0039277D" w:rsidRDefault="00D80597" w:rsidP="008B3C58">
      <w:pPr>
        <w:pStyle w:val="ParNoG"/>
      </w:pPr>
      <w:r w:rsidRPr="0039277D">
        <w:rPr>
          <w:lang w:val="fr-FR"/>
        </w:rPr>
        <w:t>Le Sous-Comité a également noté que le Groupe de travail avait appuyé la possibilité de mettre au point un système de classification par défaut pour les munitions, ce qui éviterait de devoir s</w:t>
      </w:r>
      <w:r w:rsidR="0039277D" w:rsidRPr="0039277D">
        <w:rPr>
          <w:lang w:val="fr-FR"/>
        </w:rPr>
        <w:t>’</w:t>
      </w:r>
      <w:r w:rsidRPr="0039277D">
        <w:rPr>
          <w:lang w:val="fr-FR"/>
        </w:rPr>
        <w:t>appuyer sur les prescriptions d</w:t>
      </w:r>
      <w:r w:rsidR="0039277D" w:rsidRPr="0039277D">
        <w:rPr>
          <w:lang w:val="fr-FR"/>
        </w:rPr>
        <w:t>’</w:t>
      </w:r>
      <w:r w:rsidRPr="0039277D">
        <w:rPr>
          <w:lang w:val="fr-FR"/>
        </w:rPr>
        <w:t>emballage et l</w:t>
      </w:r>
      <w:r w:rsidR="0039277D" w:rsidRPr="0039277D">
        <w:rPr>
          <w:lang w:val="fr-FR"/>
        </w:rPr>
        <w:t>’</w:t>
      </w:r>
      <w:r w:rsidRPr="0039277D">
        <w:rPr>
          <w:lang w:val="fr-FR"/>
        </w:rPr>
        <w:t>épreuve 6</w:t>
      </w:r>
      <w:r w:rsidR="00C418D8">
        <w:rPr>
          <w:lang w:val="fr-FR"/>
        </w:rPr>
        <w:t> </w:t>
      </w:r>
      <w:r w:rsidRPr="0039277D">
        <w:rPr>
          <w:lang w:val="fr-FR"/>
        </w:rPr>
        <w:t>d) pour le transport en quantités limitées. Toutefois, certains experts ont émis des réserves et le Sous-Comité a décidé que la question devrait faire l</w:t>
      </w:r>
      <w:r w:rsidR="0039277D" w:rsidRPr="0039277D">
        <w:rPr>
          <w:lang w:val="fr-FR"/>
        </w:rPr>
        <w:t>’</w:t>
      </w:r>
      <w:r w:rsidRPr="0039277D">
        <w:rPr>
          <w:lang w:val="fr-FR"/>
        </w:rPr>
        <w:t>objet d</w:t>
      </w:r>
      <w:r w:rsidR="0039277D" w:rsidRPr="0039277D">
        <w:rPr>
          <w:lang w:val="fr-FR"/>
        </w:rPr>
        <w:t>’</w:t>
      </w:r>
      <w:r w:rsidRPr="0039277D">
        <w:rPr>
          <w:lang w:val="fr-FR"/>
        </w:rPr>
        <w:t>une proposition officielle afin de définir clairement la portée de la proposition et les types d</w:t>
      </w:r>
      <w:r w:rsidR="0039277D" w:rsidRPr="0039277D">
        <w:rPr>
          <w:lang w:val="fr-FR"/>
        </w:rPr>
        <w:t>’</w:t>
      </w:r>
      <w:r w:rsidRPr="0039277D">
        <w:rPr>
          <w:lang w:val="fr-FR"/>
        </w:rPr>
        <w:t>objets concernés.</w:t>
      </w:r>
    </w:p>
    <w:p w:rsidR="00D80597" w:rsidRPr="0039277D" w:rsidRDefault="00D80597" w:rsidP="00E12FEC">
      <w:pPr>
        <w:pStyle w:val="H23G"/>
      </w:pPr>
      <w:r w:rsidRPr="0039277D">
        <w:rPr>
          <w:lang w:val="fr-FR"/>
        </w:rPr>
        <w:tab/>
        <w:t>5.</w:t>
      </w:r>
      <w:r w:rsidRPr="0039277D">
        <w:rPr>
          <w:lang w:val="fr-FR"/>
        </w:rPr>
        <w:tab/>
        <w:t>Précisions concernant la disposition spéciale 364</w:t>
      </w:r>
    </w:p>
    <w:p w:rsidR="00D80597" w:rsidRPr="0039277D" w:rsidRDefault="00D80597" w:rsidP="00855C98">
      <w:pPr>
        <w:keepNext/>
        <w:spacing w:after="120"/>
        <w:ind w:left="3119" w:hanging="1985"/>
      </w:pPr>
      <w:r w:rsidRPr="0039277D">
        <w:rPr>
          <w:i/>
          <w:lang w:val="fr-FR"/>
        </w:rPr>
        <w:t>Document informel </w:t>
      </w:r>
      <w:r w:rsidRPr="000E0F45">
        <w:rPr>
          <w:lang w:val="fr-FR"/>
        </w:rPr>
        <w:t>:</w:t>
      </w:r>
      <w:r w:rsidR="000E0F45">
        <w:rPr>
          <w:lang w:val="fr-FR"/>
        </w:rPr>
        <w:tab/>
      </w:r>
      <w:r w:rsidRPr="0039277D">
        <w:rPr>
          <w:lang w:val="fr-FR"/>
        </w:rPr>
        <w:t>INF.16 (Allemagne).</w:t>
      </w:r>
    </w:p>
    <w:p w:rsidR="00D80597" w:rsidRPr="0039277D" w:rsidRDefault="00D80597" w:rsidP="008B3C58">
      <w:pPr>
        <w:pStyle w:val="ParNoG"/>
      </w:pPr>
      <w:r w:rsidRPr="0039277D">
        <w:rPr>
          <w:lang w:val="fr-FR"/>
        </w:rPr>
        <w:t>Le Sous-Comité a noté que le Groupe de travail avait décidé de reporter l</w:t>
      </w:r>
      <w:r w:rsidR="0039277D" w:rsidRPr="0039277D">
        <w:rPr>
          <w:lang w:val="fr-FR"/>
        </w:rPr>
        <w:t>’</w:t>
      </w:r>
      <w:r w:rsidRPr="0039277D">
        <w:rPr>
          <w:lang w:val="fr-FR"/>
        </w:rPr>
        <w:t>examen de ce sujet à un débat ultérieur en attendant l</w:t>
      </w:r>
      <w:r w:rsidR="0039277D" w:rsidRPr="0039277D">
        <w:rPr>
          <w:lang w:val="fr-FR"/>
        </w:rPr>
        <w:t>’</w:t>
      </w:r>
      <w:r w:rsidRPr="0039277D">
        <w:rPr>
          <w:lang w:val="fr-FR"/>
        </w:rPr>
        <w:t>examen de l</w:t>
      </w:r>
      <w:r w:rsidR="0039277D" w:rsidRPr="0039277D">
        <w:rPr>
          <w:lang w:val="fr-FR"/>
        </w:rPr>
        <w:t>’</w:t>
      </w:r>
      <w:r w:rsidRPr="0039277D">
        <w:rPr>
          <w:lang w:val="fr-FR"/>
        </w:rPr>
        <w:t>épreuve 6 d) et l</w:t>
      </w:r>
      <w:r w:rsidR="0039277D" w:rsidRPr="0039277D">
        <w:rPr>
          <w:lang w:val="fr-FR"/>
        </w:rPr>
        <w:t>’</w:t>
      </w:r>
      <w:r w:rsidRPr="0039277D">
        <w:rPr>
          <w:lang w:val="fr-FR"/>
        </w:rPr>
        <w:t>évaluation d</w:t>
      </w:r>
      <w:r w:rsidR="0039277D" w:rsidRPr="0039277D">
        <w:rPr>
          <w:lang w:val="fr-FR"/>
        </w:rPr>
        <w:t>’</w:t>
      </w:r>
      <w:r w:rsidRPr="0039277D">
        <w:rPr>
          <w:lang w:val="fr-FR"/>
        </w:rPr>
        <w:t>une classification par défaut pour certaines munitions.</w:t>
      </w:r>
    </w:p>
    <w:p w:rsidR="00D80597" w:rsidRPr="0039277D" w:rsidRDefault="00E12FEC" w:rsidP="00E12FEC">
      <w:pPr>
        <w:pStyle w:val="H23G"/>
      </w:pPr>
      <w:r>
        <w:rPr>
          <w:lang w:val="fr-FR"/>
        </w:rPr>
        <w:tab/>
      </w:r>
      <w:r w:rsidR="00D80597" w:rsidRPr="0039277D">
        <w:rPr>
          <w:lang w:val="fr-FR"/>
        </w:rPr>
        <w:t>6.</w:t>
      </w:r>
      <w:r w:rsidR="00D80597" w:rsidRPr="0039277D">
        <w:rPr>
          <w:lang w:val="fr-FR"/>
        </w:rPr>
        <w:tab/>
        <w:t xml:space="preserve">Transport de TÉTRANITRATE DE PENTAÉRYTHRITE (PETN) </w:t>
      </w:r>
      <w:r w:rsidR="000E0F45">
        <w:rPr>
          <w:lang w:val="fr-FR"/>
        </w:rPr>
        <w:br/>
      </w:r>
      <w:r w:rsidR="00D80597" w:rsidRPr="0039277D">
        <w:rPr>
          <w:lang w:val="fr-FR"/>
        </w:rPr>
        <w:t>contenant moins de 25</w:t>
      </w:r>
      <w:r w:rsidR="000E0F45">
        <w:rPr>
          <w:lang w:val="fr-FR"/>
        </w:rPr>
        <w:t> </w:t>
      </w:r>
      <w:r w:rsidR="00D80597" w:rsidRPr="0039277D">
        <w:rPr>
          <w:lang w:val="fr-FR"/>
        </w:rPr>
        <w:t>% d</w:t>
      </w:r>
      <w:r w:rsidR="0039277D" w:rsidRPr="0039277D">
        <w:rPr>
          <w:lang w:val="fr-FR"/>
        </w:rPr>
        <w:t>’</w:t>
      </w:r>
      <w:r w:rsidR="00D80597" w:rsidRPr="0039277D">
        <w:rPr>
          <w:lang w:val="fr-FR"/>
        </w:rPr>
        <w:t>eau mais plus de 9</w:t>
      </w:r>
      <w:r w:rsidR="000E0F45">
        <w:rPr>
          <w:lang w:val="fr-FR"/>
        </w:rPr>
        <w:t> </w:t>
      </w:r>
      <w:r w:rsidR="00D80597" w:rsidRPr="0039277D">
        <w:rPr>
          <w:lang w:val="fr-FR"/>
        </w:rPr>
        <w:t>% d</w:t>
      </w:r>
      <w:r w:rsidR="0039277D" w:rsidRPr="0039277D">
        <w:rPr>
          <w:lang w:val="fr-FR"/>
        </w:rPr>
        <w:t>’</w:t>
      </w:r>
      <w:r w:rsidR="00D80597" w:rsidRPr="0039277D">
        <w:rPr>
          <w:lang w:val="fr-FR"/>
        </w:rPr>
        <w:t>eau</w:t>
      </w:r>
    </w:p>
    <w:p w:rsidR="00D80597" w:rsidRPr="0039277D" w:rsidRDefault="00D80597" w:rsidP="00855C98">
      <w:pPr>
        <w:keepNext/>
        <w:spacing w:after="120"/>
        <w:ind w:left="3119" w:hanging="1985"/>
      </w:pPr>
      <w:r w:rsidRPr="0039277D">
        <w:rPr>
          <w:i/>
          <w:lang w:val="fr-FR"/>
        </w:rPr>
        <w:t>Documents informels </w:t>
      </w:r>
      <w:r w:rsidR="000E0F45">
        <w:rPr>
          <w:lang w:val="fr-FR"/>
        </w:rPr>
        <w:t>:</w:t>
      </w:r>
      <w:r w:rsidRPr="000E0F45">
        <w:rPr>
          <w:lang w:val="fr-FR"/>
        </w:rPr>
        <w:tab/>
      </w:r>
      <w:r w:rsidRPr="0039277D">
        <w:rPr>
          <w:lang w:val="fr-FR"/>
        </w:rPr>
        <w:t xml:space="preserve">INF.9 (Allemagne) </w:t>
      </w:r>
      <w:r w:rsidRPr="0039277D">
        <w:rPr>
          <w:lang w:val="fr-FR"/>
        </w:rPr>
        <w:br/>
        <w:t>INF.38 (Espagne).</w:t>
      </w:r>
    </w:p>
    <w:p w:rsidR="00D80597" w:rsidRPr="0039277D" w:rsidRDefault="00D80597" w:rsidP="008B3C58">
      <w:pPr>
        <w:pStyle w:val="ParNoG"/>
      </w:pPr>
      <w:r w:rsidRPr="0039277D">
        <w:rPr>
          <w:lang w:val="fr-FR"/>
        </w:rPr>
        <w:t>Le Sous-Comité a noté que le Groupe de travail était favorable aux conclusions figurant dans le document informel INF.9 tendant à ne pas modifier les prescriptions relatives à la désensibilisation à l</w:t>
      </w:r>
      <w:r w:rsidR="0039277D" w:rsidRPr="0039277D">
        <w:rPr>
          <w:lang w:val="fr-FR"/>
        </w:rPr>
        <w:t>’</w:t>
      </w:r>
      <w:r w:rsidRPr="0039277D">
        <w:rPr>
          <w:lang w:val="fr-FR"/>
        </w:rPr>
        <w:t xml:space="preserve">eau pour le </w:t>
      </w:r>
      <w:r w:rsidR="00CD7394">
        <w:rPr>
          <w:lang w:val="fr-FR"/>
        </w:rPr>
        <w:t>No </w:t>
      </w:r>
      <w:r w:rsidRPr="0039277D">
        <w:rPr>
          <w:lang w:val="fr-FR"/>
        </w:rPr>
        <w:t>ONU 0150 PETN (1.1D). En raison de la disparité constatée entre les résultats d</w:t>
      </w:r>
      <w:r w:rsidR="0039277D" w:rsidRPr="0039277D">
        <w:rPr>
          <w:lang w:val="fr-FR"/>
        </w:rPr>
        <w:t>’</w:t>
      </w:r>
      <w:r w:rsidRPr="0039277D">
        <w:rPr>
          <w:lang w:val="fr-FR"/>
        </w:rPr>
        <w:t>épreuves signalés par l</w:t>
      </w:r>
      <w:r w:rsidR="0039277D" w:rsidRPr="0039277D">
        <w:rPr>
          <w:lang w:val="fr-FR"/>
        </w:rPr>
        <w:t>’</w:t>
      </w:r>
      <w:r w:rsidRPr="0039277D">
        <w:rPr>
          <w:lang w:val="fr-FR"/>
        </w:rPr>
        <w:t>Allemagne dans le document INF.9 et ceux signalés par l</w:t>
      </w:r>
      <w:r w:rsidR="0039277D" w:rsidRPr="0039277D">
        <w:rPr>
          <w:lang w:val="fr-FR"/>
        </w:rPr>
        <w:t>’</w:t>
      </w:r>
      <w:r w:rsidRPr="0039277D">
        <w:rPr>
          <w:lang w:val="fr-FR"/>
        </w:rPr>
        <w:t>Espagne dans le document informel INF.38, plusieurs laboratoires avaient accepté de participer à une série d</w:t>
      </w:r>
      <w:r w:rsidR="0039277D" w:rsidRPr="0039277D">
        <w:rPr>
          <w:lang w:val="fr-FR"/>
        </w:rPr>
        <w:t>’</w:t>
      </w:r>
      <w:r w:rsidRPr="0039277D">
        <w:rPr>
          <w:lang w:val="fr-FR"/>
        </w:rPr>
        <w:t>épreuves interlaboratoires, qui seraient coordonnées par l</w:t>
      </w:r>
      <w:r w:rsidR="0039277D" w:rsidRPr="0039277D">
        <w:rPr>
          <w:lang w:val="fr-FR"/>
        </w:rPr>
        <w:t>’</w:t>
      </w:r>
      <w:r w:rsidRPr="0039277D">
        <w:rPr>
          <w:lang w:val="fr-FR"/>
        </w:rPr>
        <w:t>Espagne, en vue d</w:t>
      </w:r>
      <w:r w:rsidR="0039277D" w:rsidRPr="0039277D">
        <w:rPr>
          <w:lang w:val="fr-FR"/>
        </w:rPr>
        <w:t>’</w:t>
      </w:r>
      <w:r w:rsidRPr="0039277D">
        <w:rPr>
          <w:lang w:val="fr-FR"/>
        </w:rPr>
        <w:t xml:space="preserve">approfondir la question. </w:t>
      </w:r>
    </w:p>
    <w:p w:rsidR="00D80597" w:rsidRPr="0039277D" w:rsidRDefault="00D80597" w:rsidP="00E12FEC">
      <w:pPr>
        <w:pStyle w:val="H23G"/>
      </w:pPr>
      <w:r w:rsidRPr="0039277D">
        <w:rPr>
          <w:lang w:val="fr-FR"/>
        </w:rPr>
        <w:tab/>
        <w:t>7.</w:t>
      </w:r>
      <w:r w:rsidRPr="0039277D">
        <w:rPr>
          <w:lang w:val="fr-FR"/>
        </w:rPr>
        <w:tab/>
        <w:t>Transport d</w:t>
      </w:r>
      <w:r w:rsidR="0039277D" w:rsidRPr="0039277D">
        <w:rPr>
          <w:lang w:val="fr-FR"/>
        </w:rPr>
        <w:t>’</w:t>
      </w:r>
      <w:r w:rsidRPr="0039277D">
        <w:rPr>
          <w:lang w:val="fr-FR"/>
        </w:rPr>
        <w:t>échantillons énergétiques en vue d</w:t>
      </w:r>
      <w:r w:rsidR="0039277D" w:rsidRPr="0039277D">
        <w:rPr>
          <w:lang w:val="fr-FR"/>
        </w:rPr>
        <w:t>’</w:t>
      </w:r>
      <w:r w:rsidRPr="0039277D">
        <w:rPr>
          <w:lang w:val="fr-FR"/>
        </w:rPr>
        <w:t>essais ultérieurs</w:t>
      </w:r>
    </w:p>
    <w:p w:rsidR="00D80597" w:rsidRPr="0039277D" w:rsidRDefault="00D80597" w:rsidP="00855C98">
      <w:pPr>
        <w:keepNext/>
        <w:spacing w:after="120"/>
        <w:ind w:left="3119" w:hanging="1985"/>
        <w:rPr>
          <w:lang w:val="fr-FR"/>
        </w:rPr>
      </w:pPr>
      <w:r w:rsidRPr="0039277D">
        <w:rPr>
          <w:i/>
          <w:lang w:val="fr-FR"/>
        </w:rPr>
        <w:t>Document informel</w:t>
      </w:r>
      <w:r w:rsidR="000E0F45">
        <w:rPr>
          <w:lang w:val="fr-FR"/>
        </w:rPr>
        <w:t> :</w:t>
      </w:r>
      <w:r w:rsidRPr="0039277D">
        <w:rPr>
          <w:lang w:val="fr-FR"/>
        </w:rPr>
        <w:tab/>
        <w:t>INF.20 (CEFIC).</w:t>
      </w:r>
    </w:p>
    <w:p w:rsidR="00D80597" w:rsidRPr="0039277D" w:rsidRDefault="00D80597" w:rsidP="008B3C58">
      <w:pPr>
        <w:pStyle w:val="ParNoG"/>
      </w:pPr>
      <w:r w:rsidRPr="0039277D">
        <w:rPr>
          <w:lang w:val="fr-FR"/>
        </w:rPr>
        <w:t>Le Sous-Comité a noté que le Groupe de travail avait appuyé en principe la proposition tendant à l</w:t>
      </w:r>
      <w:r w:rsidR="0039277D" w:rsidRPr="0039277D">
        <w:rPr>
          <w:lang w:val="fr-FR"/>
        </w:rPr>
        <w:t>’</w:t>
      </w:r>
      <w:r w:rsidRPr="0039277D">
        <w:rPr>
          <w:lang w:val="fr-FR"/>
        </w:rPr>
        <w:t>élaboration de dispositions relatives aux emballages acceptables pour permettre de transporter de très petites quantités (allant du milligramme au gramme) d</w:t>
      </w:r>
      <w:r w:rsidR="0039277D" w:rsidRPr="0039277D">
        <w:rPr>
          <w:lang w:val="fr-FR"/>
        </w:rPr>
        <w:t>’</w:t>
      </w:r>
      <w:r w:rsidRPr="0039277D">
        <w:rPr>
          <w:lang w:val="fr-FR"/>
        </w:rPr>
        <w:t>échantillons de matières énergétiques pouvant appartenir aux groupes fonctionnels énumérés dans les tableaux A6.1 et A6.2 de l</w:t>
      </w:r>
      <w:r w:rsidR="0039277D" w:rsidRPr="0039277D">
        <w:rPr>
          <w:lang w:val="fr-FR"/>
        </w:rPr>
        <w:t>’</w:t>
      </w:r>
      <w:r w:rsidRPr="0039277D">
        <w:rPr>
          <w:lang w:val="fr-FR"/>
        </w:rPr>
        <w:t>appendice 6 (Procédure de présélection) du Manuel d</w:t>
      </w:r>
      <w:r w:rsidR="0039277D" w:rsidRPr="0039277D">
        <w:rPr>
          <w:lang w:val="fr-FR"/>
        </w:rPr>
        <w:t>’</w:t>
      </w:r>
      <w:r w:rsidRPr="0039277D">
        <w:rPr>
          <w:lang w:val="fr-FR"/>
        </w:rPr>
        <w:t>épreuves et de critères, indiquant ainsi des propriétés explosives ou autoréactives, mais qui n</w:t>
      </w:r>
      <w:r w:rsidR="0039277D" w:rsidRPr="0039277D">
        <w:rPr>
          <w:lang w:val="fr-FR"/>
        </w:rPr>
        <w:t>’</w:t>
      </w:r>
      <w:r w:rsidRPr="0039277D">
        <w:rPr>
          <w:lang w:val="fr-FR"/>
        </w:rPr>
        <w:t>étaient pas pour autant susceptibles d</w:t>
      </w:r>
      <w:r w:rsidR="0039277D" w:rsidRPr="0039277D">
        <w:rPr>
          <w:lang w:val="fr-FR"/>
        </w:rPr>
        <w:t>’</w:t>
      </w:r>
      <w:r w:rsidRPr="0039277D">
        <w:rPr>
          <w:lang w:val="fr-FR"/>
        </w:rPr>
        <w:t>être classées comme des matières explosives de la classe 1. Une proposition officielle serait établie pour la session suivante.</w:t>
      </w:r>
    </w:p>
    <w:p w:rsidR="00D80597" w:rsidRPr="0039277D" w:rsidRDefault="00D80597" w:rsidP="00E12FEC">
      <w:pPr>
        <w:pStyle w:val="HChG"/>
        <w:rPr>
          <w:lang w:val="fr-FR"/>
        </w:rPr>
      </w:pPr>
      <w:r w:rsidRPr="0039277D">
        <w:rPr>
          <w:lang w:val="fr-FR"/>
        </w:rPr>
        <w:tab/>
        <w:t>IV</w:t>
      </w:r>
      <w:r w:rsidR="008D1FF7">
        <w:rPr>
          <w:lang w:val="fr-FR"/>
        </w:rPr>
        <w:t>.</w:t>
      </w:r>
      <w:r w:rsidRPr="0039277D">
        <w:rPr>
          <w:lang w:val="fr-FR"/>
        </w:rPr>
        <w:tab/>
        <w:t xml:space="preserve">Inscription, classement et emballage </w:t>
      </w:r>
      <w:r w:rsidRPr="0039277D">
        <w:rPr>
          <w:lang w:val="fr-FR"/>
        </w:rPr>
        <w:br/>
        <w:t>(point 3 de l</w:t>
      </w:r>
      <w:r w:rsidR="0039277D" w:rsidRPr="0039277D">
        <w:rPr>
          <w:lang w:val="fr-FR"/>
        </w:rPr>
        <w:t>’</w:t>
      </w:r>
      <w:r w:rsidRPr="0039277D">
        <w:rPr>
          <w:lang w:val="fr-FR"/>
        </w:rPr>
        <w:t>ordre du jour)</w:t>
      </w:r>
    </w:p>
    <w:p w:rsidR="00D80597" w:rsidRPr="0039277D" w:rsidRDefault="00D80597" w:rsidP="00E12FEC">
      <w:pPr>
        <w:pStyle w:val="H1G"/>
        <w:rPr>
          <w:lang w:val="fr-FR"/>
        </w:rPr>
      </w:pPr>
      <w:r w:rsidRPr="0039277D">
        <w:rPr>
          <w:lang w:val="fr-FR"/>
        </w:rPr>
        <w:tab/>
        <w:t>A.</w:t>
      </w:r>
      <w:r w:rsidRPr="0039277D">
        <w:rPr>
          <w:lang w:val="fr-FR"/>
        </w:rPr>
        <w:tab/>
        <w:t>Matières qui polymérisent</w:t>
      </w:r>
    </w:p>
    <w:p w:rsidR="00D80597" w:rsidRPr="0039277D" w:rsidRDefault="00D80597" w:rsidP="00E12FEC">
      <w:pPr>
        <w:pStyle w:val="H23G"/>
        <w:rPr>
          <w:lang w:val="fr-FR"/>
        </w:rPr>
      </w:pPr>
      <w:r w:rsidRPr="0039277D">
        <w:rPr>
          <w:lang w:val="fr-FR"/>
        </w:rPr>
        <w:tab/>
        <w:t>1.</w:t>
      </w:r>
      <w:r w:rsidRPr="0039277D">
        <w:rPr>
          <w:lang w:val="fr-FR"/>
        </w:rPr>
        <w:tab/>
      </w:r>
      <w:r w:rsidR="00CD7394">
        <w:rPr>
          <w:lang w:val="fr-FR"/>
        </w:rPr>
        <w:t>No </w:t>
      </w:r>
      <w:r w:rsidR="00C418D8">
        <w:rPr>
          <w:lang w:val="fr-FR"/>
        </w:rPr>
        <w:t>ONU 3302 −</w:t>
      </w:r>
      <w:r w:rsidRPr="0039277D">
        <w:rPr>
          <w:lang w:val="fr-FR"/>
        </w:rPr>
        <w:t xml:space="preserve"> ACRYLATE DE 2-DIMÉTHYLAMINOÉTHYLE</w:t>
      </w:r>
    </w:p>
    <w:p w:rsidR="00D80597" w:rsidRPr="0039277D" w:rsidRDefault="00D80597" w:rsidP="008B3C58">
      <w:pPr>
        <w:pStyle w:val="ParNoG"/>
        <w:rPr>
          <w:lang w:val="fr-FR"/>
        </w:rPr>
      </w:pPr>
      <w:r w:rsidRPr="0039277D">
        <w:rPr>
          <w:lang w:val="fr-FR"/>
        </w:rPr>
        <w:t>La proposition d</w:t>
      </w:r>
      <w:r w:rsidR="0039277D" w:rsidRPr="0039277D">
        <w:rPr>
          <w:lang w:val="fr-FR"/>
        </w:rPr>
        <w:t>’</w:t>
      </w:r>
      <w:r w:rsidRPr="0039277D">
        <w:rPr>
          <w:lang w:val="fr-FR"/>
        </w:rPr>
        <w:t>ajouter le mot « STABILISÉ » à la désignation officielle de transport de cette matière connue pour polymériser a été adoptée (voir annexe II). Certains experts ont cependant regretté que des renseignements plus détaillés sur le risque de polymérisation n</w:t>
      </w:r>
      <w:r w:rsidR="0039277D" w:rsidRPr="0039277D">
        <w:rPr>
          <w:lang w:val="fr-FR"/>
        </w:rPr>
        <w:t>’</w:t>
      </w:r>
      <w:r w:rsidRPr="0039277D">
        <w:rPr>
          <w:lang w:val="fr-FR"/>
        </w:rPr>
        <w:t>aient pas été fournis.</w:t>
      </w:r>
    </w:p>
    <w:p w:rsidR="00D80597" w:rsidRPr="0039277D" w:rsidRDefault="00D80597" w:rsidP="00E12FEC">
      <w:pPr>
        <w:pStyle w:val="H23G"/>
        <w:rPr>
          <w:lang w:val="fr-FR"/>
        </w:rPr>
      </w:pPr>
      <w:r w:rsidRPr="0039277D">
        <w:rPr>
          <w:lang w:val="fr-FR"/>
        </w:rPr>
        <w:tab/>
        <w:t>2.</w:t>
      </w:r>
      <w:r w:rsidRPr="0039277D">
        <w:rPr>
          <w:lang w:val="fr-FR"/>
        </w:rPr>
        <w:tab/>
        <w:t>Classement d</w:t>
      </w:r>
      <w:r w:rsidR="0039277D" w:rsidRPr="0039277D">
        <w:rPr>
          <w:lang w:val="fr-FR"/>
        </w:rPr>
        <w:t>’</w:t>
      </w:r>
      <w:r w:rsidRPr="0039277D">
        <w:rPr>
          <w:lang w:val="fr-FR"/>
        </w:rPr>
        <w:t>une matière qui polymérise, inflammable, toxique, stabilisée,</w:t>
      </w:r>
      <w:r w:rsidRPr="0039277D">
        <w:rPr>
          <w:lang w:val="fr-FR"/>
        </w:rPr>
        <w:br/>
        <w:t>avec régulation de température</w:t>
      </w:r>
    </w:p>
    <w:p w:rsidR="00D80597" w:rsidRPr="0039277D" w:rsidRDefault="00D80597" w:rsidP="00855C98">
      <w:pPr>
        <w:keepNext/>
        <w:spacing w:after="120"/>
        <w:ind w:left="3119" w:hanging="1985"/>
        <w:rPr>
          <w:lang w:val="fr-FR"/>
        </w:rPr>
      </w:pPr>
      <w:r w:rsidRPr="0039277D">
        <w:rPr>
          <w:i/>
          <w:lang w:val="fr-FR"/>
        </w:rPr>
        <w:t>Document</w:t>
      </w:r>
      <w:r w:rsidR="0066043C">
        <w:rPr>
          <w:i/>
          <w:lang w:val="fr-FR"/>
        </w:rPr>
        <w:t> </w:t>
      </w:r>
      <w:r w:rsidR="0066043C" w:rsidRPr="007B23D1">
        <w:rPr>
          <w:lang w:val="fr-FR"/>
        </w:rPr>
        <w:t>:</w:t>
      </w:r>
      <w:r w:rsidR="0066043C" w:rsidRPr="007B23D1">
        <w:rPr>
          <w:lang w:val="fr-FR"/>
        </w:rPr>
        <w:tab/>
      </w:r>
      <w:r w:rsidRPr="0039277D">
        <w:rPr>
          <w:lang w:val="fr-FR"/>
        </w:rPr>
        <w:t>ST/SG/AC.10/C.3/2016/32 (Autriche).</w:t>
      </w:r>
    </w:p>
    <w:p w:rsidR="00D80597" w:rsidRPr="0039277D" w:rsidRDefault="00D80597" w:rsidP="008B3C58">
      <w:pPr>
        <w:pStyle w:val="ParNoG"/>
        <w:rPr>
          <w:lang w:val="fr-FR"/>
        </w:rPr>
      </w:pPr>
      <w:r w:rsidRPr="0039277D">
        <w:rPr>
          <w:lang w:val="fr-FR"/>
        </w:rPr>
        <w:t>Le Sous-Comité n</w:t>
      </w:r>
      <w:r w:rsidR="0039277D" w:rsidRPr="0039277D">
        <w:rPr>
          <w:lang w:val="fr-FR"/>
        </w:rPr>
        <w:t>’</w:t>
      </w:r>
      <w:r w:rsidRPr="0039277D">
        <w:rPr>
          <w:lang w:val="fr-FR"/>
        </w:rPr>
        <w:t>était pas favorable à la proposition de suppression du paragraphe 2.4.2.5.1</w:t>
      </w:r>
      <w:r w:rsidR="00C418D8">
        <w:rPr>
          <w:lang w:val="fr-FR"/>
        </w:rPr>
        <w:t> </w:t>
      </w:r>
      <w:r w:rsidRPr="0039277D">
        <w:rPr>
          <w:lang w:val="fr-FR"/>
        </w:rPr>
        <w:t>c) et a estimé que le problème soulevé devait plutôt être débattu en rapport avec le document informel INF.39 présenté par l</w:t>
      </w:r>
      <w:r w:rsidR="0039277D" w:rsidRPr="0039277D">
        <w:rPr>
          <w:lang w:val="fr-FR"/>
        </w:rPr>
        <w:t>’</w:t>
      </w:r>
      <w:r w:rsidRPr="0039277D">
        <w:rPr>
          <w:lang w:val="fr-FR"/>
        </w:rPr>
        <w:t>Allemagne sur les températures de régulation et température</w:t>
      </w:r>
      <w:r w:rsidR="00C418D8">
        <w:rPr>
          <w:lang w:val="fr-FR"/>
        </w:rPr>
        <w:t>s critiques au titre du point 6 </w:t>
      </w:r>
      <w:r w:rsidRPr="0039277D">
        <w:rPr>
          <w:lang w:val="fr-FR"/>
        </w:rPr>
        <w:t>e) de l</w:t>
      </w:r>
      <w:r w:rsidR="0039277D" w:rsidRPr="0039277D">
        <w:rPr>
          <w:lang w:val="fr-FR"/>
        </w:rPr>
        <w:t>’</w:t>
      </w:r>
      <w:r w:rsidRPr="0039277D">
        <w:rPr>
          <w:lang w:val="fr-FR"/>
        </w:rPr>
        <w:t>ordre du jour (voir par. 114 du présent rapport).</w:t>
      </w:r>
    </w:p>
    <w:p w:rsidR="00D80597" w:rsidRPr="0039277D" w:rsidRDefault="00D80597" w:rsidP="00E12FEC">
      <w:pPr>
        <w:pStyle w:val="H23G"/>
        <w:rPr>
          <w:lang w:val="fr-FR"/>
        </w:rPr>
      </w:pPr>
      <w:r w:rsidRPr="0039277D">
        <w:rPr>
          <w:lang w:val="fr-FR"/>
        </w:rPr>
        <w:tab/>
        <w:t>3.</w:t>
      </w:r>
      <w:r w:rsidRPr="0039277D">
        <w:rPr>
          <w:lang w:val="fr-FR"/>
        </w:rPr>
        <w:tab/>
        <w:t>Exemptions pour les matières qui polymérisent</w:t>
      </w:r>
    </w:p>
    <w:p w:rsidR="00D80597" w:rsidRPr="0039277D" w:rsidRDefault="00D80597" w:rsidP="00855C98">
      <w:pPr>
        <w:keepNext/>
        <w:spacing w:after="120"/>
        <w:ind w:left="3119" w:hanging="1985"/>
        <w:rPr>
          <w:lang w:val="fr-FR"/>
        </w:rPr>
      </w:pPr>
      <w:r w:rsidRPr="0039277D">
        <w:rPr>
          <w:i/>
          <w:iCs/>
          <w:lang w:val="fr-FR"/>
        </w:rPr>
        <w:t>Document informel</w:t>
      </w:r>
      <w:r w:rsidR="0066043C">
        <w:rPr>
          <w:lang w:val="fr-FR"/>
        </w:rPr>
        <w:t> </w:t>
      </w:r>
      <w:r w:rsidR="0066043C" w:rsidRPr="007B23D1">
        <w:rPr>
          <w:lang w:val="fr-FR"/>
        </w:rPr>
        <w:t>:</w:t>
      </w:r>
      <w:r w:rsidR="0066043C" w:rsidRPr="007B23D1">
        <w:rPr>
          <w:lang w:val="fr-FR"/>
        </w:rPr>
        <w:tab/>
      </w:r>
      <w:r w:rsidRPr="0039277D">
        <w:rPr>
          <w:lang w:val="fr-FR"/>
        </w:rPr>
        <w:t>INF.21 (CEFIC).</w:t>
      </w:r>
    </w:p>
    <w:p w:rsidR="00D80597" w:rsidRPr="0039277D" w:rsidRDefault="00D80597" w:rsidP="008B3C58">
      <w:pPr>
        <w:pStyle w:val="ParNoG"/>
        <w:rPr>
          <w:lang w:val="fr-FR"/>
        </w:rPr>
      </w:pPr>
      <w:r w:rsidRPr="0039277D">
        <w:rPr>
          <w:lang w:val="fr-FR"/>
        </w:rPr>
        <w:t>La plupart des experts qui se sont prononcés n</w:t>
      </w:r>
      <w:r w:rsidR="0039277D" w:rsidRPr="0039277D">
        <w:rPr>
          <w:lang w:val="fr-FR"/>
        </w:rPr>
        <w:t>’</w:t>
      </w:r>
      <w:r w:rsidRPr="0039277D">
        <w:rPr>
          <w:lang w:val="fr-FR"/>
        </w:rPr>
        <w:t>étaient pas favorables à la proposition d</w:t>
      </w:r>
      <w:r w:rsidR="0039277D" w:rsidRPr="0039277D">
        <w:rPr>
          <w:lang w:val="fr-FR"/>
        </w:rPr>
        <w:t>’</w:t>
      </w:r>
      <w:r w:rsidRPr="0039277D">
        <w:rPr>
          <w:lang w:val="fr-FR"/>
        </w:rPr>
        <w:t>exemption, notamment parce que les critères d</w:t>
      </w:r>
      <w:r w:rsidR="0039277D" w:rsidRPr="0039277D">
        <w:rPr>
          <w:lang w:val="fr-FR"/>
        </w:rPr>
        <w:t>’</w:t>
      </w:r>
      <w:r w:rsidRPr="0039277D">
        <w:rPr>
          <w:lang w:val="fr-FR"/>
        </w:rPr>
        <w:t>exemption proposés ne relevaient pas de propriétés intrinsèques et dépendaient par exemple de la taille de l</w:t>
      </w:r>
      <w:r w:rsidR="0039277D" w:rsidRPr="0039277D">
        <w:rPr>
          <w:lang w:val="fr-FR"/>
        </w:rPr>
        <w:t>’</w:t>
      </w:r>
      <w:r w:rsidRPr="0039277D">
        <w:rPr>
          <w:lang w:val="fr-FR"/>
        </w:rPr>
        <w:t>emballage, ou que les exemptions proposées n</w:t>
      </w:r>
      <w:r w:rsidR="0039277D" w:rsidRPr="0039277D">
        <w:rPr>
          <w:lang w:val="fr-FR"/>
        </w:rPr>
        <w:t>’</w:t>
      </w:r>
      <w:r w:rsidRPr="0039277D">
        <w:rPr>
          <w:lang w:val="fr-FR"/>
        </w:rPr>
        <w:t>étaient pas liées à des procédures d</w:t>
      </w:r>
      <w:r w:rsidR="0039277D" w:rsidRPr="0039277D">
        <w:rPr>
          <w:lang w:val="fr-FR"/>
        </w:rPr>
        <w:t>’</w:t>
      </w:r>
      <w:r w:rsidRPr="0039277D">
        <w:rPr>
          <w:lang w:val="fr-FR"/>
        </w:rPr>
        <w:t>épreuve bien définies. Le représentant du CEFIC a dit qu</w:t>
      </w:r>
      <w:r w:rsidR="0039277D" w:rsidRPr="0039277D">
        <w:rPr>
          <w:lang w:val="fr-FR"/>
        </w:rPr>
        <w:t>’</w:t>
      </w:r>
      <w:r w:rsidRPr="0039277D">
        <w:rPr>
          <w:lang w:val="fr-FR"/>
        </w:rPr>
        <w:t>il approfondirait la question et soumettrait une nouvelle proposition, le cas échéant.</w:t>
      </w:r>
    </w:p>
    <w:p w:rsidR="00D80597" w:rsidRPr="0039277D" w:rsidRDefault="00D80597" w:rsidP="00E12FEC">
      <w:pPr>
        <w:pStyle w:val="H1G"/>
        <w:rPr>
          <w:lang w:val="fr-FR"/>
        </w:rPr>
      </w:pPr>
      <w:r w:rsidRPr="0039277D">
        <w:rPr>
          <w:lang w:val="fr-FR"/>
        </w:rPr>
        <w:tab/>
        <w:t>B.</w:t>
      </w:r>
      <w:r w:rsidRPr="0039277D">
        <w:rPr>
          <w:lang w:val="fr-FR"/>
        </w:rPr>
        <w:tab/>
        <w:t>Matières infectieuses</w:t>
      </w:r>
    </w:p>
    <w:p w:rsidR="00D80597" w:rsidRPr="0039277D" w:rsidRDefault="00D80597" w:rsidP="00E12FEC">
      <w:pPr>
        <w:pStyle w:val="H23G"/>
        <w:rPr>
          <w:lang w:val="fr-FR"/>
        </w:rPr>
      </w:pPr>
      <w:r w:rsidRPr="0039277D">
        <w:rPr>
          <w:lang w:val="fr-FR"/>
        </w:rPr>
        <w:tab/>
        <w:t>1.</w:t>
      </w:r>
      <w:r w:rsidRPr="0039277D">
        <w:rPr>
          <w:lang w:val="fr-FR"/>
        </w:rPr>
        <w:tab/>
        <w:t>Emballages pour matières infectieuses</w:t>
      </w:r>
    </w:p>
    <w:p w:rsidR="00D80597" w:rsidRPr="0039277D" w:rsidRDefault="00D80597" w:rsidP="00855C98">
      <w:pPr>
        <w:keepNext/>
        <w:spacing w:after="120"/>
        <w:ind w:left="3119" w:hanging="1985"/>
        <w:rPr>
          <w:lang w:val="fr-FR"/>
        </w:rPr>
      </w:pPr>
      <w:r w:rsidRPr="0039277D">
        <w:rPr>
          <w:i/>
          <w:lang w:val="fr-FR"/>
        </w:rPr>
        <w:t>Document </w:t>
      </w:r>
      <w:r w:rsidRPr="007B23D1">
        <w:rPr>
          <w:lang w:val="fr-FR"/>
        </w:rPr>
        <w:t>:</w:t>
      </w:r>
      <w:r w:rsidR="0066043C" w:rsidRPr="007B23D1">
        <w:rPr>
          <w:lang w:val="fr-FR"/>
        </w:rPr>
        <w:tab/>
      </w:r>
      <w:r w:rsidRPr="0039277D">
        <w:rPr>
          <w:lang w:val="fr-FR"/>
        </w:rPr>
        <w:t>ST/SG/AC.10/C.3/2016/9 (Allemagne).</w:t>
      </w:r>
    </w:p>
    <w:p w:rsidR="00D80597" w:rsidRPr="0039277D" w:rsidRDefault="00D80597" w:rsidP="00855C98">
      <w:pPr>
        <w:keepNext/>
        <w:spacing w:after="120"/>
        <w:ind w:left="3119" w:hanging="1985"/>
        <w:rPr>
          <w:lang w:val="fr-FR"/>
        </w:rPr>
      </w:pPr>
      <w:r w:rsidRPr="0039277D">
        <w:rPr>
          <w:i/>
          <w:iCs/>
          <w:lang w:val="fr-FR"/>
        </w:rPr>
        <w:t>Documents informels</w:t>
      </w:r>
      <w:r w:rsidRPr="0039277D">
        <w:rPr>
          <w:lang w:val="fr-FR"/>
        </w:rPr>
        <w:t> </w:t>
      </w:r>
      <w:r w:rsidRPr="007B23D1">
        <w:rPr>
          <w:lang w:val="fr-FR"/>
        </w:rPr>
        <w:t>:</w:t>
      </w:r>
      <w:r w:rsidRPr="007B23D1">
        <w:rPr>
          <w:lang w:val="fr-FR"/>
        </w:rPr>
        <w:tab/>
      </w:r>
      <w:r w:rsidRPr="0039277D">
        <w:rPr>
          <w:lang w:val="fr-FR"/>
        </w:rPr>
        <w:t>INF.10 (Canada)</w:t>
      </w:r>
      <w:r w:rsidR="00855C98">
        <w:rPr>
          <w:lang w:val="fr-FR"/>
        </w:rPr>
        <w:br/>
      </w:r>
      <w:r w:rsidRPr="0039277D">
        <w:rPr>
          <w:lang w:val="fr-FR"/>
        </w:rPr>
        <w:t>INF.51 (Norvège)</w:t>
      </w:r>
      <w:r w:rsidR="00855C98">
        <w:rPr>
          <w:lang w:val="fr-FR"/>
        </w:rPr>
        <w:br/>
      </w:r>
      <w:r w:rsidRPr="0039277D">
        <w:rPr>
          <w:lang w:val="fr-FR"/>
        </w:rPr>
        <w:t>INF.52 (Royaume-Uni).</w:t>
      </w:r>
    </w:p>
    <w:p w:rsidR="00D80597" w:rsidRPr="0039277D" w:rsidRDefault="00D80597" w:rsidP="008B3C58">
      <w:pPr>
        <w:pStyle w:val="ParNoG"/>
        <w:rPr>
          <w:lang w:val="fr-FR"/>
        </w:rPr>
      </w:pPr>
      <w:r w:rsidRPr="0039277D">
        <w:rPr>
          <w:lang w:val="fr-FR"/>
        </w:rPr>
        <w:t>Après un échange de vues sur la proposition de l</w:t>
      </w:r>
      <w:r w:rsidR="0039277D" w:rsidRPr="0039277D">
        <w:rPr>
          <w:lang w:val="fr-FR"/>
        </w:rPr>
        <w:t>’</w:t>
      </w:r>
      <w:r w:rsidRPr="0039277D">
        <w:rPr>
          <w:lang w:val="fr-FR"/>
        </w:rPr>
        <w:t>Allemagne tendant à modifier l</w:t>
      </w:r>
      <w:r w:rsidR="0039277D" w:rsidRPr="0039277D">
        <w:rPr>
          <w:lang w:val="fr-FR"/>
        </w:rPr>
        <w:t>’</w:t>
      </w:r>
      <w:r w:rsidRPr="0039277D">
        <w:rPr>
          <w:lang w:val="fr-FR"/>
        </w:rPr>
        <w:t>instruction d</w:t>
      </w:r>
      <w:r w:rsidR="0039277D" w:rsidRPr="0039277D">
        <w:rPr>
          <w:lang w:val="fr-FR"/>
        </w:rPr>
        <w:t>’</w:t>
      </w:r>
      <w:r w:rsidRPr="0039277D">
        <w:rPr>
          <w:lang w:val="fr-FR"/>
        </w:rPr>
        <w:t>emballage P620 et le chapitre 6.3, et sur la proposition de remplacement présentée par le Canada tendant à introduire un nouveau numéro ONU pour les déchets contaminés par des matières infectieuses de la catégorie A, il a été décidé de renvoyer l</w:t>
      </w:r>
      <w:r w:rsidR="0039277D" w:rsidRPr="0039277D">
        <w:rPr>
          <w:lang w:val="fr-FR"/>
        </w:rPr>
        <w:t>’</w:t>
      </w:r>
      <w:r w:rsidRPr="0039277D">
        <w:rPr>
          <w:lang w:val="fr-FR"/>
        </w:rPr>
        <w:t>examen des documents à un groupe de travail qui se réunirait à l</w:t>
      </w:r>
      <w:r w:rsidR="0039277D" w:rsidRPr="0039277D">
        <w:rPr>
          <w:lang w:val="fr-FR"/>
        </w:rPr>
        <w:t>’</w:t>
      </w:r>
      <w:r w:rsidRPr="0039277D">
        <w:rPr>
          <w:lang w:val="fr-FR"/>
        </w:rPr>
        <w:t>heure du déjeuner.</w:t>
      </w:r>
    </w:p>
    <w:p w:rsidR="00D80597" w:rsidRPr="0039277D" w:rsidRDefault="00D80597" w:rsidP="00855C98">
      <w:pPr>
        <w:keepNext/>
        <w:spacing w:after="120"/>
        <w:ind w:left="3119" w:hanging="1985"/>
        <w:rPr>
          <w:lang w:val="fr-FR"/>
        </w:rPr>
      </w:pPr>
      <w:r w:rsidRPr="0039277D">
        <w:rPr>
          <w:i/>
          <w:lang w:val="fr-FR"/>
        </w:rPr>
        <w:t>Document informel</w:t>
      </w:r>
      <w:r w:rsidR="0066043C">
        <w:rPr>
          <w:i/>
          <w:lang w:val="fr-FR"/>
        </w:rPr>
        <w:t> </w:t>
      </w:r>
      <w:r w:rsidR="0066043C" w:rsidRPr="00C90015">
        <w:rPr>
          <w:lang w:val="fr-FR"/>
        </w:rPr>
        <w:t>:</w:t>
      </w:r>
      <w:r w:rsidR="0066043C">
        <w:rPr>
          <w:i/>
          <w:lang w:val="fr-FR"/>
        </w:rPr>
        <w:tab/>
      </w:r>
      <w:r w:rsidRPr="0039277D">
        <w:rPr>
          <w:lang w:val="fr-FR"/>
        </w:rPr>
        <w:t>INF.75 (France, au nom du groupe de travail de pause déjeuner).</w:t>
      </w:r>
    </w:p>
    <w:p w:rsidR="00D80597" w:rsidRPr="0039277D" w:rsidRDefault="00D80597" w:rsidP="0039277D">
      <w:pPr>
        <w:pStyle w:val="SingleTxtG"/>
        <w:rPr>
          <w:lang w:val="fr-FR"/>
        </w:rPr>
      </w:pPr>
      <w:r w:rsidRPr="0039277D">
        <w:rPr>
          <w:lang w:val="fr-FR"/>
        </w:rPr>
        <w:t>(Résumé des points approuvés par le groupe de travail de pause déjeuner concernant les travaux relatifs au transport des déchets de la division 6.2 de la catégorie A.)</w:t>
      </w:r>
    </w:p>
    <w:p w:rsidR="00D80597" w:rsidRPr="0039277D" w:rsidRDefault="00D80597" w:rsidP="008B3C58">
      <w:pPr>
        <w:pStyle w:val="ParNoG"/>
        <w:rPr>
          <w:lang w:val="fr-FR"/>
        </w:rPr>
      </w:pPr>
      <w:r w:rsidRPr="0039277D">
        <w:rPr>
          <w:lang w:val="fr-FR"/>
        </w:rPr>
        <w:t>Le Sous-Comité a pris note du résumé (voir annexe III). Les délégations ont été invitées à établir des propositions concernant des questions qui n</w:t>
      </w:r>
      <w:r w:rsidR="0039277D" w:rsidRPr="0039277D">
        <w:rPr>
          <w:lang w:val="fr-FR"/>
        </w:rPr>
        <w:t>’</w:t>
      </w:r>
      <w:r w:rsidRPr="0039277D">
        <w:rPr>
          <w:lang w:val="fr-FR"/>
        </w:rPr>
        <w:t>avaient pas été résolues ou qui devaient être examinées plus avant. L</w:t>
      </w:r>
      <w:r w:rsidR="0039277D" w:rsidRPr="0039277D">
        <w:rPr>
          <w:lang w:val="fr-FR"/>
        </w:rPr>
        <w:t>’</w:t>
      </w:r>
      <w:r w:rsidRPr="0039277D">
        <w:rPr>
          <w:lang w:val="fr-FR"/>
        </w:rPr>
        <w:t>expert du Royaume-Uni a déclaré qu</w:t>
      </w:r>
      <w:r w:rsidR="0039277D" w:rsidRPr="0039277D">
        <w:rPr>
          <w:lang w:val="fr-FR"/>
        </w:rPr>
        <w:t>’</w:t>
      </w:r>
      <w:r w:rsidRPr="0039277D">
        <w:rPr>
          <w:lang w:val="fr-FR"/>
        </w:rPr>
        <w:t>il avait l</w:t>
      </w:r>
      <w:r w:rsidR="0039277D" w:rsidRPr="0039277D">
        <w:rPr>
          <w:lang w:val="fr-FR"/>
        </w:rPr>
        <w:t>’</w:t>
      </w:r>
      <w:r w:rsidRPr="0039277D">
        <w:rPr>
          <w:lang w:val="fr-FR"/>
        </w:rPr>
        <w:t>intention d</w:t>
      </w:r>
      <w:r w:rsidR="0039277D" w:rsidRPr="0039277D">
        <w:rPr>
          <w:lang w:val="fr-FR"/>
        </w:rPr>
        <w:t>’</w:t>
      </w:r>
      <w:r w:rsidRPr="0039277D">
        <w:rPr>
          <w:lang w:val="fr-FR"/>
        </w:rPr>
        <w:t>établir une proposition et qu</w:t>
      </w:r>
      <w:r w:rsidR="0039277D" w:rsidRPr="0039277D">
        <w:rPr>
          <w:lang w:val="fr-FR"/>
        </w:rPr>
        <w:t>’</w:t>
      </w:r>
      <w:r w:rsidRPr="0039277D">
        <w:rPr>
          <w:lang w:val="fr-FR"/>
        </w:rPr>
        <w:t>il assurerait la liaison par correspondance avec les délégations intéressées. L</w:t>
      </w:r>
      <w:r w:rsidR="0039277D" w:rsidRPr="0039277D">
        <w:rPr>
          <w:lang w:val="fr-FR"/>
        </w:rPr>
        <w:t>’</w:t>
      </w:r>
      <w:r w:rsidRPr="0039277D">
        <w:rPr>
          <w:lang w:val="fr-FR"/>
        </w:rPr>
        <w:t>experte de l</w:t>
      </w:r>
      <w:r w:rsidR="0039277D" w:rsidRPr="0039277D">
        <w:rPr>
          <w:lang w:val="fr-FR"/>
        </w:rPr>
        <w:t>’</w:t>
      </w:r>
      <w:r w:rsidRPr="0039277D">
        <w:rPr>
          <w:lang w:val="fr-FR"/>
        </w:rPr>
        <w:t>Allemagne a déclaré qu</w:t>
      </w:r>
      <w:r w:rsidR="0039277D" w:rsidRPr="0039277D">
        <w:rPr>
          <w:lang w:val="fr-FR"/>
        </w:rPr>
        <w:t>’</w:t>
      </w:r>
      <w:r w:rsidRPr="0039277D">
        <w:rPr>
          <w:lang w:val="fr-FR"/>
        </w:rPr>
        <w:t>elle avait également l</w:t>
      </w:r>
      <w:r w:rsidR="0039277D" w:rsidRPr="0039277D">
        <w:rPr>
          <w:lang w:val="fr-FR"/>
        </w:rPr>
        <w:t>’</w:t>
      </w:r>
      <w:r w:rsidRPr="0039277D">
        <w:rPr>
          <w:lang w:val="fr-FR"/>
        </w:rPr>
        <w:t>intention de soumettre une proposition à la session suivante.</w:t>
      </w:r>
    </w:p>
    <w:p w:rsidR="00D80597" w:rsidRPr="0039277D" w:rsidRDefault="00D80597" w:rsidP="00E12FEC">
      <w:pPr>
        <w:pStyle w:val="H23G"/>
        <w:rPr>
          <w:lang w:val="fr-FR"/>
        </w:rPr>
      </w:pPr>
      <w:r w:rsidRPr="0039277D">
        <w:rPr>
          <w:lang w:val="fr-FR"/>
        </w:rPr>
        <w:tab/>
        <w:t>2.</w:t>
      </w:r>
      <w:r w:rsidRPr="0039277D">
        <w:rPr>
          <w:lang w:val="fr-FR"/>
        </w:rPr>
        <w:tab/>
        <w:t>Révision des instructions d</w:t>
      </w:r>
      <w:r w:rsidR="0039277D" w:rsidRPr="0039277D">
        <w:rPr>
          <w:lang w:val="fr-FR"/>
        </w:rPr>
        <w:t>’</w:t>
      </w:r>
      <w:r w:rsidRPr="0039277D">
        <w:rPr>
          <w:lang w:val="fr-FR"/>
        </w:rPr>
        <w:t>emballage P621, IBC620 et LP621</w:t>
      </w:r>
    </w:p>
    <w:p w:rsidR="00D80597" w:rsidRPr="0039277D" w:rsidRDefault="00D80597" w:rsidP="00855C98">
      <w:pPr>
        <w:keepNext/>
        <w:spacing w:after="120"/>
        <w:ind w:left="3119" w:hanging="1985"/>
        <w:rPr>
          <w:lang w:val="fr-FR"/>
        </w:rPr>
      </w:pPr>
      <w:r w:rsidRPr="0039277D">
        <w:rPr>
          <w:i/>
          <w:lang w:val="fr-FR"/>
        </w:rPr>
        <w:t>Document</w:t>
      </w:r>
      <w:r w:rsidR="0066043C">
        <w:rPr>
          <w:i/>
          <w:lang w:val="fr-FR"/>
        </w:rPr>
        <w:t> </w:t>
      </w:r>
      <w:r w:rsidR="0066043C" w:rsidRPr="007B23D1">
        <w:rPr>
          <w:lang w:val="fr-FR"/>
        </w:rPr>
        <w:t>:</w:t>
      </w:r>
      <w:r w:rsidR="0066043C" w:rsidRPr="00C418D8">
        <w:rPr>
          <w:lang w:val="fr-FR"/>
        </w:rPr>
        <w:tab/>
        <w:t>S</w:t>
      </w:r>
      <w:r w:rsidRPr="00C418D8">
        <w:rPr>
          <w:lang w:val="fr-FR"/>
        </w:rPr>
        <w:t>T</w:t>
      </w:r>
      <w:r w:rsidRPr="0039277D">
        <w:rPr>
          <w:lang w:val="fr-FR"/>
        </w:rPr>
        <w:t>/SG/AC.10/C.3/2016/26 (Canada).</w:t>
      </w:r>
    </w:p>
    <w:p w:rsidR="00D80597" w:rsidRPr="0039277D" w:rsidRDefault="00D80597" w:rsidP="008B3C58">
      <w:pPr>
        <w:pStyle w:val="ParNoG"/>
        <w:rPr>
          <w:lang w:val="fr-FR"/>
        </w:rPr>
      </w:pPr>
      <w:r w:rsidRPr="0039277D">
        <w:rPr>
          <w:lang w:val="fr-FR"/>
        </w:rPr>
        <w:t>Les avis étaient partagés sur la proposition visant à harmoniser les trois instructions d</w:t>
      </w:r>
      <w:r w:rsidR="0039277D" w:rsidRPr="0039277D">
        <w:rPr>
          <w:lang w:val="fr-FR"/>
        </w:rPr>
        <w:t>’</w:t>
      </w:r>
      <w:r w:rsidRPr="0039277D">
        <w:rPr>
          <w:lang w:val="fr-FR"/>
        </w:rPr>
        <w:t>emballage relatives aux déchets médicaux réglementés, déchets (bio)médicaux et déchets d</w:t>
      </w:r>
      <w:r w:rsidR="0039277D" w:rsidRPr="0039277D">
        <w:rPr>
          <w:lang w:val="fr-FR"/>
        </w:rPr>
        <w:t>’</w:t>
      </w:r>
      <w:r w:rsidRPr="0039277D">
        <w:rPr>
          <w:lang w:val="fr-FR"/>
        </w:rPr>
        <w:t xml:space="preserve">hôpital affectés au </w:t>
      </w:r>
      <w:r w:rsidR="00CD7394">
        <w:rPr>
          <w:lang w:val="fr-FR"/>
        </w:rPr>
        <w:t>No </w:t>
      </w:r>
      <w:r w:rsidRPr="0039277D">
        <w:rPr>
          <w:lang w:val="fr-FR"/>
        </w:rPr>
        <w:t>ONU 3291. Certains experts estimaient que l</w:t>
      </w:r>
      <w:r w:rsidR="0039277D" w:rsidRPr="0039277D">
        <w:rPr>
          <w:lang w:val="fr-FR"/>
        </w:rPr>
        <w:t>’</w:t>
      </w:r>
      <w:r w:rsidRPr="0039277D">
        <w:rPr>
          <w:lang w:val="fr-FR"/>
        </w:rPr>
        <w:t>harmonisation n</w:t>
      </w:r>
      <w:r w:rsidR="0039277D" w:rsidRPr="0039277D">
        <w:rPr>
          <w:lang w:val="fr-FR"/>
        </w:rPr>
        <w:t>’</w:t>
      </w:r>
      <w:r w:rsidRPr="0039277D">
        <w:rPr>
          <w:lang w:val="fr-FR"/>
        </w:rPr>
        <w:t>était toujours pas justifiée. Il était nécessaire de préciser ce que signifiait l</w:t>
      </w:r>
      <w:r w:rsidR="0039277D" w:rsidRPr="0039277D">
        <w:rPr>
          <w:lang w:val="fr-FR"/>
        </w:rPr>
        <w:t>’</w:t>
      </w:r>
      <w:r w:rsidRPr="0039277D">
        <w:rPr>
          <w:lang w:val="fr-FR"/>
        </w:rPr>
        <w:t>expression « liquide visible au moment de la fermeture de l</w:t>
      </w:r>
      <w:r w:rsidR="0039277D" w:rsidRPr="0039277D">
        <w:rPr>
          <w:lang w:val="fr-FR"/>
        </w:rPr>
        <w:t>’</w:t>
      </w:r>
      <w:r w:rsidRPr="0039277D">
        <w:rPr>
          <w:lang w:val="fr-FR"/>
        </w:rPr>
        <w:t>emballage » ainsi que la question de l</w:t>
      </w:r>
      <w:r w:rsidR="0039277D" w:rsidRPr="0039277D">
        <w:rPr>
          <w:lang w:val="fr-FR"/>
        </w:rPr>
        <w:t>’</w:t>
      </w:r>
      <w:r w:rsidRPr="0039277D">
        <w:rPr>
          <w:lang w:val="fr-FR"/>
        </w:rPr>
        <w:t>utilisation de matériaux absorbants. L</w:t>
      </w:r>
      <w:r w:rsidR="0039277D" w:rsidRPr="0039277D">
        <w:rPr>
          <w:lang w:val="fr-FR"/>
        </w:rPr>
        <w:t>’</w:t>
      </w:r>
      <w:r w:rsidRPr="0039277D">
        <w:rPr>
          <w:lang w:val="fr-FR"/>
        </w:rPr>
        <w:t>expert du Canada soumettrait une nouvelle proposition à la session suivante.</w:t>
      </w:r>
    </w:p>
    <w:p w:rsidR="00D80597" w:rsidRPr="0039277D" w:rsidRDefault="00D80597" w:rsidP="00E12FEC">
      <w:pPr>
        <w:pStyle w:val="H23G"/>
        <w:rPr>
          <w:lang w:val="fr-FR"/>
        </w:rPr>
      </w:pPr>
      <w:r w:rsidRPr="0039277D">
        <w:rPr>
          <w:lang w:val="fr-FR"/>
        </w:rPr>
        <w:tab/>
        <w:t>3.</w:t>
      </w:r>
      <w:r w:rsidRPr="0039277D">
        <w:rPr>
          <w:lang w:val="fr-FR"/>
        </w:rPr>
        <w:tab/>
        <w:t>Classement des animaux infectés</w:t>
      </w:r>
    </w:p>
    <w:p w:rsidR="00D80597" w:rsidRPr="0039277D" w:rsidRDefault="00D80597" w:rsidP="00855C98">
      <w:pPr>
        <w:keepNext/>
        <w:spacing w:after="120"/>
        <w:ind w:left="3119" w:hanging="1985"/>
        <w:rPr>
          <w:lang w:val="fr-FR"/>
        </w:rPr>
      </w:pPr>
      <w:r w:rsidRPr="0039277D">
        <w:rPr>
          <w:i/>
          <w:iCs/>
          <w:lang w:val="fr-FR"/>
        </w:rPr>
        <w:t>Document</w:t>
      </w:r>
      <w:r w:rsidR="0066043C">
        <w:rPr>
          <w:lang w:val="fr-FR"/>
        </w:rPr>
        <w:t> :</w:t>
      </w:r>
      <w:r w:rsidR="0066043C">
        <w:rPr>
          <w:lang w:val="fr-FR"/>
        </w:rPr>
        <w:tab/>
        <w:t>S</w:t>
      </w:r>
      <w:r w:rsidRPr="0039277D">
        <w:rPr>
          <w:lang w:val="fr-FR"/>
        </w:rPr>
        <w:t>T/SG/AC.10/C.3/2016/35 (OMS et FAO).</w:t>
      </w:r>
    </w:p>
    <w:p w:rsidR="00D80597" w:rsidRPr="0039277D" w:rsidRDefault="00D80597" w:rsidP="00855C98">
      <w:pPr>
        <w:keepNext/>
        <w:spacing w:after="120"/>
        <w:ind w:left="3119" w:hanging="1985"/>
        <w:rPr>
          <w:lang w:val="fr-FR"/>
        </w:rPr>
      </w:pPr>
      <w:r w:rsidRPr="0039277D">
        <w:rPr>
          <w:i/>
          <w:iCs/>
          <w:lang w:val="fr-FR"/>
        </w:rPr>
        <w:t>Document informel</w:t>
      </w:r>
      <w:r w:rsidR="0066043C">
        <w:rPr>
          <w:lang w:val="fr-FR"/>
        </w:rPr>
        <w:t> :</w:t>
      </w:r>
      <w:r w:rsidR="0066043C">
        <w:rPr>
          <w:lang w:val="fr-FR"/>
        </w:rPr>
        <w:tab/>
      </w:r>
      <w:r w:rsidRPr="0039277D">
        <w:rPr>
          <w:lang w:val="fr-FR"/>
        </w:rPr>
        <w:t>INF.72 (OMS et FAO).</w:t>
      </w:r>
    </w:p>
    <w:p w:rsidR="00D80597" w:rsidRPr="0039277D" w:rsidRDefault="00D80597" w:rsidP="008B3C58">
      <w:pPr>
        <w:pStyle w:val="ParNoG"/>
        <w:rPr>
          <w:lang w:val="fr-FR"/>
        </w:rPr>
      </w:pPr>
      <w:r w:rsidRPr="0039277D">
        <w:rPr>
          <w:lang w:val="fr-FR"/>
        </w:rPr>
        <w:t>Le Sous-Comité a pris note des incohérences relevées par l</w:t>
      </w:r>
      <w:r w:rsidR="0039277D" w:rsidRPr="0039277D">
        <w:rPr>
          <w:lang w:val="fr-FR"/>
        </w:rPr>
        <w:t>’</w:t>
      </w:r>
      <w:r w:rsidRPr="0039277D">
        <w:rPr>
          <w:lang w:val="fr-FR"/>
        </w:rPr>
        <w:t>OMS et la FAO en ce qui concernait l</w:t>
      </w:r>
      <w:r w:rsidR="0039277D" w:rsidRPr="0039277D">
        <w:rPr>
          <w:lang w:val="fr-FR"/>
        </w:rPr>
        <w:t>’</w:t>
      </w:r>
      <w:r w:rsidRPr="0039277D">
        <w:rPr>
          <w:lang w:val="fr-FR"/>
        </w:rPr>
        <w:t>application des paragraphes 2.6.3.1.3, 2.6.3.1.4, 2.6.3.6.1 et 2.6.3.6.2 du Règlement type. Toutefois, plusieurs experts n</w:t>
      </w:r>
      <w:r w:rsidR="0039277D" w:rsidRPr="0039277D">
        <w:rPr>
          <w:lang w:val="fr-FR"/>
        </w:rPr>
        <w:t>’</w:t>
      </w:r>
      <w:r w:rsidRPr="0039277D">
        <w:rPr>
          <w:lang w:val="fr-FR"/>
        </w:rPr>
        <w:t>étaient pas favorables aux propositions telles que rédigées. Les dispositions actuelles ne semblaient pas avoir été intentionnellement prévues pour traiter de manière différente les matières d</w:t>
      </w:r>
      <w:r w:rsidR="0039277D" w:rsidRPr="0039277D">
        <w:rPr>
          <w:lang w:val="fr-FR"/>
        </w:rPr>
        <w:t>’</w:t>
      </w:r>
      <w:r w:rsidRPr="0039277D">
        <w:rPr>
          <w:lang w:val="fr-FR"/>
        </w:rPr>
        <w:t>origine humaine et les matières animales. Elles visaient aussi à répondre de manière pragmatique à des situations concrètes telles que le transport de carcasses d</w:t>
      </w:r>
      <w:r w:rsidR="0039277D" w:rsidRPr="0039277D">
        <w:rPr>
          <w:lang w:val="fr-FR"/>
        </w:rPr>
        <w:t>’</w:t>
      </w:r>
      <w:r w:rsidRPr="0039277D">
        <w:rPr>
          <w:lang w:val="fr-FR"/>
        </w:rPr>
        <w:t>animaux infectées ou potentiellement infectées.</w:t>
      </w:r>
    </w:p>
    <w:p w:rsidR="00D80597" w:rsidRPr="0039277D" w:rsidRDefault="00D80597" w:rsidP="008B3C58">
      <w:pPr>
        <w:pStyle w:val="ParNoG"/>
        <w:rPr>
          <w:lang w:val="fr-FR"/>
        </w:rPr>
      </w:pPr>
      <w:r w:rsidRPr="0039277D">
        <w:rPr>
          <w:lang w:val="fr-FR"/>
        </w:rPr>
        <w:t>Les représentants de l</w:t>
      </w:r>
      <w:r w:rsidR="0039277D" w:rsidRPr="0039277D">
        <w:rPr>
          <w:lang w:val="fr-FR"/>
        </w:rPr>
        <w:t>’</w:t>
      </w:r>
      <w:r w:rsidRPr="0039277D">
        <w:rPr>
          <w:lang w:val="fr-FR"/>
        </w:rPr>
        <w:t>OMS et de la FAO ont été invités à débattre plus avant de ces questions avec les experts intéressés et à soumettre une nouvelle proposition.</w:t>
      </w:r>
    </w:p>
    <w:p w:rsidR="00D80597" w:rsidRPr="0039277D" w:rsidRDefault="00D80597" w:rsidP="008B3C58">
      <w:pPr>
        <w:pStyle w:val="ParNoG"/>
        <w:rPr>
          <w:lang w:val="fr-FR"/>
        </w:rPr>
      </w:pPr>
      <w:r w:rsidRPr="0039277D">
        <w:rPr>
          <w:lang w:val="fr-FR"/>
        </w:rPr>
        <w:t>À la suite de ces discussions a été élaborée une nouvelle proposition comportant deux options qui n</w:t>
      </w:r>
      <w:r w:rsidR="0039277D" w:rsidRPr="0039277D">
        <w:rPr>
          <w:lang w:val="fr-FR"/>
        </w:rPr>
        <w:t>’</w:t>
      </w:r>
      <w:r w:rsidRPr="0039277D">
        <w:rPr>
          <w:lang w:val="fr-FR"/>
        </w:rPr>
        <w:t>excluaient pas la possibilité d</w:t>
      </w:r>
      <w:r w:rsidR="0039277D" w:rsidRPr="0039277D">
        <w:rPr>
          <w:lang w:val="fr-FR"/>
        </w:rPr>
        <w:t>’</w:t>
      </w:r>
      <w:r w:rsidRPr="0039277D">
        <w:rPr>
          <w:lang w:val="fr-FR"/>
        </w:rPr>
        <w:t>autres options. Le représentant de l</w:t>
      </w:r>
      <w:r w:rsidR="0039277D" w:rsidRPr="0039277D">
        <w:rPr>
          <w:lang w:val="fr-FR"/>
        </w:rPr>
        <w:t>’</w:t>
      </w:r>
      <w:r w:rsidRPr="0039277D">
        <w:rPr>
          <w:lang w:val="fr-FR"/>
        </w:rPr>
        <w:t>OMS a invité les délégations à exprimer leur préférence. La majorité des délégations qui ont pris la parole ont exprimé leur préférence pour l</w:t>
      </w:r>
      <w:r w:rsidR="0039277D" w:rsidRPr="0039277D">
        <w:rPr>
          <w:lang w:val="fr-FR"/>
        </w:rPr>
        <w:t>’</w:t>
      </w:r>
      <w:r w:rsidRPr="0039277D">
        <w:rPr>
          <w:lang w:val="fr-FR"/>
        </w:rPr>
        <w:t>option 2, avec la réserve qu</w:t>
      </w:r>
      <w:r w:rsidR="0039277D" w:rsidRPr="0039277D">
        <w:rPr>
          <w:lang w:val="fr-FR"/>
        </w:rPr>
        <w:t>’</w:t>
      </w:r>
      <w:r w:rsidRPr="0039277D">
        <w:rPr>
          <w:lang w:val="fr-FR"/>
        </w:rPr>
        <w:t>elles devaient encore en débattre au niveau national. Toutes les délégations intéressées ont été invitées à communiquer leurs observations à l</w:t>
      </w:r>
      <w:r w:rsidR="0039277D" w:rsidRPr="0039277D">
        <w:rPr>
          <w:lang w:val="fr-FR"/>
        </w:rPr>
        <w:t>’</w:t>
      </w:r>
      <w:r w:rsidRPr="0039277D">
        <w:rPr>
          <w:lang w:val="fr-FR"/>
        </w:rPr>
        <w:t>OMS et à la FAO, qui soumettraient une nouvelle proposition officielle à la session suivante.</w:t>
      </w:r>
    </w:p>
    <w:p w:rsidR="00D80597" w:rsidRPr="0039277D" w:rsidRDefault="00D80597" w:rsidP="00E12FEC">
      <w:pPr>
        <w:pStyle w:val="H1G"/>
        <w:rPr>
          <w:lang w:val="fr-FR"/>
        </w:rPr>
      </w:pPr>
      <w:r w:rsidRPr="0039277D">
        <w:rPr>
          <w:lang w:val="fr-FR"/>
        </w:rPr>
        <w:tab/>
        <w:t>C.</w:t>
      </w:r>
      <w:r w:rsidRPr="0039277D">
        <w:rPr>
          <w:lang w:val="fr-FR"/>
        </w:rPr>
        <w:tab/>
        <w:t>Méthode d</w:t>
      </w:r>
      <w:r w:rsidR="0039277D" w:rsidRPr="0039277D">
        <w:rPr>
          <w:lang w:val="fr-FR"/>
        </w:rPr>
        <w:t>’</w:t>
      </w:r>
      <w:r w:rsidRPr="0039277D">
        <w:rPr>
          <w:lang w:val="fr-FR"/>
        </w:rPr>
        <w:t xml:space="preserve">épreuve pour les matières solides facilement </w:t>
      </w:r>
      <w:r w:rsidR="00C418D8">
        <w:rPr>
          <w:lang w:val="fr-FR"/>
        </w:rPr>
        <w:br/>
      </w:r>
      <w:r w:rsidRPr="0039277D">
        <w:rPr>
          <w:lang w:val="fr-FR"/>
        </w:rPr>
        <w:t>inflammables (épreuve N.1)</w:t>
      </w:r>
    </w:p>
    <w:p w:rsidR="00D80597" w:rsidRPr="0039277D" w:rsidRDefault="00D80597" w:rsidP="00855C98">
      <w:pPr>
        <w:keepNext/>
        <w:spacing w:after="120"/>
        <w:ind w:left="3119" w:hanging="1985"/>
        <w:rPr>
          <w:lang w:val="fr-FR"/>
        </w:rPr>
      </w:pPr>
      <w:r w:rsidRPr="0039277D">
        <w:rPr>
          <w:i/>
          <w:lang w:val="fr-FR"/>
        </w:rPr>
        <w:t>Document</w:t>
      </w:r>
      <w:r w:rsidR="0066043C">
        <w:rPr>
          <w:i/>
          <w:lang w:val="fr-FR"/>
        </w:rPr>
        <w:t> </w:t>
      </w:r>
      <w:r w:rsidR="0066043C" w:rsidRPr="007B23D1">
        <w:rPr>
          <w:lang w:val="fr-FR"/>
        </w:rPr>
        <w:t>:</w:t>
      </w:r>
      <w:r w:rsidR="0066043C">
        <w:rPr>
          <w:i/>
          <w:lang w:val="fr-FR"/>
        </w:rPr>
        <w:tab/>
      </w:r>
      <w:r w:rsidR="0066043C" w:rsidRPr="007B23D1">
        <w:rPr>
          <w:lang w:val="fr-FR"/>
        </w:rPr>
        <w:t>S</w:t>
      </w:r>
      <w:r w:rsidRPr="0039277D">
        <w:rPr>
          <w:lang w:val="fr-FR"/>
        </w:rPr>
        <w:t>T/SG/AC.10/C.3/2016/5 (Allemagne).</w:t>
      </w:r>
    </w:p>
    <w:p w:rsidR="00D80597" w:rsidRPr="0039277D" w:rsidRDefault="00D80597" w:rsidP="00855C98">
      <w:pPr>
        <w:keepNext/>
        <w:spacing w:after="120"/>
        <w:ind w:left="3119" w:hanging="1985"/>
        <w:rPr>
          <w:lang w:val="fr-FR"/>
        </w:rPr>
      </w:pPr>
      <w:r w:rsidRPr="0039277D">
        <w:rPr>
          <w:i/>
          <w:iCs/>
          <w:lang w:val="fr-FR"/>
        </w:rPr>
        <w:t>Document informel</w:t>
      </w:r>
      <w:r w:rsidR="0066043C">
        <w:rPr>
          <w:lang w:val="fr-FR"/>
        </w:rPr>
        <w:t> :</w:t>
      </w:r>
      <w:r w:rsidR="0066043C">
        <w:rPr>
          <w:lang w:val="fr-FR"/>
        </w:rPr>
        <w:tab/>
      </w:r>
      <w:r w:rsidRPr="0039277D">
        <w:rPr>
          <w:lang w:val="fr-FR"/>
        </w:rPr>
        <w:t>INF.54 (États-Unis d</w:t>
      </w:r>
      <w:r w:rsidR="0039277D" w:rsidRPr="0039277D">
        <w:rPr>
          <w:lang w:val="fr-FR"/>
        </w:rPr>
        <w:t>’</w:t>
      </w:r>
      <w:r w:rsidRPr="0039277D">
        <w:rPr>
          <w:lang w:val="fr-FR"/>
        </w:rPr>
        <w:t>Amérique).</w:t>
      </w:r>
    </w:p>
    <w:p w:rsidR="00D80597" w:rsidRPr="0039277D" w:rsidRDefault="00D80597" w:rsidP="008B3C58">
      <w:pPr>
        <w:pStyle w:val="ParNoG"/>
        <w:rPr>
          <w:lang w:val="fr-FR"/>
        </w:rPr>
      </w:pPr>
      <w:r w:rsidRPr="0039277D">
        <w:rPr>
          <w:lang w:val="fr-FR"/>
        </w:rPr>
        <w:t>Compte tenu des explications des États-Unis d</w:t>
      </w:r>
      <w:r w:rsidR="0039277D" w:rsidRPr="0039277D">
        <w:rPr>
          <w:lang w:val="fr-FR"/>
        </w:rPr>
        <w:t>’</w:t>
      </w:r>
      <w:r w:rsidRPr="0039277D">
        <w:rPr>
          <w:lang w:val="fr-FR"/>
        </w:rPr>
        <w:t>Amérique, le Sous-Comité a décidé d</w:t>
      </w:r>
      <w:r w:rsidR="0039277D" w:rsidRPr="0039277D">
        <w:rPr>
          <w:lang w:val="fr-FR"/>
        </w:rPr>
        <w:t>’</w:t>
      </w:r>
      <w:r w:rsidRPr="0039277D">
        <w:rPr>
          <w:lang w:val="fr-FR"/>
        </w:rPr>
        <w:t>adopter les modifications proposées aux paragraphes 33.2.1.4.4.1, 33.2.1.4.4.2 et 33.2.1.4.4.3 du Manuel d</w:t>
      </w:r>
      <w:r w:rsidR="0039277D" w:rsidRPr="0039277D">
        <w:rPr>
          <w:lang w:val="fr-FR"/>
        </w:rPr>
        <w:t>’</w:t>
      </w:r>
      <w:r w:rsidRPr="0039277D">
        <w:rPr>
          <w:lang w:val="fr-FR"/>
        </w:rPr>
        <w:t>épreuves et de critères, mais en remplaçant « (250 mm) » par « (100 mm) ». Ces modifications ont été placées entre crochets pour confirmation à la session suivante (voir annexe I). Une correction au paragraphe 33.2.1.4.4.1 a également été adoptée (voir annexe IV).</w:t>
      </w:r>
    </w:p>
    <w:p w:rsidR="00D80597" w:rsidRPr="0039277D" w:rsidRDefault="00D80597" w:rsidP="00855C98">
      <w:pPr>
        <w:pStyle w:val="H1G"/>
        <w:rPr>
          <w:lang w:val="fr-FR"/>
        </w:rPr>
      </w:pPr>
      <w:r w:rsidRPr="0039277D">
        <w:rPr>
          <w:lang w:val="fr-FR"/>
        </w:rPr>
        <w:tab/>
        <w:t>D.</w:t>
      </w:r>
      <w:r w:rsidRPr="0039277D">
        <w:rPr>
          <w:lang w:val="fr-FR"/>
        </w:rPr>
        <w:tab/>
        <w:t xml:space="preserve">Correction à la description du </w:t>
      </w:r>
      <w:r w:rsidR="00CD7394">
        <w:rPr>
          <w:lang w:val="fr-FR"/>
        </w:rPr>
        <w:t>No </w:t>
      </w:r>
      <w:r w:rsidRPr="0039277D">
        <w:rPr>
          <w:lang w:val="fr-FR"/>
        </w:rPr>
        <w:t xml:space="preserve">ONU 2585 </w:t>
      </w:r>
      <w:r w:rsidR="00C418D8">
        <w:rPr>
          <w:lang w:val="fr-FR"/>
        </w:rPr>
        <w:br/>
      </w:r>
      <w:r w:rsidRPr="0039277D">
        <w:rPr>
          <w:lang w:val="fr-FR"/>
        </w:rPr>
        <w:t>dans la version française du Règlement type</w:t>
      </w:r>
    </w:p>
    <w:p w:rsidR="00D80597" w:rsidRPr="0039277D" w:rsidRDefault="00D80597" w:rsidP="00855C98">
      <w:pPr>
        <w:keepNext/>
        <w:spacing w:after="120"/>
        <w:ind w:left="3119" w:hanging="1985"/>
        <w:rPr>
          <w:lang w:val="fr-FR"/>
        </w:rPr>
      </w:pPr>
      <w:r w:rsidRPr="0039277D">
        <w:rPr>
          <w:i/>
          <w:lang w:val="fr-FR"/>
        </w:rPr>
        <w:t>Document</w:t>
      </w:r>
      <w:r w:rsidR="0066043C">
        <w:rPr>
          <w:i/>
          <w:lang w:val="fr-FR"/>
        </w:rPr>
        <w:t> :</w:t>
      </w:r>
      <w:r w:rsidR="0066043C">
        <w:rPr>
          <w:i/>
          <w:lang w:val="fr-FR"/>
        </w:rPr>
        <w:tab/>
      </w:r>
      <w:r w:rsidR="0066043C" w:rsidRPr="007B23D1">
        <w:rPr>
          <w:lang w:val="fr-FR"/>
        </w:rPr>
        <w:t>S</w:t>
      </w:r>
      <w:r w:rsidRPr="007B23D1">
        <w:rPr>
          <w:lang w:val="fr-FR"/>
        </w:rPr>
        <w:t>T</w:t>
      </w:r>
      <w:r w:rsidRPr="0039277D">
        <w:rPr>
          <w:lang w:val="fr-FR"/>
        </w:rPr>
        <w:t>/SG/AC.10/C.3/2016/22 (Canada).</w:t>
      </w:r>
    </w:p>
    <w:p w:rsidR="00D80597" w:rsidRPr="0039277D" w:rsidRDefault="00D80597" w:rsidP="008B3C58">
      <w:pPr>
        <w:pStyle w:val="ParNoG"/>
        <w:rPr>
          <w:lang w:val="fr-FR"/>
        </w:rPr>
      </w:pPr>
      <w:r w:rsidRPr="0039277D">
        <w:rPr>
          <w:lang w:val="fr-FR"/>
        </w:rPr>
        <w:t xml:space="preserve">Sous-Comité a confirmé que les mots </w:t>
      </w:r>
      <w:r w:rsidRPr="00CD7394">
        <w:rPr>
          <w:lang w:val="fr-FR"/>
        </w:rPr>
        <w:t>« </w:t>
      </w:r>
      <w:r w:rsidRPr="00C90015">
        <w:rPr>
          <w:lang w:val="fr-FR"/>
        </w:rPr>
        <w:t>contenant plus de 5 %</w:t>
      </w:r>
      <w:r w:rsidRPr="00CD7394">
        <w:rPr>
          <w:lang w:val="fr-FR"/>
        </w:rPr>
        <w:t> »</w:t>
      </w:r>
      <w:r w:rsidRPr="0039277D">
        <w:rPr>
          <w:lang w:val="fr-FR"/>
        </w:rPr>
        <w:t xml:space="preserve"> devraient être remplacés en français par </w:t>
      </w:r>
      <w:r w:rsidRPr="00CD7394">
        <w:rPr>
          <w:lang w:val="fr-FR"/>
        </w:rPr>
        <w:t>« </w:t>
      </w:r>
      <w:r w:rsidRPr="00C90015">
        <w:rPr>
          <w:lang w:val="fr-FR"/>
        </w:rPr>
        <w:t>contenant au plus 5 %</w:t>
      </w:r>
      <w:r w:rsidRPr="00CD7394">
        <w:rPr>
          <w:lang w:val="fr-FR"/>
        </w:rPr>
        <w:t> »</w:t>
      </w:r>
      <w:r w:rsidRPr="0039277D">
        <w:rPr>
          <w:lang w:val="fr-FR"/>
        </w:rPr>
        <w:t xml:space="preserve"> (voir annexe V).</w:t>
      </w:r>
    </w:p>
    <w:p w:rsidR="00D80597" w:rsidRPr="0039277D" w:rsidRDefault="00D80597" w:rsidP="00E12FEC">
      <w:pPr>
        <w:pStyle w:val="H1G"/>
        <w:rPr>
          <w:lang w:val="fr-FR"/>
        </w:rPr>
      </w:pPr>
      <w:r w:rsidRPr="0039277D">
        <w:rPr>
          <w:lang w:val="fr-FR"/>
        </w:rPr>
        <w:tab/>
        <w:t>E.</w:t>
      </w:r>
      <w:r w:rsidRPr="0039277D">
        <w:rPr>
          <w:lang w:val="fr-FR"/>
        </w:rPr>
        <w:tab/>
        <w:t>Instruction d</w:t>
      </w:r>
      <w:r w:rsidR="0039277D" w:rsidRPr="0039277D">
        <w:rPr>
          <w:lang w:val="fr-FR"/>
        </w:rPr>
        <w:t>’</w:t>
      </w:r>
      <w:r w:rsidRPr="0039277D">
        <w:rPr>
          <w:lang w:val="fr-FR"/>
        </w:rPr>
        <w:t>emballage LP902</w:t>
      </w:r>
    </w:p>
    <w:p w:rsidR="00D80597" w:rsidRPr="0039277D" w:rsidRDefault="00D80597" w:rsidP="00855C98">
      <w:pPr>
        <w:keepNext/>
        <w:spacing w:after="120"/>
        <w:ind w:left="3119" w:hanging="1985"/>
        <w:rPr>
          <w:lang w:val="fr-FR"/>
        </w:rPr>
      </w:pPr>
      <w:r w:rsidRPr="0039277D">
        <w:rPr>
          <w:i/>
          <w:lang w:val="fr-FR"/>
        </w:rPr>
        <w:t>Document</w:t>
      </w:r>
      <w:r w:rsidR="0066043C">
        <w:rPr>
          <w:i/>
          <w:lang w:val="fr-FR"/>
        </w:rPr>
        <w:t> </w:t>
      </w:r>
      <w:r w:rsidR="0066043C" w:rsidRPr="007B23D1">
        <w:rPr>
          <w:lang w:val="fr-FR"/>
        </w:rPr>
        <w:t>:</w:t>
      </w:r>
      <w:r w:rsidR="0066043C">
        <w:rPr>
          <w:i/>
          <w:lang w:val="fr-FR"/>
        </w:rPr>
        <w:tab/>
      </w:r>
      <w:r w:rsidR="0066043C" w:rsidRPr="007B23D1">
        <w:rPr>
          <w:lang w:val="fr-FR"/>
        </w:rPr>
        <w:t>S</w:t>
      </w:r>
      <w:r w:rsidRPr="0039277D">
        <w:rPr>
          <w:lang w:val="fr-FR"/>
        </w:rPr>
        <w:t>T/SG/AC.10/C.3/2016/23 (Canada).</w:t>
      </w:r>
    </w:p>
    <w:p w:rsidR="00D80597" w:rsidRPr="0039277D" w:rsidRDefault="00D80597" w:rsidP="008B3C58">
      <w:pPr>
        <w:pStyle w:val="ParNoG"/>
        <w:rPr>
          <w:lang w:val="fr-FR"/>
        </w:rPr>
      </w:pPr>
      <w:r w:rsidRPr="0039277D">
        <w:rPr>
          <w:lang w:val="fr-FR"/>
        </w:rPr>
        <w:t>La proposition de modification a été adoptée (voir annexe II).</w:t>
      </w:r>
    </w:p>
    <w:p w:rsidR="00D80597" w:rsidRPr="0039277D" w:rsidRDefault="00D80597" w:rsidP="00E12FEC">
      <w:pPr>
        <w:pStyle w:val="H1G"/>
        <w:rPr>
          <w:lang w:val="fr-FR"/>
        </w:rPr>
      </w:pPr>
      <w:r w:rsidRPr="0039277D">
        <w:rPr>
          <w:lang w:val="fr-FR"/>
        </w:rPr>
        <w:tab/>
        <w:t>F.</w:t>
      </w:r>
      <w:r w:rsidRPr="0039277D">
        <w:rPr>
          <w:lang w:val="fr-FR"/>
        </w:rPr>
        <w:tab/>
      </w:r>
      <w:r w:rsidR="00CD7394">
        <w:rPr>
          <w:lang w:val="fr-FR"/>
        </w:rPr>
        <w:t>No </w:t>
      </w:r>
      <w:r w:rsidRPr="0039277D">
        <w:rPr>
          <w:lang w:val="fr-FR"/>
        </w:rPr>
        <w:t xml:space="preserve">ONU 1945 </w:t>
      </w:r>
      <w:r w:rsidR="00C90015">
        <w:rPr>
          <w:lang w:val="fr-FR"/>
        </w:rPr>
        <w:t>−</w:t>
      </w:r>
      <w:r w:rsidRPr="0039277D">
        <w:rPr>
          <w:lang w:val="fr-FR"/>
        </w:rPr>
        <w:t xml:space="preserve"> ALLUMETTES-BOUGIES</w:t>
      </w:r>
    </w:p>
    <w:p w:rsidR="00D80597" w:rsidRPr="0039277D" w:rsidRDefault="00D80597" w:rsidP="00855C98">
      <w:pPr>
        <w:keepNext/>
        <w:spacing w:after="120"/>
        <w:ind w:left="3119" w:hanging="1985"/>
        <w:rPr>
          <w:lang w:val="fr-FR"/>
        </w:rPr>
      </w:pPr>
      <w:r w:rsidRPr="0039277D">
        <w:rPr>
          <w:i/>
          <w:lang w:val="fr-FR"/>
        </w:rPr>
        <w:t>Document</w:t>
      </w:r>
      <w:r w:rsidR="0066043C">
        <w:rPr>
          <w:i/>
          <w:lang w:val="fr-FR"/>
        </w:rPr>
        <w:t> </w:t>
      </w:r>
      <w:r w:rsidR="0066043C" w:rsidRPr="007B23D1">
        <w:rPr>
          <w:lang w:val="fr-FR"/>
        </w:rPr>
        <w:t>:</w:t>
      </w:r>
      <w:r w:rsidR="0066043C">
        <w:rPr>
          <w:i/>
          <w:lang w:val="fr-FR"/>
        </w:rPr>
        <w:tab/>
      </w:r>
      <w:r w:rsidR="0066043C" w:rsidRPr="007B23D1">
        <w:rPr>
          <w:lang w:val="fr-FR"/>
        </w:rPr>
        <w:t>S</w:t>
      </w:r>
      <w:r w:rsidRPr="0039277D">
        <w:rPr>
          <w:lang w:val="fr-FR"/>
        </w:rPr>
        <w:t>T/SG/AC.10/C.3/2016/24 (Canada).</w:t>
      </w:r>
    </w:p>
    <w:p w:rsidR="00D80597" w:rsidRPr="0039277D" w:rsidRDefault="00D80597" w:rsidP="008B3C58">
      <w:pPr>
        <w:pStyle w:val="ParNoG"/>
        <w:rPr>
          <w:lang w:val="fr-FR"/>
        </w:rPr>
      </w:pPr>
      <w:r w:rsidRPr="0039277D">
        <w:rPr>
          <w:lang w:val="fr-FR"/>
        </w:rPr>
        <w:t>La proposition d</w:t>
      </w:r>
      <w:r w:rsidR="0039277D" w:rsidRPr="0039277D">
        <w:rPr>
          <w:lang w:val="fr-FR"/>
        </w:rPr>
        <w:t>’</w:t>
      </w:r>
      <w:r w:rsidRPr="0039277D">
        <w:rPr>
          <w:lang w:val="fr-FR"/>
        </w:rPr>
        <w:t xml:space="preserve">affecter la disposition spéciale 293 au </w:t>
      </w:r>
      <w:r w:rsidR="00CD7394">
        <w:rPr>
          <w:lang w:val="fr-FR"/>
        </w:rPr>
        <w:t>No </w:t>
      </w:r>
      <w:r w:rsidRPr="0039277D">
        <w:rPr>
          <w:lang w:val="fr-FR"/>
        </w:rPr>
        <w:t>ONU 1945 ainsi que la modification d</w:t>
      </w:r>
      <w:r w:rsidR="0039277D" w:rsidRPr="0039277D">
        <w:rPr>
          <w:lang w:val="fr-FR"/>
        </w:rPr>
        <w:t>’</w:t>
      </w:r>
      <w:r w:rsidRPr="0039277D">
        <w:rPr>
          <w:lang w:val="fr-FR"/>
        </w:rPr>
        <w:t>ordre rédactionnel à la version anglaise de l</w:t>
      </w:r>
      <w:r w:rsidR="0039277D" w:rsidRPr="0039277D">
        <w:rPr>
          <w:lang w:val="fr-FR"/>
        </w:rPr>
        <w:t>’</w:t>
      </w:r>
      <w:r w:rsidRPr="0039277D">
        <w:rPr>
          <w:lang w:val="fr-FR"/>
        </w:rPr>
        <w:t>alinéa b) de la disposition spéciale 293 ont été adoptées (voir annexe II).</w:t>
      </w:r>
    </w:p>
    <w:p w:rsidR="00D80597" w:rsidRPr="0039277D" w:rsidRDefault="00D80597" w:rsidP="00E12FEC">
      <w:pPr>
        <w:pStyle w:val="H1G"/>
        <w:rPr>
          <w:lang w:val="fr-FR"/>
        </w:rPr>
      </w:pPr>
      <w:r w:rsidRPr="0039277D">
        <w:rPr>
          <w:lang w:val="fr-FR"/>
        </w:rPr>
        <w:tab/>
        <w:t>G.</w:t>
      </w:r>
      <w:r w:rsidRPr="0039277D">
        <w:rPr>
          <w:lang w:val="fr-FR"/>
        </w:rPr>
        <w:tab/>
        <w:t>Révision de l</w:t>
      </w:r>
      <w:r w:rsidR="0039277D" w:rsidRPr="0039277D">
        <w:rPr>
          <w:lang w:val="fr-FR"/>
        </w:rPr>
        <w:t>’</w:t>
      </w:r>
      <w:r w:rsidRPr="0039277D">
        <w:rPr>
          <w:lang w:val="fr-FR"/>
        </w:rPr>
        <w:t>instruction d</w:t>
      </w:r>
      <w:r w:rsidR="0039277D" w:rsidRPr="0039277D">
        <w:rPr>
          <w:lang w:val="fr-FR"/>
        </w:rPr>
        <w:t>’</w:t>
      </w:r>
      <w:r w:rsidRPr="0039277D">
        <w:rPr>
          <w:lang w:val="fr-FR"/>
        </w:rPr>
        <w:t>emballage P801</w:t>
      </w:r>
    </w:p>
    <w:p w:rsidR="00D80597" w:rsidRPr="0039277D" w:rsidRDefault="007B23D1" w:rsidP="00855C98">
      <w:pPr>
        <w:keepNext/>
        <w:spacing w:after="120"/>
        <w:ind w:left="3119" w:hanging="1985"/>
        <w:rPr>
          <w:lang w:val="fr-FR"/>
        </w:rPr>
      </w:pPr>
      <w:r w:rsidRPr="0039277D">
        <w:rPr>
          <w:i/>
          <w:lang w:val="fr-FR"/>
        </w:rPr>
        <w:t>Document</w:t>
      </w:r>
      <w:r>
        <w:rPr>
          <w:i/>
          <w:lang w:val="fr-FR"/>
        </w:rPr>
        <w:t> </w:t>
      </w:r>
      <w:r w:rsidRPr="007B23D1">
        <w:rPr>
          <w:lang w:val="fr-FR"/>
        </w:rPr>
        <w:t>:</w:t>
      </w:r>
      <w:r>
        <w:rPr>
          <w:i/>
          <w:lang w:val="fr-FR"/>
        </w:rPr>
        <w:tab/>
      </w:r>
      <w:r w:rsidRPr="007B23D1">
        <w:rPr>
          <w:lang w:val="fr-FR"/>
        </w:rPr>
        <w:t>S</w:t>
      </w:r>
      <w:r w:rsidR="00D80597" w:rsidRPr="0039277D">
        <w:rPr>
          <w:lang w:val="fr-FR"/>
        </w:rPr>
        <w:t>T/SG/AC.10/C.3/2016/25 (Canada).</w:t>
      </w:r>
    </w:p>
    <w:p w:rsidR="00D80597" w:rsidRPr="0039277D" w:rsidRDefault="00D80597" w:rsidP="008B3C58">
      <w:pPr>
        <w:pStyle w:val="ParNoG"/>
        <w:rPr>
          <w:lang w:val="fr-FR"/>
        </w:rPr>
      </w:pPr>
      <w:r w:rsidRPr="0039277D">
        <w:rPr>
          <w:lang w:val="fr-FR"/>
        </w:rPr>
        <w:t>La proposition de modification de l</w:t>
      </w:r>
      <w:r w:rsidR="0039277D" w:rsidRPr="0039277D">
        <w:rPr>
          <w:lang w:val="fr-FR"/>
        </w:rPr>
        <w:t>’</w:t>
      </w:r>
      <w:r w:rsidRPr="0039277D">
        <w:rPr>
          <w:lang w:val="fr-FR"/>
        </w:rPr>
        <w:t>instruction P801 dans le contexte du transport de batteries usagées a fait l</w:t>
      </w:r>
      <w:r w:rsidR="0039277D" w:rsidRPr="0039277D">
        <w:rPr>
          <w:lang w:val="fr-FR"/>
        </w:rPr>
        <w:t>’</w:t>
      </w:r>
      <w:r w:rsidRPr="0039277D">
        <w:rPr>
          <w:lang w:val="fr-FR"/>
        </w:rPr>
        <w:t>objet de nombreuses observations, et l</w:t>
      </w:r>
      <w:r w:rsidR="0039277D" w:rsidRPr="0039277D">
        <w:rPr>
          <w:lang w:val="fr-FR"/>
        </w:rPr>
        <w:t>’</w:t>
      </w:r>
      <w:r w:rsidRPr="0039277D">
        <w:rPr>
          <w:lang w:val="fr-FR"/>
        </w:rPr>
        <w:t>expert du Canada a été prié d</w:t>
      </w:r>
      <w:r w:rsidR="0039277D" w:rsidRPr="0039277D">
        <w:rPr>
          <w:lang w:val="fr-FR"/>
        </w:rPr>
        <w:t>’</w:t>
      </w:r>
      <w:r w:rsidRPr="0039277D">
        <w:rPr>
          <w:lang w:val="fr-FR"/>
        </w:rPr>
        <w:t>établir une nouvelle proposition pour la session suivante.</w:t>
      </w:r>
    </w:p>
    <w:p w:rsidR="00D80597" w:rsidRPr="0039277D" w:rsidRDefault="00D80597" w:rsidP="00E12FEC">
      <w:pPr>
        <w:pStyle w:val="H1G"/>
        <w:rPr>
          <w:lang w:val="fr-FR"/>
        </w:rPr>
      </w:pPr>
      <w:r w:rsidRPr="0039277D">
        <w:rPr>
          <w:lang w:val="fr-FR"/>
        </w:rPr>
        <w:tab/>
        <w:t>H.</w:t>
      </w:r>
      <w:r w:rsidRPr="0039277D">
        <w:rPr>
          <w:lang w:val="fr-FR"/>
        </w:rPr>
        <w:tab/>
        <w:t>Révision du chapitre 2.8 (Matières corrosives)</w:t>
      </w:r>
    </w:p>
    <w:p w:rsidR="00D80597" w:rsidRPr="0039277D" w:rsidRDefault="007B23D1" w:rsidP="00855C98">
      <w:pPr>
        <w:keepNext/>
        <w:spacing w:after="120"/>
        <w:ind w:left="3119" w:hanging="1985"/>
        <w:rPr>
          <w:lang w:val="fr-FR"/>
        </w:rPr>
      </w:pPr>
      <w:r w:rsidRPr="0039277D">
        <w:rPr>
          <w:i/>
          <w:lang w:val="fr-FR"/>
        </w:rPr>
        <w:t>Document</w:t>
      </w:r>
      <w:r>
        <w:rPr>
          <w:i/>
          <w:lang w:val="fr-FR"/>
        </w:rPr>
        <w:t> </w:t>
      </w:r>
      <w:r w:rsidRPr="007B23D1">
        <w:rPr>
          <w:lang w:val="fr-FR"/>
        </w:rPr>
        <w:t>:</w:t>
      </w:r>
      <w:r>
        <w:rPr>
          <w:i/>
          <w:lang w:val="fr-FR"/>
        </w:rPr>
        <w:tab/>
      </w:r>
      <w:r w:rsidRPr="007B23D1">
        <w:rPr>
          <w:lang w:val="fr-FR"/>
        </w:rPr>
        <w:t>S</w:t>
      </w:r>
      <w:r w:rsidR="00D80597" w:rsidRPr="0039277D">
        <w:rPr>
          <w:lang w:val="fr-FR"/>
        </w:rPr>
        <w:t>T/SG/AC.10/C.3/2016/21 et Corr.1 (Canada, CEFIC</w:t>
      </w:r>
      <w:r w:rsidR="00D80597" w:rsidRPr="0039277D">
        <w:rPr>
          <w:lang w:val="fr-FR"/>
        </w:rPr>
        <w:br/>
        <w:t>et AISE).</w:t>
      </w:r>
    </w:p>
    <w:p w:rsidR="00D80597" w:rsidRPr="0039277D" w:rsidRDefault="00D80597" w:rsidP="00855C98">
      <w:pPr>
        <w:keepNext/>
        <w:spacing w:after="120"/>
        <w:ind w:left="3119" w:hanging="1985"/>
        <w:rPr>
          <w:lang w:val="fr-FR"/>
        </w:rPr>
      </w:pPr>
      <w:r w:rsidRPr="0039277D">
        <w:rPr>
          <w:i/>
          <w:iCs/>
          <w:lang w:val="fr-FR"/>
        </w:rPr>
        <w:t>Documents informels</w:t>
      </w:r>
      <w:r w:rsidR="0066043C">
        <w:rPr>
          <w:lang w:val="fr-FR"/>
        </w:rPr>
        <w:t> :</w:t>
      </w:r>
      <w:r w:rsidR="0066043C">
        <w:rPr>
          <w:lang w:val="fr-FR"/>
        </w:rPr>
        <w:tab/>
      </w:r>
      <w:r w:rsidRPr="0039277D">
        <w:rPr>
          <w:lang w:val="fr-FR"/>
        </w:rPr>
        <w:t>INF.40 (CEFIC et AISE)</w:t>
      </w:r>
      <w:r w:rsidRPr="0039277D">
        <w:rPr>
          <w:lang w:val="fr-FR"/>
        </w:rPr>
        <w:br/>
        <w:t>INF.65 et Corr.1 (Canada, CEFIC et AISE, au nom du groupe</w:t>
      </w:r>
      <w:r w:rsidRPr="0039277D">
        <w:rPr>
          <w:lang w:val="fr-FR"/>
        </w:rPr>
        <w:br/>
        <w:t>de travail de pause déjeuner).</w:t>
      </w:r>
    </w:p>
    <w:p w:rsidR="00D80597" w:rsidRPr="0039277D" w:rsidRDefault="00D80597" w:rsidP="008B3C58">
      <w:pPr>
        <w:pStyle w:val="ParNoG"/>
        <w:rPr>
          <w:lang w:val="fr-FR"/>
        </w:rPr>
      </w:pPr>
      <w:r w:rsidRPr="0039277D">
        <w:rPr>
          <w:lang w:val="fr-FR"/>
        </w:rPr>
        <w:t>Plusieurs experts étaient favorables à la révision du chapitre 2.8 dans le sens proposé. De l</w:t>
      </w:r>
      <w:r w:rsidR="0039277D" w:rsidRPr="0039277D">
        <w:rPr>
          <w:lang w:val="fr-FR"/>
        </w:rPr>
        <w:t>’</w:t>
      </w:r>
      <w:r w:rsidRPr="0039277D">
        <w:rPr>
          <w:lang w:val="fr-FR"/>
        </w:rPr>
        <w:t>avis de certains autres, il restait cependant quelques points à préciser, par exemple les méthodes de classification, sachant que la méthode de calcul aboutissait à une classification plus stricte que celle découlant des critères actuels ; les textes additionnels qui avaient été introduits à partir du SGH et les divergences éventuelles d</w:t>
      </w:r>
      <w:r w:rsidR="0039277D" w:rsidRPr="0039277D">
        <w:rPr>
          <w:lang w:val="fr-FR"/>
        </w:rPr>
        <w:t>’</w:t>
      </w:r>
      <w:r w:rsidRPr="0039277D">
        <w:rPr>
          <w:lang w:val="fr-FR"/>
        </w:rPr>
        <w:t>avec le SGH, notamment l</w:t>
      </w:r>
      <w:r w:rsidR="0039277D" w:rsidRPr="0039277D">
        <w:rPr>
          <w:lang w:val="fr-FR"/>
        </w:rPr>
        <w:t>’</w:t>
      </w:r>
      <w:r w:rsidRPr="0039277D">
        <w:rPr>
          <w:lang w:val="fr-FR"/>
        </w:rPr>
        <w:t>introduction et les définitions ; et l</w:t>
      </w:r>
      <w:r w:rsidR="0039277D" w:rsidRPr="0039277D">
        <w:rPr>
          <w:lang w:val="fr-FR"/>
        </w:rPr>
        <w:t>’</w:t>
      </w:r>
      <w:r w:rsidRPr="0039277D">
        <w:rPr>
          <w:lang w:val="fr-FR"/>
        </w:rPr>
        <w:t>élaboration éventuelle par les industriels de directives pour l</w:t>
      </w:r>
      <w:r w:rsidR="0039277D" w:rsidRPr="0039277D">
        <w:rPr>
          <w:lang w:val="fr-FR"/>
        </w:rPr>
        <w:t>’</w:t>
      </w:r>
      <w:r w:rsidRPr="0039277D">
        <w:rPr>
          <w:lang w:val="fr-FR"/>
        </w:rPr>
        <w:t xml:space="preserve">application pratique des nouvelles dispositions classificatoires. </w:t>
      </w:r>
    </w:p>
    <w:p w:rsidR="00D80597" w:rsidRPr="0039277D" w:rsidRDefault="00D80597" w:rsidP="008B3C58">
      <w:pPr>
        <w:pStyle w:val="ParNoG"/>
        <w:rPr>
          <w:lang w:val="fr-FR"/>
        </w:rPr>
      </w:pPr>
      <w:r w:rsidRPr="0039277D">
        <w:rPr>
          <w:lang w:val="fr-FR"/>
        </w:rPr>
        <w:t>Il a été convenu de confier à un groupe de travail de pause déjeuner d</w:t>
      </w:r>
      <w:r w:rsidR="0039277D" w:rsidRPr="0039277D">
        <w:rPr>
          <w:lang w:val="fr-FR"/>
        </w:rPr>
        <w:t>’</w:t>
      </w:r>
      <w:r w:rsidRPr="0039277D">
        <w:rPr>
          <w:lang w:val="fr-FR"/>
        </w:rPr>
        <w:t>étudier ces points et le détail du texte proposé.</w:t>
      </w:r>
    </w:p>
    <w:p w:rsidR="00D80597" w:rsidRPr="0039277D" w:rsidRDefault="00D80597" w:rsidP="008B3C58">
      <w:pPr>
        <w:pStyle w:val="ParNoG"/>
        <w:rPr>
          <w:lang w:val="fr-FR"/>
        </w:rPr>
      </w:pPr>
      <w:r w:rsidRPr="0039277D">
        <w:rPr>
          <w:lang w:val="fr-FR"/>
        </w:rPr>
        <w:t>Le Sous-Comité a adopté provisoirement (entre crochets) le texte révisé du chapitre 2.8 proposé par le groupe de travail de pause déjeuner, tel qu</w:t>
      </w:r>
      <w:r w:rsidR="0039277D" w:rsidRPr="0039277D">
        <w:rPr>
          <w:lang w:val="fr-FR"/>
        </w:rPr>
        <w:t>’</w:t>
      </w:r>
      <w:r w:rsidRPr="0039277D">
        <w:rPr>
          <w:lang w:val="fr-FR"/>
        </w:rPr>
        <w:t>il figure dans le document informel INF.65/Corr.1 (voir annexe II). Les textes spécifiques placés entre crochets seraient vérifiés à la session suivante, en tenant compte des décisions du Sous-Comité SGH relatives aux définitions du SGH concernant la corrosivité, qui étaient également à l</w:t>
      </w:r>
      <w:r w:rsidR="0039277D" w:rsidRPr="0039277D">
        <w:rPr>
          <w:lang w:val="fr-FR"/>
        </w:rPr>
        <w:t>’</w:t>
      </w:r>
      <w:r w:rsidRPr="0039277D">
        <w:rPr>
          <w:lang w:val="fr-FR"/>
        </w:rPr>
        <w:t xml:space="preserve">étude. Le CEFIC établirait pour la session suivante les exemples et explications mentionnés au paragraphe 2.8.4.3.3 du document. </w:t>
      </w:r>
    </w:p>
    <w:p w:rsidR="00D80597" w:rsidRPr="0039277D" w:rsidRDefault="00D80597" w:rsidP="00E12FEC">
      <w:pPr>
        <w:pStyle w:val="H1G"/>
        <w:rPr>
          <w:lang w:val="fr-FR"/>
        </w:rPr>
      </w:pPr>
      <w:r w:rsidRPr="0039277D">
        <w:rPr>
          <w:lang w:val="fr-FR"/>
        </w:rPr>
        <w:tab/>
        <w:t>I.</w:t>
      </w:r>
      <w:r w:rsidRPr="0039277D">
        <w:rPr>
          <w:lang w:val="fr-FR"/>
        </w:rPr>
        <w:tab/>
        <w:t xml:space="preserve">Modification de la disposition spéciale 308 relative à la farine </w:t>
      </w:r>
      <w:r w:rsidR="00816DE6">
        <w:rPr>
          <w:lang w:val="fr-FR"/>
        </w:rPr>
        <w:br/>
      </w:r>
      <w:r w:rsidRPr="0039277D">
        <w:rPr>
          <w:lang w:val="fr-FR"/>
        </w:rPr>
        <w:t xml:space="preserve">de poisson stabilisée, </w:t>
      </w:r>
      <w:r w:rsidR="00CD7394">
        <w:rPr>
          <w:lang w:val="fr-FR"/>
        </w:rPr>
        <w:t>No </w:t>
      </w:r>
      <w:r w:rsidRPr="0039277D">
        <w:rPr>
          <w:lang w:val="fr-FR"/>
        </w:rPr>
        <w:t>ONU 2216, classe 9</w:t>
      </w:r>
    </w:p>
    <w:p w:rsidR="00D80597" w:rsidRPr="0039277D" w:rsidRDefault="00D80597" w:rsidP="00855C98">
      <w:pPr>
        <w:keepNext/>
        <w:spacing w:after="120"/>
        <w:ind w:left="3119" w:hanging="1985"/>
        <w:rPr>
          <w:lang w:val="fr-FR"/>
        </w:rPr>
      </w:pPr>
      <w:r w:rsidRPr="0039277D">
        <w:rPr>
          <w:i/>
          <w:iCs/>
          <w:lang w:val="fr-FR"/>
        </w:rPr>
        <w:t>Document</w:t>
      </w:r>
      <w:r w:rsidR="0066043C">
        <w:rPr>
          <w:lang w:val="fr-FR"/>
        </w:rPr>
        <w:t> :</w:t>
      </w:r>
      <w:r w:rsidR="0066043C">
        <w:rPr>
          <w:lang w:val="fr-FR"/>
        </w:rPr>
        <w:tab/>
      </w:r>
      <w:r w:rsidRPr="0039277D">
        <w:rPr>
          <w:lang w:val="fr-FR"/>
        </w:rPr>
        <w:t>ST/SG/AC.10/C.3/2016/36 (IFFO).</w:t>
      </w:r>
    </w:p>
    <w:p w:rsidR="00D80597" w:rsidRPr="0039277D" w:rsidRDefault="00D80597" w:rsidP="008B3C58">
      <w:pPr>
        <w:pStyle w:val="ParNoG"/>
        <w:rPr>
          <w:lang w:val="fr-FR"/>
        </w:rPr>
      </w:pPr>
      <w:r w:rsidRPr="0039277D">
        <w:rPr>
          <w:lang w:val="fr-FR"/>
        </w:rPr>
        <w:t>Le Sous-Comité a estimé qu</w:t>
      </w:r>
      <w:r w:rsidR="0039277D" w:rsidRPr="0039277D">
        <w:rPr>
          <w:lang w:val="fr-FR"/>
        </w:rPr>
        <w:t>’</w:t>
      </w:r>
      <w:r w:rsidRPr="0039277D">
        <w:rPr>
          <w:lang w:val="fr-FR"/>
        </w:rPr>
        <w:t xml:space="preserve">il était prématuré de modifier la disposition spéciale 308 avant de disposer des résultats des essais sur </w:t>
      </w:r>
      <w:r w:rsidR="00C90015">
        <w:rPr>
          <w:lang w:val="fr-FR"/>
        </w:rPr>
        <w:t>douze</w:t>
      </w:r>
      <w:r w:rsidRPr="0039277D">
        <w:rPr>
          <w:lang w:val="fr-FR"/>
        </w:rPr>
        <w:t xml:space="preserve"> mois pour des traitements par antioxydants autres que l</w:t>
      </w:r>
      <w:r w:rsidR="0039277D" w:rsidRPr="0039277D">
        <w:rPr>
          <w:lang w:val="fr-FR"/>
        </w:rPr>
        <w:t>’</w:t>
      </w:r>
      <w:r w:rsidRPr="0039277D">
        <w:rPr>
          <w:lang w:val="fr-FR"/>
        </w:rPr>
        <w:t>éthoxyquine ou à des concentrations moins élevées d</w:t>
      </w:r>
      <w:r w:rsidR="0039277D" w:rsidRPr="0039277D">
        <w:rPr>
          <w:lang w:val="fr-FR"/>
        </w:rPr>
        <w:t>’</w:t>
      </w:r>
      <w:r w:rsidRPr="0039277D">
        <w:rPr>
          <w:lang w:val="fr-FR"/>
        </w:rPr>
        <w:t>éthoxyquine. Il a été rappelé que l</w:t>
      </w:r>
      <w:r w:rsidR="0039277D" w:rsidRPr="0039277D">
        <w:rPr>
          <w:lang w:val="fr-FR"/>
        </w:rPr>
        <w:t>’</w:t>
      </w:r>
      <w:r w:rsidRPr="0039277D">
        <w:rPr>
          <w:lang w:val="fr-FR"/>
        </w:rPr>
        <w:t>efficacité du traitement était particulièrement importante pour les transports maritimes de longue durée et que la modification préconisée devait être acceptable pour l</w:t>
      </w:r>
      <w:r w:rsidR="0039277D" w:rsidRPr="0039277D">
        <w:rPr>
          <w:lang w:val="fr-FR"/>
        </w:rPr>
        <w:t>’</w:t>
      </w:r>
      <w:r w:rsidRPr="0039277D">
        <w:rPr>
          <w:lang w:val="fr-FR"/>
        </w:rPr>
        <w:t>OMI. La représentante de l</w:t>
      </w:r>
      <w:r w:rsidR="0039277D" w:rsidRPr="0039277D">
        <w:rPr>
          <w:lang w:val="fr-FR"/>
        </w:rPr>
        <w:t>’</w:t>
      </w:r>
      <w:r w:rsidRPr="0039277D">
        <w:rPr>
          <w:lang w:val="fr-FR"/>
        </w:rPr>
        <w:t>IFFO a indiqué que de nouveaux résultats seraient bientôt disponibles et qu</w:t>
      </w:r>
      <w:r w:rsidR="0039277D" w:rsidRPr="0039277D">
        <w:rPr>
          <w:lang w:val="fr-FR"/>
        </w:rPr>
        <w:t>’</w:t>
      </w:r>
      <w:r w:rsidRPr="0039277D">
        <w:rPr>
          <w:lang w:val="fr-FR"/>
        </w:rPr>
        <w:t>elle soumettrait un nouveau document à la session suivante.</w:t>
      </w:r>
    </w:p>
    <w:p w:rsidR="00D80597" w:rsidRPr="0039277D" w:rsidRDefault="00D80597" w:rsidP="00E12FEC">
      <w:pPr>
        <w:pStyle w:val="H1G"/>
        <w:rPr>
          <w:lang w:val="fr-FR"/>
        </w:rPr>
      </w:pPr>
      <w:r w:rsidRPr="0039277D">
        <w:rPr>
          <w:lang w:val="fr-FR"/>
        </w:rPr>
        <w:tab/>
        <w:t>J.</w:t>
      </w:r>
      <w:r w:rsidRPr="0039277D">
        <w:rPr>
          <w:lang w:val="fr-FR"/>
        </w:rPr>
        <w:tab/>
        <w:t>Désignations officielles de transport pour les mélanges et solutions</w:t>
      </w:r>
    </w:p>
    <w:p w:rsidR="00D80597" w:rsidRPr="0039277D" w:rsidRDefault="007B23D1" w:rsidP="00855C98">
      <w:pPr>
        <w:keepNext/>
        <w:spacing w:after="120"/>
        <w:ind w:left="3119" w:hanging="1985"/>
        <w:rPr>
          <w:lang w:val="fr-FR"/>
        </w:rPr>
      </w:pPr>
      <w:r w:rsidRPr="0039277D">
        <w:rPr>
          <w:i/>
          <w:lang w:val="fr-FR"/>
        </w:rPr>
        <w:t>Document</w:t>
      </w:r>
      <w:r>
        <w:rPr>
          <w:i/>
          <w:lang w:val="fr-FR"/>
        </w:rPr>
        <w:t> </w:t>
      </w:r>
      <w:r w:rsidRPr="007B23D1">
        <w:rPr>
          <w:lang w:val="fr-FR"/>
        </w:rPr>
        <w:t>:</w:t>
      </w:r>
      <w:r>
        <w:rPr>
          <w:i/>
          <w:lang w:val="fr-FR"/>
        </w:rPr>
        <w:tab/>
      </w:r>
      <w:r w:rsidRPr="007B23D1">
        <w:rPr>
          <w:lang w:val="fr-FR"/>
        </w:rPr>
        <w:t>S</w:t>
      </w:r>
      <w:r w:rsidR="00D80597" w:rsidRPr="0039277D">
        <w:rPr>
          <w:lang w:val="fr-FR"/>
        </w:rPr>
        <w:t>T/SG/AC.10/C.3/2016/37 (États-Unis d</w:t>
      </w:r>
      <w:r w:rsidR="0039277D" w:rsidRPr="0039277D">
        <w:rPr>
          <w:lang w:val="fr-FR"/>
        </w:rPr>
        <w:t>’</w:t>
      </w:r>
      <w:r w:rsidR="00D80597" w:rsidRPr="0039277D">
        <w:rPr>
          <w:lang w:val="fr-FR"/>
        </w:rPr>
        <w:t>Amérique).</w:t>
      </w:r>
    </w:p>
    <w:p w:rsidR="00D80597" w:rsidRPr="0039277D" w:rsidRDefault="00D80597" w:rsidP="008B3C58">
      <w:pPr>
        <w:pStyle w:val="ParNoG"/>
        <w:rPr>
          <w:lang w:val="fr-FR"/>
        </w:rPr>
      </w:pPr>
      <w:r w:rsidRPr="0039277D">
        <w:rPr>
          <w:lang w:val="fr-FR"/>
        </w:rPr>
        <w:t>Le Sous-Comité a noté les problèmes d</w:t>
      </w:r>
      <w:r w:rsidR="0039277D" w:rsidRPr="0039277D">
        <w:rPr>
          <w:lang w:val="fr-FR"/>
        </w:rPr>
        <w:t>’</w:t>
      </w:r>
      <w:r w:rsidRPr="0039277D">
        <w:rPr>
          <w:lang w:val="fr-FR"/>
        </w:rPr>
        <w:t>interprétation que posaient les paragraphes 2.0.2.5 et 3.1.3.2 lorsque certains mélanges ne contenaient qu</w:t>
      </w:r>
      <w:r w:rsidR="0039277D" w:rsidRPr="0039277D">
        <w:rPr>
          <w:lang w:val="fr-FR"/>
        </w:rPr>
        <w:t>’</w:t>
      </w:r>
      <w:r w:rsidRPr="0039277D">
        <w:rPr>
          <w:lang w:val="fr-FR"/>
        </w:rPr>
        <w:t xml:space="preserve">une seule matière dangereuse. Plus précisément, la question était </w:t>
      </w:r>
      <w:r w:rsidR="00C90015">
        <w:rPr>
          <w:lang w:val="fr-FR"/>
        </w:rPr>
        <w:t xml:space="preserve">de </w:t>
      </w:r>
      <w:r w:rsidRPr="0039277D">
        <w:rPr>
          <w:lang w:val="fr-FR"/>
        </w:rPr>
        <w:t>savoir si l</w:t>
      </w:r>
      <w:r w:rsidR="0039277D" w:rsidRPr="0039277D">
        <w:rPr>
          <w:lang w:val="fr-FR"/>
        </w:rPr>
        <w:t>’</w:t>
      </w:r>
      <w:r w:rsidRPr="0039277D">
        <w:rPr>
          <w:lang w:val="fr-FR"/>
        </w:rPr>
        <w:t xml:space="preserve">on pouvait classer le mélange sous une rubrique générique telle que le </w:t>
      </w:r>
      <w:r w:rsidR="00CD7394">
        <w:rPr>
          <w:lang w:val="fr-FR"/>
        </w:rPr>
        <w:t>No </w:t>
      </w:r>
      <w:r w:rsidRPr="0039277D">
        <w:rPr>
          <w:lang w:val="fr-FR"/>
        </w:rPr>
        <w:t>ONU 1866 résine en solution, inflammable, ou s</w:t>
      </w:r>
      <w:r w:rsidR="0039277D" w:rsidRPr="0039277D">
        <w:rPr>
          <w:lang w:val="fr-FR"/>
        </w:rPr>
        <w:t>’</w:t>
      </w:r>
      <w:r w:rsidRPr="0039277D">
        <w:rPr>
          <w:lang w:val="fr-FR"/>
        </w:rPr>
        <w:t xml:space="preserve">il fallait utiliser le </w:t>
      </w:r>
      <w:r w:rsidR="00C90015">
        <w:rPr>
          <w:lang w:val="fr-FR"/>
        </w:rPr>
        <w:t xml:space="preserve">numéro </w:t>
      </w:r>
      <w:r w:rsidRPr="0039277D">
        <w:rPr>
          <w:lang w:val="fr-FR"/>
        </w:rPr>
        <w:t>ONU attribué par exemple au diluant inflammable.</w:t>
      </w:r>
    </w:p>
    <w:p w:rsidR="00D80597" w:rsidRPr="0039277D" w:rsidRDefault="00D80597" w:rsidP="008B3C58">
      <w:pPr>
        <w:pStyle w:val="ParNoG"/>
        <w:rPr>
          <w:lang w:val="fr-FR"/>
        </w:rPr>
      </w:pPr>
      <w:r w:rsidRPr="0039277D">
        <w:rPr>
          <w:lang w:val="fr-FR"/>
        </w:rPr>
        <w:t>Le Sous-Comité a rappelé que de nombreuses rubriques génériques telles que les résines en solution, les colles, les produits pour parfumerie ou les boissons alcoolisées visaient en général des produits ne contenant qu</w:t>
      </w:r>
      <w:r w:rsidR="0039277D" w:rsidRPr="0039277D">
        <w:rPr>
          <w:lang w:val="fr-FR"/>
        </w:rPr>
        <w:t>’</w:t>
      </w:r>
      <w:r w:rsidRPr="0039277D">
        <w:rPr>
          <w:lang w:val="fr-FR"/>
        </w:rPr>
        <w:t>une seule matière dangereuse, par exemple de l</w:t>
      </w:r>
      <w:r w:rsidR="0039277D" w:rsidRPr="0039277D">
        <w:rPr>
          <w:lang w:val="fr-FR"/>
        </w:rPr>
        <w:t>’</w:t>
      </w:r>
      <w:r w:rsidRPr="0039277D">
        <w:rPr>
          <w:lang w:val="fr-FR"/>
        </w:rPr>
        <w:t>éthanol, et qu</w:t>
      </w:r>
      <w:r w:rsidR="0039277D" w:rsidRPr="0039277D">
        <w:rPr>
          <w:lang w:val="fr-FR"/>
        </w:rPr>
        <w:t>’</w:t>
      </w:r>
      <w:r w:rsidRPr="0039277D">
        <w:rPr>
          <w:lang w:val="fr-FR"/>
        </w:rPr>
        <w:t>il était donc parfaitement acceptable de classer ces produits sous la rubrique générique appropriée.</w:t>
      </w:r>
    </w:p>
    <w:p w:rsidR="00D80597" w:rsidRPr="0039277D" w:rsidRDefault="00D80597" w:rsidP="008B3C58">
      <w:pPr>
        <w:pStyle w:val="ParNoG"/>
        <w:rPr>
          <w:lang w:val="fr-FR"/>
        </w:rPr>
      </w:pPr>
      <w:r w:rsidRPr="0039277D">
        <w:rPr>
          <w:lang w:val="fr-FR"/>
        </w:rPr>
        <w:t>Certains experts ont toutefois fait remarquer que l</w:t>
      </w:r>
      <w:r w:rsidR="0039277D" w:rsidRPr="0039277D">
        <w:rPr>
          <w:lang w:val="fr-FR"/>
        </w:rPr>
        <w:t>’</w:t>
      </w:r>
      <w:r w:rsidRPr="0039277D">
        <w:rPr>
          <w:lang w:val="fr-FR"/>
        </w:rPr>
        <w:t>expéditeur pouvait choisir de classer le produit en tant que solution du composant dangereux s</w:t>
      </w:r>
      <w:r w:rsidR="0039277D" w:rsidRPr="0039277D">
        <w:rPr>
          <w:lang w:val="fr-FR"/>
        </w:rPr>
        <w:t>’</w:t>
      </w:r>
      <w:r w:rsidRPr="0039277D">
        <w:rPr>
          <w:lang w:val="fr-FR"/>
        </w:rPr>
        <w:t>il jugeait par exemple que cela était préférable pour les mesures d</w:t>
      </w:r>
      <w:r w:rsidR="0039277D" w:rsidRPr="0039277D">
        <w:rPr>
          <w:lang w:val="fr-FR"/>
        </w:rPr>
        <w:t>’</w:t>
      </w:r>
      <w:r w:rsidRPr="0039277D">
        <w:rPr>
          <w:lang w:val="fr-FR"/>
        </w:rPr>
        <w:t>intervention en cas d</w:t>
      </w:r>
      <w:r w:rsidR="0039277D" w:rsidRPr="0039277D">
        <w:rPr>
          <w:lang w:val="fr-FR"/>
        </w:rPr>
        <w:t>’</w:t>
      </w:r>
      <w:r w:rsidRPr="0039277D">
        <w:rPr>
          <w:lang w:val="fr-FR"/>
        </w:rPr>
        <w:t>accident. Ils ne souhaitaient donc pas que le texte actuel soit modifié, car la modification proposée aurait pu avoir pour effet de rendre obligatoire le classement sous une rubrique générique.</w:t>
      </w:r>
    </w:p>
    <w:p w:rsidR="00D80597" w:rsidRPr="0039277D" w:rsidRDefault="00D80597" w:rsidP="008B3C58">
      <w:pPr>
        <w:pStyle w:val="ParNoG"/>
        <w:rPr>
          <w:lang w:val="fr-FR"/>
        </w:rPr>
      </w:pPr>
      <w:r w:rsidRPr="0039277D">
        <w:rPr>
          <w:lang w:val="fr-FR"/>
        </w:rPr>
        <w:t>Le Sous-Comité a décidé de ne pas adopter la modification proposée, mais l</w:t>
      </w:r>
      <w:r w:rsidR="0039277D" w:rsidRPr="0039277D">
        <w:rPr>
          <w:lang w:val="fr-FR"/>
        </w:rPr>
        <w:t>’</w:t>
      </w:r>
      <w:r w:rsidRPr="0039277D">
        <w:rPr>
          <w:lang w:val="fr-FR"/>
        </w:rPr>
        <w:t>expert des États-Unis pourrait formuler une nouvelle proposition visant à préciser le texte en tenant compte des débats.</w:t>
      </w:r>
    </w:p>
    <w:p w:rsidR="00D80597" w:rsidRPr="0039277D" w:rsidRDefault="00D80597" w:rsidP="00E12FEC">
      <w:pPr>
        <w:pStyle w:val="H1G"/>
        <w:rPr>
          <w:lang w:val="fr-FR"/>
        </w:rPr>
      </w:pPr>
      <w:r w:rsidRPr="0039277D">
        <w:rPr>
          <w:lang w:val="fr-FR"/>
        </w:rPr>
        <w:tab/>
        <w:t>K.</w:t>
      </w:r>
      <w:r w:rsidRPr="0039277D">
        <w:rPr>
          <w:lang w:val="fr-FR"/>
        </w:rPr>
        <w:tab/>
        <w:t>Nouveau code E pour les matières dangereuses en quantités exceptées</w:t>
      </w:r>
    </w:p>
    <w:p w:rsidR="00D80597" w:rsidRPr="0039277D" w:rsidRDefault="007B23D1" w:rsidP="00855C98">
      <w:pPr>
        <w:keepNext/>
        <w:spacing w:after="120"/>
        <w:ind w:left="3119" w:hanging="1985"/>
        <w:rPr>
          <w:lang w:val="fr-FR"/>
        </w:rPr>
      </w:pPr>
      <w:r w:rsidRPr="0039277D">
        <w:rPr>
          <w:i/>
          <w:iCs/>
          <w:lang w:val="fr-FR"/>
        </w:rPr>
        <w:t>Document</w:t>
      </w:r>
      <w:r>
        <w:rPr>
          <w:lang w:val="fr-FR"/>
        </w:rPr>
        <w:t> :</w:t>
      </w:r>
      <w:r>
        <w:rPr>
          <w:lang w:val="fr-FR"/>
        </w:rPr>
        <w:tab/>
      </w:r>
      <w:r w:rsidRPr="0039277D">
        <w:rPr>
          <w:lang w:val="fr-FR"/>
        </w:rPr>
        <w:t>ST</w:t>
      </w:r>
      <w:r w:rsidR="00D80597" w:rsidRPr="0039277D">
        <w:rPr>
          <w:lang w:val="fr-FR"/>
        </w:rPr>
        <w:t>/SG/AC.10/C.3/2016/40 (DGAC).</w:t>
      </w:r>
    </w:p>
    <w:p w:rsidR="00D80597" w:rsidRPr="0039277D" w:rsidRDefault="00D80597" w:rsidP="008B3C58">
      <w:pPr>
        <w:pStyle w:val="ParNoG"/>
        <w:rPr>
          <w:lang w:val="fr-FR"/>
        </w:rPr>
      </w:pPr>
      <w:r w:rsidRPr="0039277D">
        <w:rPr>
          <w:lang w:val="fr-FR"/>
        </w:rPr>
        <w:t>La plupart des experts étaient opposés à la création d</w:t>
      </w:r>
      <w:r w:rsidR="0039277D" w:rsidRPr="0039277D">
        <w:rPr>
          <w:lang w:val="fr-FR"/>
        </w:rPr>
        <w:t>’</w:t>
      </w:r>
      <w:r w:rsidRPr="0039277D">
        <w:rPr>
          <w:lang w:val="fr-FR"/>
        </w:rPr>
        <w:t>un nouveau code E6 qui s</w:t>
      </w:r>
      <w:r w:rsidR="0039277D" w:rsidRPr="0039277D">
        <w:rPr>
          <w:lang w:val="fr-FR"/>
        </w:rPr>
        <w:t>’</w:t>
      </w:r>
      <w:r w:rsidRPr="0039277D">
        <w:rPr>
          <w:lang w:val="fr-FR"/>
        </w:rPr>
        <w:t>appliquerait à un petit nombre de produits contenant de l</w:t>
      </w:r>
      <w:r w:rsidR="0039277D" w:rsidRPr="0039277D">
        <w:rPr>
          <w:lang w:val="fr-FR"/>
        </w:rPr>
        <w:t>’</w:t>
      </w:r>
      <w:r w:rsidRPr="0039277D">
        <w:rPr>
          <w:lang w:val="fr-FR"/>
        </w:rPr>
        <w:t>alcool.</w:t>
      </w:r>
      <w:r w:rsidR="00816DE6">
        <w:rPr>
          <w:lang w:val="fr-FR"/>
        </w:rPr>
        <w:t xml:space="preserve"> Ils estimaient que le chapitre </w:t>
      </w:r>
      <w:r w:rsidRPr="0039277D">
        <w:rPr>
          <w:lang w:val="fr-FR"/>
        </w:rPr>
        <w:t>3.5 permettait déjà des exceptions satisfaisantes et qu</w:t>
      </w:r>
      <w:r w:rsidR="0039277D" w:rsidRPr="0039277D">
        <w:rPr>
          <w:lang w:val="fr-FR"/>
        </w:rPr>
        <w:t>’</w:t>
      </w:r>
      <w:r w:rsidRPr="0039277D">
        <w:rPr>
          <w:lang w:val="fr-FR"/>
        </w:rPr>
        <w:t>avant d</w:t>
      </w:r>
      <w:r w:rsidR="0039277D" w:rsidRPr="0039277D">
        <w:rPr>
          <w:lang w:val="fr-FR"/>
        </w:rPr>
        <w:t>’</w:t>
      </w:r>
      <w:r w:rsidRPr="0039277D">
        <w:rPr>
          <w:lang w:val="fr-FR"/>
        </w:rPr>
        <w:t>introduire de nouveaux codes, il serait opportun d</w:t>
      </w:r>
      <w:r w:rsidR="0039277D" w:rsidRPr="0039277D">
        <w:rPr>
          <w:lang w:val="fr-FR"/>
        </w:rPr>
        <w:t>’</w:t>
      </w:r>
      <w:r w:rsidRPr="0039277D">
        <w:rPr>
          <w:lang w:val="fr-FR"/>
        </w:rPr>
        <w:t>établir les principes directeurs concernant l</w:t>
      </w:r>
      <w:r w:rsidR="0039277D" w:rsidRPr="0039277D">
        <w:rPr>
          <w:lang w:val="fr-FR"/>
        </w:rPr>
        <w:t>’</w:t>
      </w:r>
      <w:r w:rsidRPr="0039277D">
        <w:rPr>
          <w:lang w:val="fr-FR"/>
        </w:rPr>
        <w:t>affectation des codes existants, ce qui n</w:t>
      </w:r>
      <w:r w:rsidR="0039277D" w:rsidRPr="0039277D">
        <w:rPr>
          <w:lang w:val="fr-FR"/>
        </w:rPr>
        <w:t>’</w:t>
      </w:r>
      <w:r w:rsidRPr="0039277D">
        <w:rPr>
          <w:lang w:val="fr-FR"/>
        </w:rPr>
        <w:t>avait toujours pas été réalisé bien qu</w:t>
      </w:r>
      <w:r w:rsidR="0039277D" w:rsidRPr="0039277D">
        <w:rPr>
          <w:lang w:val="fr-FR"/>
        </w:rPr>
        <w:t>’</w:t>
      </w:r>
      <w:r w:rsidRPr="0039277D">
        <w:rPr>
          <w:lang w:val="fr-FR"/>
        </w:rPr>
        <w:t>un point de l</w:t>
      </w:r>
      <w:r w:rsidR="0039277D" w:rsidRPr="0039277D">
        <w:rPr>
          <w:lang w:val="fr-FR"/>
        </w:rPr>
        <w:t>’</w:t>
      </w:r>
      <w:r w:rsidRPr="0039277D">
        <w:rPr>
          <w:lang w:val="fr-FR"/>
        </w:rPr>
        <w:t>ordre du jour ait</w:t>
      </w:r>
      <w:r w:rsidR="00C90015">
        <w:rPr>
          <w:lang w:val="fr-FR"/>
        </w:rPr>
        <w:t xml:space="preserve"> été</w:t>
      </w:r>
      <w:r w:rsidRPr="0039277D">
        <w:rPr>
          <w:lang w:val="fr-FR"/>
        </w:rPr>
        <w:t xml:space="preserve"> prévu à cet effet. La proposition n</w:t>
      </w:r>
      <w:r w:rsidR="0039277D" w:rsidRPr="0039277D">
        <w:rPr>
          <w:lang w:val="fr-FR"/>
        </w:rPr>
        <w:t>’</w:t>
      </w:r>
      <w:r w:rsidRPr="0039277D">
        <w:rPr>
          <w:lang w:val="fr-FR"/>
        </w:rPr>
        <w:t>a donc pas été adoptée.</w:t>
      </w:r>
    </w:p>
    <w:p w:rsidR="00D80597" w:rsidRPr="0039277D" w:rsidRDefault="00D80597" w:rsidP="008B3C58">
      <w:pPr>
        <w:pStyle w:val="ParNoG"/>
        <w:rPr>
          <w:lang w:val="fr-FR"/>
        </w:rPr>
      </w:pPr>
      <w:r w:rsidRPr="0039277D">
        <w:rPr>
          <w:lang w:val="fr-FR"/>
        </w:rPr>
        <w:t>L</w:t>
      </w:r>
      <w:r w:rsidR="0039277D" w:rsidRPr="0039277D">
        <w:rPr>
          <w:lang w:val="fr-FR"/>
        </w:rPr>
        <w:t>’</w:t>
      </w:r>
      <w:r w:rsidRPr="0039277D">
        <w:rPr>
          <w:lang w:val="fr-FR"/>
        </w:rPr>
        <w:t>expert des États-Unis d</w:t>
      </w:r>
      <w:r w:rsidR="0039277D" w:rsidRPr="0039277D">
        <w:rPr>
          <w:lang w:val="fr-FR"/>
        </w:rPr>
        <w:t>’</w:t>
      </w:r>
      <w:r w:rsidRPr="0039277D">
        <w:rPr>
          <w:lang w:val="fr-FR"/>
        </w:rPr>
        <w:t>Amérique a déclaré qu</w:t>
      </w:r>
      <w:r w:rsidR="0039277D" w:rsidRPr="0039277D">
        <w:rPr>
          <w:lang w:val="fr-FR"/>
        </w:rPr>
        <w:t>’</w:t>
      </w:r>
      <w:r w:rsidRPr="0039277D">
        <w:rPr>
          <w:lang w:val="fr-FR"/>
        </w:rPr>
        <w:t>il établirait une proposition de principes directeurs concernant l</w:t>
      </w:r>
      <w:r w:rsidR="0039277D" w:rsidRPr="0039277D">
        <w:rPr>
          <w:lang w:val="fr-FR"/>
        </w:rPr>
        <w:t>’</w:t>
      </w:r>
      <w:r w:rsidRPr="0039277D">
        <w:rPr>
          <w:lang w:val="fr-FR"/>
        </w:rPr>
        <w:t>affectation des codes E.</w:t>
      </w:r>
    </w:p>
    <w:p w:rsidR="00D80597" w:rsidRPr="0039277D" w:rsidRDefault="00D80597" w:rsidP="00E12FEC">
      <w:pPr>
        <w:pStyle w:val="H1G"/>
        <w:rPr>
          <w:lang w:val="fr-FR"/>
        </w:rPr>
      </w:pPr>
      <w:r w:rsidRPr="0039277D">
        <w:rPr>
          <w:lang w:val="fr-FR"/>
        </w:rPr>
        <w:tab/>
        <w:t>L.</w:t>
      </w:r>
      <w:r w:rsidRPr="0039277D">
        <w:rPr>
          <w:lang w:val="fr-FR"/>
        </w:rPr>
        <w:tab/>
        <w:t>Désignation officielle de transport dans le cas où plusieurs rubriques distinctes figurent sous le même numéro ONU</w:t>
      </w:r>
    </w:p>
    <w:p w:rsidR="00D80597" w:rsidRPr="0039277D" w:rsidRDefault="007B23D1" w:rsidP="00855C98">
      <w:pPr>
        <w:keepNext/>
        <w:spacing w:after="120"/>
        <w:ind w:left="3119" w:hanging="1985"/>
        <w:rPr>
          <w:lang w:val="fr-FR"/>
        </w:rPr>
      </w:pPr>
      <w:r w:rsidRPr="0039277D">
        <w:rPr>
          <w:i/>
          <w:iCs/>
          <w:lang w:val="fr-FR"/>
        </w:rPr>
        <w:t>Document</w:t>
      </w:r>
      <w:r>
        <w:rPr>
          <w:lang w:val="fr-FR"/>
        </w:rPr>
        <w:t> :</w:t>
      </w:r>
      <w:r>
        <w:rPr>
          <w:lang w:val="fr-FR"/>
        </w:rPr>
        <w:tab/>
      </w:r>
      <w:r w:rsidRPr="0039277D">
        <w:rPr>
          <w:lang w:val="fr-FR"/>
        </w:rPr>
        <w:t>ST</w:t>
      </w:r>
      <w:r w:rsidR="00D80597" w:rsidRPr="0039277D">
        <w:rPr>
          <w:lang w:val="fr-FR"/>
        </w:rPr>
        <w:t>/SG/AC.10/C.3/2016/48 (Autriche).</w:t>
      </w:r>
    </w:p>
    <w:p w:rsidR="00D80597" w:rsidRPr="0039277D" w:rsidRDefault="00D80597" w:rsidP="00855C98">
      <w:pPr>
        <w:keepNext/>
        <w:spacing w:after="120"/>
        <w:ind w:left="3119" w:hanging="1985"/>
        <w:rPr>
          <w:lang w:val="fr-FR"/>
        </w:rPr>
      </w:pPr>
      <w:r w:rsidRPr="0039277D">
        <w:rPr>
          <w:i/>
          <w:iCs/>
          <w:lang w:val="fr-FR"/>
        </w:rPr>
        <w:t>Document informel</w:t>
      </w:r>
      <w:r w:rsidRPr="0039277D">
        <w:rPr>
          <w:lang w:val="fr-FR"/>
        </w:rPr>
        <w:t> :</w:t>
      </w:r>
      <w:r w:rsidRPr="0039277D">
        <w:rPr>
          <w:lang w:val="fr-FR"/>
        </w:rPr>
        <w:tab/>
        <w:t>INF.18 (Espagne).</w:t>
      </w:r>
    </w:p>
    <w:p w:rsidR="00D80597" w:rsidRPr="0039277D" w:rsidRDefault="00D80597" w:rsidP="008B3C58">
      <w:pPr>
        <w:pStyle w:val="ParNoG"/>
        <w:rPr>
          <w:lang w:val="fr-FR"/>
        </w:rPr>
      </w:pPr>
      <w:r w:rsidRPr="0039277D">
        <w:rPr>
          <w:lang w:val="fr-FR"/>
        </w:rPr>
        <w:t>La proposition visant à préciser le paragraphe 3.1.2.2 telle que figurant en option B du document informel INF.18 a été mise aux voix et adoptée avec quelques modifications (voir annexe II). Des désignations officielles de transport ne correspondant pas au produit transporté ne devaient pas figurer sur le document de transport ni sur le colis. Si un colis contenait des produits de même numéro ONU mais de désignations officielles différentes, les différentes désignations officielles de transport devaient être indiquées séparément dans le document de transport et marquées séparément sur le colis, sauf indication contraire (par exemple disposition spéciale 367).</w:t>
      </w:r>
    </w:p>
    <w:p w:rsidR="00D80597" w:rsidRPr="0039277D" w:rsidRDefault="00D80597" w:rsidP="00E12FEC">
      <w:pPr>
        <w:pStyle w:val="H1G"/>
        <w:rPr>
          <w:lang w:val="fr-FR"/>
        </w:rPr>
      </w:pPr>
      <w:r w:rsidRPr="0039277D">
        <w:rPr>
          <w:lang w:val="fr-FR"/>
        </w:rPr>
        <w:tab/>
        <w:t>M.</w:t>
      </w:r>
      <w:r w:rsidRPr="0039277D">
        <w:rPr>
          <w:lang w:val="fr-FR"/>
        </w:rPr>
        <w:tab/>
        <w:t>Définition de pression de vapeur</w:t>
      </w:r>
    </w:p>
    <w:p w:rsidR="00D80597" w:rsidRPr="0039277D" w:rsidRDefault="00D80597" w:rsidP="00855C98">
      <w:pPr>
        <w:keepNext/>
        <w:spacing w:after="120"/>
        <w:ind w:left="3119" w:hanging="1985"/>
        <w:rPr>
          <w:lang w:val="fr-FR"/>
        </w:rPr>
      </w:pPr>
      <w:r w:rsidRPr="0039277D">
        <w:rPr>
          <w:i/>
          <w:iCs/>
          <w:lang w:val="fr-FR"/>
        </w:rPr>
        <w:t>Document informel</w:t>
      </w:r>
      <w:r w:rsidR="0066043C">
        <w:rPr>
          <w:lang w:val="fr-FR"/>
        </w:rPr>
        <w:t> :</w:t>
      </w:r>
      <w:r w:rsidR="0066043C">
        <w:rPr>
          <w:lang w:val="fr-FR"/>
        </w:rPr>
        <w:tab/>
      </w:r>
      <w:r w:rsidRPr="0039277D">
        <w:rPr>
          <w:lang w:val="fr-FR"/>
        </w:rPr>
        <w:t>INF.24 (Canada).</w:t>
      </w:r>
    </w:p>
    <w:p w:rsidR="00D80597" w:rsidRPr="0039277D" w:rsidRDefault="00D80597" w:rsidP="008B3C58">
      <w:pPr>
        <w:pStyle w:val="ParNoG"/>
        <w:rPr>
          <w:lang w:val="fr-FR"/>
        </w:rPr>
      </w:pPr>
      <w:r w:rsidRPr="0039277D">
        <w:rPr>
          <w:lang w:val="fr-FR"/>
        </w:rPr>
        <w:t>Plusieurs délégations ont exprimé des doutes quant à la nécessité d</w:t>
      </w:r>
      <w:r w:rsidR="0039277D" w:rsidRPr="0039277D">
        <w:rPr>
          <w:lang w:val="fr-FR"/>
        </w:rPr>
        <w:t>’</w:t>
      </w:r>
      <w:r w:rsidRPr="0039277D">
        <w:rPr>
          <w:lang w:val="fr-FR"/>
        </w:rPr>
        <w:t>introduire une définition de la pression de vapeur car, dans le cas des mélanges, les laboratoires d</w:t>
      </w:r>
      <w:r w:rsidR="0039277D" w:rsidRPr="0039277D">
        <w:rPr>
          <w:lang w:val="fr-FR"/>
        </w:rPr>
        <w:t>’</w:t>
      </w:r>
      <w:r w:rsidRPr="0039277D">
        <w:rPr>
          <w:lang w:val="fr-FR"/>
        </w:rPr>
        <w:t>essai devaient normalement être compétents pour savoir ce dont il s</w:t>
      </w:r>
      <w:r w:rsidR="0039277D" w:rsidRPr="0039277D">
        <w:rPr>
          <w:lang w:val="fr-FR"/>
        </w:rPr>
        <w:t>’</w:t>
      </w:r>
      <w:r w:rsidRPr="0039277D">
        <w:rPr>
          <w:lang w:val="fr-FR"/>
        </w:rPr>
        <w:t>agissait. Les délégations ont été invitées à transmettre leurs observations à l</w:t>
      </w:r>
      <w:r w:rsidR="0039277D" w:rsidRPr="0039277D">
        <w:rPr>
          <w:lang w:val="fr-FR"/>
        </w:rPr>
        <w:t>’</w:t>
      </w:r>
      <w:r w:rsidRPr="0039277D">
        <w:rPr>
          <w:lang w:val="fr-FR"/>
        </w:rPr>
        <w:t>expert du Canada, qui réfléchirait à l</w:t>
      </w:r>
      <w:r w:rsidR="0039277D" w:rsidRPr="0039277D">
        <w:rPr>
          <w:lang w:val="fr-FR"/>
        </w:rPr>
        <w:t>’</w:t>
      </w:r>
      <w:r w:rsidRPr="0039277D">
        <w:rPr>
          <w:lang w:val="fr-FR"/>
        </w:rPr>
        <w:t>idée de soumettre une proposition officielle à la session suivante.</w:t>
      </w:r>
    </w:p>
    <w:p w:rsidR="00D80597" w:rsidRPr="0039277D" w:rsidRDefault="00D80597" w:rsidP="00E12FEC">
      <w:pPr>
        <w:pStyle w:val="H1G"/>
        <w:rPr>
          <w:lang w:val="fr-FR"/>
        </w:rPr>
      </w:pPr>
      <w:r w:rsidRPr="0039277D">
        <w:rPr>
          <w:lang w:val="fr-FR"/>
        </w:rPr>
        <w:tab/>
        <w:t>N.</w:t>
      </w:r>
      <w:r w:rsidRPr="0039277D">
        <w:rPr>
          <w:lang w:val="fr-FR"/>
        </w:rPr>
        <w:tab/>
        <w:t xml:space="preserve">Rapport sur la conférence téléphonique informelle </w:t>
      </w:r>
      <w:r w:rsidR="007B23D1">
        <w:rPr>
          <w:lang w:val="fr-FR"/>
        </w:rPr>
        <w:br/>
      </w:r>
      <w:r w:rsidRPr="0039277D">
        <w:rPr>
          <w:lang w:val="fr-FR"/>
        </w:rPr>
        <w:t>sur la classification du pétrole brut</w:t>
      </w:r>
    </w:p>
    <w:p w:rsidR="00D80597" w:rsidRPr="0039277D" w:rsidRDefault="00D80597" w:rsidP="00855C98">
      <w:pPr>
        <w:keepNext/>
        <w:spacing w:after="120"/>
        <w:ind w:left="3119" w:hanging="1985"/>
        <w:rPr>
          <w:lang w:val="fr-FR"/>
        </w:rPr>
      </w:pPr>
      <w:r w:rsidRPr="0039277D">
        <w:rPr>
          <w:i/>
          <w:iCs/>
          <w:lang w:val="fr-FR"/>
        </w:rPr>
        <w:t>Document informel</w:t>
      </w:r>
      <w:r w:rsidR="0066043C">
        <w:rPr>
          <w:lang w:val="fr-FR"/>
        </w:rPr>
        <w:t> :</w:t>
      </w:r>
      <w:r w:rsidR="0066043C">
        <w:rPr>
          <w:lang w:val="fr-FR"/>
        </w:rPr>
        <w:tab/>
      </w:r>
      <w:r w:rsidRPr="0039277D">
        <w:rPr>
          <w:lang w:val="fr-FR"/>
        </w:rPr>
        <w:t>INF.25 (Canada).</w:t>
      </w:r>
    </w:p>
    <w:p w:rsidR="00D80597" w:rsidRPr="0039277D" w:rsidRDefault="00D80597" w:rsidP="001F071F">
      <w:pPr>
        <w:pStyle w:val="ParNoG"/>
        <w:rPr>
          <w:lang w:val="fr-FR"/>
        </w:rPr>
      </w:pPr>
      <w:r w:rsidRPr="0039277D">
        <w:rPr>
          <w:lang w:val="fr-FR"/>
        </w:rPr>
        <w:t>Le Sous-Comité a pris note de ce rapport et a invité les délégations à fournir à l</w:t>
      </w:r>
      <w:r w:rsidR="0039277D" w:rsidRPr="0039277D">
        <w:rPr>
          <w:lang w:val="fr-FR"/>
        </w:rPr>
        <w:t>’</w:t>
      </w:r>
      <w:r w:rsidRPr="0039277D">
        <w:rPr>
          <w:lang w:val="fr-FR"/>
        </w:rPr>
        <w:t>expert du Canada leurs observations éventuelles sur les questions soulevées.</w:t>
      </w:r>
    </w:p>
    <w:p w:rsidR="00D80597" w:rsidRPr="0039277D" w:rsidRDefault="00D80597" w:rsidP="00E12FEC">
      <w:pPr>
        <w:pStyle w:val="H1G"/>
        <w:rPr>
          <w:lang w:val="fr-FR"/>
        </w:rPr>
      </w:pPr>
      <w:r w:rsidRPr="0039277D">
        <w:rPr>
          <w:lang w:val="fr-FR"/>
        </w:rPr>
        <w:tab/>
        <w:t>O.</w:t>
      </w:r>
      <w:r w:rsidRPr="0039277D">
        <w:rPr>
          <w:lang w:val="fr-FR"/>
        </w:rPr>
        <w:tab/>
        <w:t>Proposition d</w:t>
      </w:r>
      <w:r w:rsidR="0039277D" w:rsidRPr="0039277D">
        <w:rPr>
          <w:lang w:val="fr-FR"/>
        </w:rPr>
        <w:t>’</w:t>
      </w:r>
      <w:r w:rsidRPr="0039277D">
        <w:rPr>
          <w:lang w:val="fr-FR"/>
        </w:rPr>
        <w:t>ajout d</w:t>
      </w:r>
      <w:r w:rsidR="0039277D" w:rsidRPr="0039277D">
        <w:rPr>
          <w:lang w:val="fr-FR"/>
        </w:rPr>
        <w:t>’</w:t>
      </w:r>
      <w:r w:rsidRPr="0039277D">
        <w:rPr>
          <w:lang w:val="fr-FR"/>
        </w:rPr>
        <w:t xml:space="preserve">un risque subsidiaire de la division 6.1 </w:t>
      </w:r>
      <w:r w:rsidRPr="0039277D">
        <w:rPr>
          <w:lang w:val="fr-FR"/>
        </w:rPr>
        <w:br/>
        <w:t xml:space="preserve">aux </w:t>
      </w:r>
      <w:r w:rsidR="00C90015">
        <w:rPr>
          <w:lang w:val="fr-FR"/>
        </w:rPr>
        <w:t>N</w:t>
      </w:r>
      <w:r w:rsidRPr="0039277D">
        <w:rPr>
          <w:lang w:val="fr-FR"/>
        </w:rPr>
        <w:t>os</w:t>
      </w:r>
      <w:r w:rsidR="00C90015">
        <w:rPr>
          <w:lang w:val="fr-FR"/>
        </w:rPr>
        <w:t> </w:t>
      </w:r>
      <w:r w:rsidRPr="0039277D">
        <w:rPr>
          <w:lang w:val="fr-FR"/>
        </w:rPr>
        <w:t>ONU 2248, 2264 et 2357</w:t>
      </w:r>
    </w:p>
    <w:p w:rsidR="00D80597" w:rsidRPr="0039277D" w:rsidRDefault="00D80597" w:rsidP="00855C98">
      <w:pPr>
        <w:keepNext/>
        <w:spacing w:after="120"/>
        <w:ind w:left="3119" w:hanging="1985"/>
        <w:rPr>
          <w:lang w:val="fr-FR"/>
        </w:rPr>
      </w:pPr>
      <w:r w:rsidRPr="0039277D">
        <w:rPr>
          <w:i/>
          <w:iCs/>
          <w:lang w:val="fr-FR"/>
        </w:rPr>
        <w:t>Document informel</w:t>
      </w:r>
      <w:r w:rsidR="0066043C">
        <w:rPr>
          <w:lang w:val="fr-FR"/>
        </w:rPr>
        <w:t> :</w:t>
      </w:r>
      <w:r w:rsidR="0066043C">
        <w:rPr>
          <w:lang w:val="fr-FR"/>
        </w:rPr>
        <w:tab/>
      </w:r>
      <w:r w:rsidRPr="0039277D">
        <w:rPr>
          <w:lang w:val="fr-FR"/>
        </w:rPr>
        <w:t>INF.33 (République de Corée).</w:t>
      </w:r>
    </w:p>
    <w:p w:rsidR="00D80597" w:rsidRPr="0039277D" w:rsidRDefault="00D80597" w:rsidP="001F071F">
      <w:pPr>
        <w:pStyle w:val="ParNoG"/>
        <w:rPr>
          <w:lang w:val="fr-FR"/>
        </w:rPr>
      </w:pPr>
      <w:r w:rsidRPr="0039277D">
        <w:rPr>
          <w:lang w:val="fr-FR"/>
        </w:rPr>
        <w:t>Le Sous-Comité a pris note de la proposition et a invité l</w:t>
      </w:r>
      <w:r w:rsidR="0039277D" w:rsidRPr="0039277D">
        <w:rPr>
          <w:lang w:val="fr-FR"/>
        </w:rPr>
        <w:t>’</w:t>
      </w:r>
      <w:r w:rsidRPr="0039277D">
        <w:rPr>
          <w:lang w:val="fr-FR"/>
        </w:rPr>
        <w:t xml:space="preserve">expert de la République de Corée à soumettre une proposition officielle en indiquant la source exacte des données afin que celles-ci puissent être vérifiées, et en tenant compte des modifications aux conditions de transport à prévoir en conséquence (par exemple </w:t>
      </w:r>
      <w:r w:rsidR="00C90015">
        <w:rPr>
          <w:lang w:val="fr-FR"/>
        </w:rPr>
        <w:t>c</w:t>
      </w:r>
      <w:r w:rsidRPr="0039277D">
        <w:rPr>
          <w:lang w:val="fr-FR"/>
        </w:rPr>
        <w:t>ode E, codes citernes, etc.), le cas échéant, compte tenu des principes directeurs.</w:t>
      </w:r>
    </w:p>
    <w:p w:rsidR="00D80597" w:rsidRPr="0039277D" w:rsidRDefault="00D80597" w:rsidP="00E12FEC">
      <w:pPr>
        <w:pStyle w:val="HChG"/>
        <w:rPr>
          <w:lang w:val="fr-FR"/>
        </w:rPr>
      </w:pPr>
      <w:r w:rsidRPr="0039277D">
        <w:rPr>
          <w:lang w:val="fr-FR"/>
        </w:rPr>
        <w:tab/>
        <w:t>V.</w:t>
      </w:r>
      <w:r w:rsidRPr="0039277D">
        <w:rPr>
          <w:lang w:val="fr-FR"/>
        </w:rPr>
        <w:tab/>
        <w:t>Systèmes de stockage de l</w:t>
      </w:r>
      <w:r w:rsidR="0039277D" w:rsidRPr="0039277D">
        <w:rPr>
          <w:lang w:val="fr-FR"/>
        </w:rPr>
        <w:t>’</w:t>
      </w:r>
      <w:r w:rsidRPr="0039277D">
        <w:rPr>
          <w:lang w:val="fr-FR"/>
        </w:rPr>
        <w:t xml:space="preserve">électricité </w:t>
      </w:r>
      <w:r w:rsidRPr="0039277D">
        <w:rPr>
          <w:lang w:val="fr-FR"/>
        </w:rPr>
        <w:br/>
        <w:t>(point 4 de l</w:t>
      </w:r>
      <w:r w:rsidR="0039277D" w:rsidRPr="0039277D">
        <w:rPr>
          <w:lang w:val="fr-FR"/>
        </w:rPr>
        <w:t>’</w:t>
      </w:r>
      <w:r w:rsidRPr="0039277D">
        <w:rPr>
          <w:lang w:val="fr-FR"/>
        </w:rPr>
        <w:t>ordre du jour)</w:t>
      </w:r>
    </w:p>
    <w:p w:rsidR="00D80597" w:rsidRPr="0039277D" w:rsidRDefault="00D80597" w:rsidP="00E12FEC">
      <w:pPr>
        <w:pStyle w:val="H1G"/>
        <w:rPr>
          <w:lang w:val="fr-FR"/>
        </w:rPr>
      </w:pPr>
      <w:r w:rsidRPr="0039277D">
        <w:rPr>
          <w:lang w:val="fr-FR"/>
        </w:rPr>
        <w:tab/>
        <w:t>A.</w:t>
      </w:r>
      <w:r w:rsidRPr="0039277D">
        <w:rPr>
          <w:lang w:val="fr-FR"/>
        </w:rPr>
        <w:tab/>
        <w:t>Épreuves des batteries au lithium</w:t>
      </w:r>
    </w:p>
    <w:p w:rsidR="00D80597" w:rsidRPr="0039277D" w:rsidRDefault="00D80597" w:rsidP="00E12FEC">
      <w:pPr>
        <w:pStyle w:val="H23G"/>
        <w:rPr>
          <w:lang w:val="fr-FR"/>
        </w:rPr>
      </w:pPr>
      <w:r w:rsidRPr="0039277D">
        <w:rPr>
          <w:lang w:val="fr-FR"/>
        </w:rPr>
        <w:tab/>
        <w:t>1.</w:t>
      </w:r>
      <w:r w:rsidRPr="0039277D">
        <w:rPr>
          <w:lang w:val="fr-FR"/>
        </w:rPr>
        <w:tab/>
        <w:t xml:space="preserve">Rapport de la troisième réunion du groupe de travail informel </w:t>
      </w:r>
      <w:r w:rsidRPr="0039277D">
        <w:rPr>
          <w:lang w:val="fr-FR"/>
        </w:rPr>
        <w:br/>
        <w:t>sur les batteries au lithium</w:t>
      </w:r>
    </w:p>
    <w:p w:rsidR="00D80597" w:rsidRPr="0039277D" w:rsidRDefault="007B23D1" w:rsidP="00642433">
      <w:pPr>
        <w:keepNext/>
        <w:spacing w:after="120"/>
        <w:ind w:left="3119" w:right="1134" w:hanging="1985"/>
        <w:rPr>
          <w:lang w:val="fr-FR"/>
        </w:rPr>
      </w:pPr>
      <w:r w:rsidRPr="0039277D">
        <w:rPr>
          <w:i/>
          <w:iCs/>
          <w:lang w:val="fr-FR"/>
        </w:rPr>
        <w:t>Document</w:t>
      </w:r>
      <w:r>
        <w:rPr>
          <w:lang w:val="fr-FR"/>
        </w:rPr>
        <w:t> :</w:t>
      </w:r>
      <w:r>
        <w:rPr>
          <w:lang w:val="fr-FR"/>
        </w:rPr>
        <w:tab/>
      </w:r>
      <w:r w:rsidRPr="0039277D">
        <w:rPr>
          <w:lang w:val="fr-FR"/>
        </w:rPr>
        <w:t>ST</w:t>
      </w:r>
      <w:r w:rsidR="00D80597" w:rsidRPr="0039277D">
        <w:rPr>
          <w:lang w:val="fr-FR"/>
        </w:rPr>
        <w:t xml:space="preserve">/SG/AC.10/C.3/2016/46 (France, PRBA, </w:t>
      </w:r>
      <w:r w:rsidR="00642433">
        <w:rPr>
          <w:lang w:val="fr-FR"/>
        </w:rPr>
        <w:br/>
      </w:r>
      <w:r w:rsidR="00D80597" w:rsidRPr="0039277D">
        <w:rPr>
          <w:lang w:val="fr-FR"/>
        </w:rPr>
        <w:t>RECHARGE, COSTHA).</w:t>
      </w:r>
    </w:p>
    <w:p w:rsidR="00D80597" w:rsidRPr="0039277D" w:rsidRDefault="00D80597" w:rsidP="00855C98">
      <w:pPr>
        <w:keepNext/>
        <w:spacing w:after="120"/>
        <w:ind w:left="3119" w:hanging="1985"/>
        <w:rPr>
          <w:lang w:val="fr-FR"/>
        </w:rPr>
      </w:pPr>
      <w:r w:rsidRPr="0039277D">
        <w:rPr>
          <w:i/>
          <w:iCs/>
          <w:lang w:val="fr-FR"/>
        </w:rPr>
        <w:t>Documents informels :</w:t>
      </w:r>
      <w:r w:rsidRPr="0039277D">
        <w:rPr>
          <w:i/>
          <w:iCs/>
          <w:lang w:val="fr-FR"/>
        </w:rPr>
        <w:tab/>
      </w:r>
      <w:r w:rsidRPr="0039277D">
        <w:rPr>
          <w:lang w:val="fr-FR"/>
        </w:rPr>
        <w:t>INF.63 (France, PRBA, RECHARGE, COSTHA)</w:t>
      </w:r>
      <w:r w:rsidR="00855C98">
        <w:rPr>
          <w:lang w:val="fr-FR"/>
        </w:rPr>
        <w:br/>
      </w:r>
      <w:r w:rsidRPr="0039277D">
        <w:rPr>
          <w:lang w:val="fr-FR"/>
        </w:rPr>
        <w:t>INF.64 (France).</w:t>
      </w:r>
    </w:p>
    <w:p w:rsidR="00D80597" w:rsidRPr="0039277D" w:rsidRDefault="00D80597" w:rsidP="001F071F">
      <w:pPr>
        <w:pStyle w:val="ParNoG"/>
        <w:rPr>
          <w:lang w:val="fr-FR"/>
        </w:rPr>
      </w:pPr>
      <w:r w:rsidRPr="0039277D">
        <w:rPr>
          <w:lang w:val="fr-FR"/>
        </w:rPr>
        <w:t>Le Sous-Comité a adopté les propositions 2, 3 (option 1) et 5 (voir annexe I).</w:t>
      </w:r>
    </w:p>
    <w:p w:rsidR="00D80597" w:rsidRPr="0039277D" w:rsidRDefault="00D80597" w:rsidP="001F071F">
      <w:pPr>
        <w:pStyle w:val="ParNoG"/>
        <w:rPr>
          <w:lang w:val="fr-FR"/>
        </w:rPr>
      </w:pPr>
      <w:r w:rsidRPr="0039277D">
        <w:rPr>
          <w:lang w:val="fr-FR"/>
        </w:rPr>
        <w:t>S</w:t>
      </w:r>
      <w:r w:rsidR="0039277D" w:rsidRPr="0039277D">
        <w:rPr>
          <w:lang w:val="fr-FR"/>
        </w:rPr>
        <w:t>’</w:t>
      </w:r>
      <w:r w:rsidRPr="0039277D">
        <w:rPr>
          <w:lang w:val="fr-FR"/>
        </w:rPr>
        <w:t>agissant de la liste des sujets sur lesquels un avis du Sous-Comité était demandé (sect</w:t>
      </w:r>
      <w:r w:rsidR="00C90015">
        <w:rPr>
          <w:lang w:val="fr-FR"/>
        </w:rPr>
        <w:t>.</w:t>
      </w:r>
      <w:r w:rsidRPr="0039277D">
        <w:rPr>
          <w:lang w:val="fr-FR"/>
        </w:rPr>
        <w:t> C du rapport), le Sous-Comité a estimé qu</w:t>
      </w:r>
      <w:r w:rsidR="0039277D" w:rsidRPr="0039277D">
        <w:rPr>
          <w:lang w:val="fr-FR"/>
        </w:rPr>
        <w:t>’</w:t>
      </w:r>
      <w:r w:rsidRPr="0039277D">
        <w:rPr>
          <w:lang w:val="fr-FR"/>
        </w:rPr>
        <w:t>ils ne devraient être débattus que sur la base de propositions concrètes, certaines ayant d</w:t>
      </w:r>
      <w:r w:rsidR="0039277D" w:rsidRPr="0039277D">
        <w:rPr>
          <w:lang w:val="fr-FR"/>
        </w:rPr>
        <w:t>’</w:t>
      </w:r>
      <w:r w:rsidRPr="0039277D">
        <w:rPr>
          <w:lang w:val="fr-FR"/>
        </w:rPr>
        <w:t>ailleurs été présentées au titre du point 4 d) de l</w:t>
      </w:r>
      <w:r w:rsidR="0039277D" w:rsidRPr="0039277D">
        <w:rPr>
          <w:lang w:val="fr-FR"/>
        </w:rPr>
        <w:t>’</w:t>
      </w:r>
      <w:r w:rsidRPr="0039277D">
        <w:rPr>
          <w:lang w:val="fr-FR"/>
        </w:rPr>
        <w:t xml:space="preserve">ordre du jour. </w:t>
      </w:r>
    </w:p>
    <w:p w:rsidR="00D80597" w:rsidRPr="0039277D" w:rsidRDefault="00D80597" w:rsidP="001F071F">
      <w:pPr>
        <w:pStyle w:val="ParNoG"/>
        <w:rPr>
          <w:lang w:val="fr-FR"/>
        </w:rPr>
      </w:pPr>
      <w:r w:rsidRPr="0039277D">
        <w:rPr>
          <w:lang w:val="fr-FR"/>
        </w:rPr>
        <w:t>Le Sous-Comité ne s</w:t>
      </w:r>
      <w:r w:rsidR="0039277D" w:rsidRPr="0039277D">
        <w:rPr>
          <w:lang w:val="fr-FR"/>
        </w:rPr>
        <w:t>’</w:t>
      </w:r>
      <w:r w:rsidRPr="0039277D">
        <w:rPr>
          <w:lang w:val="fr-FR"/>
        </w:rPr>
        <w:t>est pas prononcé sur l</w:t>
      </w:r>
      <w:r w:rsidR="0039277D" w:rsidRPr="0039277D">
        <w:rPr>
          <w:lang w:val="fr-FR"/>
        </w:rPr>
        <w:t>’</w:t>
      </w:r>
      <w:r w:rsidRPr="0039277D">
        <w:rPr>
          <w:lang w:val="fr-FR"/>
        </w:rPr>
        <w:t>interprétation des alinéas a) et b) de la disposition spéciale 188 dans le cas d</w:t>
      </w:r>
      <w:r w:rsidR="0039277D" w:rsidRPr="0039277D">
        <w:rPr>
          <w:lang w:val="fr-FR"/>
        </w:rPr>
        <w:t>’</w:t>
      </w:r>
      <w:r w:rsidRPr="0039277D">
        <w:rPr>
          <w:lang w:val="fr-FR"/>
        </w:rPr>
        <w:t>une batterie contenant une ou plusieurs piles. Certains experts estimaient que dans ce cas seul l</w:t>
      </w:r>
      <w:r w:rsidR="0039277D" w:rsidRPr="0039277D">
        <w:rPr>
          <w:lang w:val="fr-FR"/>
        </w:rPr>
        <w:t>’</w:t>
      </w:r>
      <w:r w:rsidRPr="0039277D">
        <w:rPr>
          <w:lang w:val="fr-FR"/>
        </w:rPr>
        <w:t>alinéa b), concernant la batterie, était applicable, alors que d</w:t>
      </w:r>
      <w:r w:rsidR="0039277D" w:rsidRPr="0039277D">
        <w:rPr>
          <w:lang w:val="fr-FR"/>
        </w:rPr>
        <w:t>’</w:t>
      </w:r>
      <w:r w:rsidRPr="0039277D">
        <w:rPr>
          <w:lang w:val="fr-FR"/>
        </w:rPr>
        <w:t>autres estimaient que l</w:t>
      </w:r>
      <w:r w:rsidR="0039277D" w:rsidRPr="0039277D">
        <w:rPr>
          <w:lang w:val="fr-FR"/>
        </w:rPr>
        <w:t>’</w:t>
      </w:r>
      <w:r w:rsidRPr="0039277D">
        <w:rPr>
          <w:lang w:val="fr-FR"/>
        </w:rPr>
        <w:t>alinéa a) s</w:t>
      </w:r>
      <w:r w:rsidR="0039277D" w:rsidRPr="0039277D">
        <w:rPr>
          <w:lang w:val="fr-FR"/>
        </w:rPr>
        <w:t>’</w:t>
      </w:r>
      <w:r w:rsidRPr="0039277D">
        <w:rPr>
          <w:lang w:val="fr-FR"/>
        </w:rPr>
        <w:t>appliquait également aux piles contenues dans la batterie.</w:t>
      </w:r>
    </w:p>
    <w:p w:rsidR="00D80597" w:rsidRPr="0039277D" w:rsidRDefault="00D80597" w:rsidP="001F071F">
      <w:pPr>
        <w:pStyle w:val="ParNoG"/>
        <w:rPr>
          <w:lang w:val="fr-FR"/>
        </w:rPr>
      </w:pPr>
      <w:r w:rsidRPr="0039277D">
        <w:rPr>
          <w:lang w:val="fr-FR"/>
        </w:rPr>
        <w:t>Concernant le point 8, le Sous-Comité a approuvé en principe la liste des éléments des rapports d</w:t>
      </w:r>
      <w:r w:rsidR="0039277D" w:rsidRPr="0039277D">
        <w:rPr>
          <w:lang w:val="fr-FR"/>
        </w:rPr>
        <w:t>’</w:t>
      </w:r>
      <w:r w:rsidRPr="0039277D">
        <w:rPr>
          <w:lang w:val="fr-FR"/>
        </w:rPr>
        <w:t xml:space="preserve">épreuve, mais une proposition officielle devait être soumise, accompagnée des amendements appropriés au </w:t>
      </w:r>
      <w:r w:rsidR="00D6104D">
        <w:rPr>
          <w:lang w:val="fr-FR"/>
        </w:rPr>
        <w:t xml:space="preserve">paragraphe </w:t>
      </w:r>
      <w:r w:rsidRPr="0039277D">
        <w:rPr>
          <w:lang w:val="fr-FR"/>
        </w:rPr>
        <w:t>2.9.4 énonçant les prescriptions relatives aux rapports d</w:t>
      </w:r>
      <w:r w:rsidR="0039277D" w:rsidRPr="0039277D">
        <w:rPr>
          <w:lang w:val="fr-FR"/>
        </w:rPr>
        <w:t>’</w:t>
      </w:r>
      <w:r w:rsidRPr="0039277D">
        <w:rPr>
          <w:lang w:val="fr-FR"/>
        </w:rPr>
        <w:t>épreuve. L</w:t>
      </w:r>
      <w:r w:rsidR="0039277D" w:rsidRPr="0039277D">
        <w:rPr>
          <w:lang w:val="fr-FR"/>
        </w:rPr>
        <w:t>’</w:t>
      </w:r>
      <w:r w:rsidRPr="0039277D">
        <w:rPr>
          <w:lang w:val="fr-FR"/>
        </w:rPr>
        <w:t>expert de la France a déclaré qu</w:t>
      </w:r>
      <w:r w:rsidR="0039277D" w:rsidRPr="0039277D">
        <w:rPr>
          <w:lang w:val="fr-FR"/>
        </w:rPr>
        <w:t>’</w:t>
      </w:r>
      <w:r w:rsidRPr="0039277D">
        <w:rPr>
          <w:lang w:val="fr-FR"/>
        </w:rPr>
        <w:t>il soumettrait une proposition dans ce sens.</w:t>
      </w:r>
    </w:p>
    <w:p w:rsidR="00D80597" w:rsidRPr="0039277D" w:rsidRDefault="00D80597" w:rsidP="001F071F">
      <w:pPr>
        <w:pStyle w:val="ParNoG"/>
        <w:rPr>
          <w:lang w:val="fr-FR"/>
        </w:rPr>
      </w:pPr>
      <w:r w:rsidRPr="0039277D">
        <w:rPr>
          <w:lang w:val="fr-FR"/>
        </w:rPr>
        <w:t>S</w:t>
      </w:r>
      <w:r w:rsidR="0039277D" w:rsidRPr="0039277D">
        <w:rPr>
          <w:lang w:val="fr-FR"/>
        </w:rPr>
        <w:t>’</w:t>
      </w:r>
      <w:r w:rsidRPr="0039277D">
        <w:rPr>
          <w:lang w:val="fr-FR"/>
        </w:rPr>
        <w:t>agissant de la première proposition, le Sous-Comité a adopté la modification au paragraphe 2.9.</w:t>
      </w:r>
      <w:r w:rsidR="00642433">
        <w:rPr>
          <w:lang w:val="fr-FR"/>
        </w:rPr>
        <w:t>4 </w:t>
      </w:r>
      <w:r w:rsidRPr="0039277D">
        <w:rPr>
          <w:lang w:val="fr-FR"/>
        </w:rPr>
        <w:t>f) proposée dans le document informel INF.63 (voir annexe II).</w:t>
      </w:r>
    </w:p>
    <w:p w:rsidR="00D80597" w:rsidRPr="0039277D" w:rsidRDefault="00D80597" w:rsidP="001F071F">
      <w:pPr>
        <w:pStyle w:val="ParNoG"/>
        <w:rPr>
          <w:lang w:val="fr-FR"/>
        </w:rPr>
      </w:pPr>
      <w:r w:rsidRPr="0039277D">
        <w:rPr>
          <w:lang w:val="fr-FR"/>
        </w:rPr>
        <w:t>S</w:t>
      </w:r>
      <w:r w:rsidR="0039277D" w:rsidRPr="0039277D">
        <w:rPr>
          <w:lang w:val="fr-FR"/>
        </w:rPr>
        <w:t>’</w:t>
      </w:r>
      <w:r w:rsidRPr="0039277D">
        <w:rPr>
          <w:lang w:val="fr-FR"/>
        </w:rPr>
        <w:t>agissant de la quatrième proposition, certains experts ont demandé ce qui justifiait de passer de 50 cycles à 25 cycles dans les épreuves prévues aux alinéas c), d) et e) du paragraphe 38.3.3, et l</w:t>
      </w:r>
      <w:r w:rsidR="0039277D" w:rsidRPr="0039277D">
        <w:rPr>
          <w:lang w:val="fr-FR"/>
        </w:rPr>
        <w:t>’</w:t>
      </w:r>
      <w:r w:rsidRPr="0039277D">
        <w:rPr>
          <w:lang w:val="fr-FR"/>
        </w:rPr>
        <w:t>explication a été fournie par le représentant de RECHARGE sur la base du document informel INF.64. Suite à cette explication, la proposition a été adoptée (voir annexe I). Cette décision entraînerait des amendements de conséquence aux tableaux 38.3.2 et 38.3.3 figurant dans le document informel INF.70, qui ont été adoptés au titre de la proposition 3 (voir annexe I).</w:t>
      </w:r>
    </w:p>
    <w:p w:rsidR="00D80597" w:rsidRPr="0039277D" w:rsidRDefault="00D80597" w:rsidP="00E12FEC">
      <w:pPr>
        <w:pStyle w:val="H23G"/>
        <w:rPr>
          <w:lang w:val="fr-FR"/>
        </w:rPr>
      </w:pPr>
      <w:r w:rsidRPr="0039277D">
        <w:rPr>
          <w:lang w:val="fr-FR"/>
        </w:rPr>
        <w:tab/>
        <w:t>2.</w:t>
      </w:r>
      <w:r w:rsidRPr="0039277D">
        <w:rPr>
          <w:lang w:val="fr-FR"/>
        </w:rPr>
        <w:tab/>
        <w:t xml:space="preserve">Diagrammes de décision pour les épreuves des batteries au lithium conformément </w:t>
      </w:r>
      <w:r w:rsidRPr="0039277D">
        <w:rPr>
          <w:lang w:val="fr-FR"/>
        </w:rPr>
        <w:br/>
        <w:t>à la section 38.3 du Manuel d</w:t>
      </w:r>
      <w:r w:rsidR="0039277D" w:rsidRPr="0039277D">
        <w:rPr>
          <w:lang w:val="fr-FR"/>
        </w:rPr>
        <w:t>’</w:t>
      </w:r>
      <w:r w:rsidRPr="0039277D">
        <w:rPr>
          <w:lang w:val="fr-FR"/>
        </w:rPr>
        <w:t>épreuves et de critères</w:t>
      </w:r>
    </w:p>
    <w:p w:rsidR="00D80597" w:rsidRPr="0039277D" w:rsidRDefault="00D80597" w:rsidP="00855C98">
      <w:pPr>
        <w:keepNext/>
        <w:spacing w:after="120"/>
        <w:ind w:left="3119" w:hanging="1985"/>
        <w:rPr>
          <w:lang w:val="fr-FR"/>
        </w:rPr>
      </w:pPr>
      <w:r w:rsidRPr="0039277D">
        <w:rPr>
          <w:i/>
          <w:lang w:val="fr-FR"/>
        </w:rPr>
        <w:t>Document informel</w:t>
      </w:r>
      <w:r w:rsidR="0066043C">
        <w:rPr>
          <w:lang w:val="fr-FR"/>
        </w:rPr>
        <w:t> :</w:t>
      </w:r>
      <w:r w:rsidR="0066043C">
        <w:rPr>
          <w:lang w:val="fr-FR"/>
        </w:rPr>
        <w:tab/>
      </w:r>
      <w:r w:rsidRPr="0039277D">
        <w:rPr>
          <w:lang w:val="fr-FR"/>
        </w:rPr>
        <w:t>INF.55 (PRB</w:t>
      </w:r>
      <w:r w:rsidR="00D6104D">
        <w:rPr>
          <w:lang w:val="fr-FR"/>
        </w:rPr>
        <w:t>A</w:t>
      </w:r>
      <w:r w:rsidRPr="0039277D">
        <w:rPr>
          <w:lang w:val="fr-FR"/>
        </w:rPr>
        <w:t>, RECHARGE).</w:t>
      </w:r>
    </w:p>
    <w:p w:rsidR="00D80597" w:rsidRPr="0039277D" w:rsidRDefault="00D80597" w:rsidP="001F071F">
      <w:pPr>
        <w:pStyle w:val="ParNoG"/>
        <w:rPr>
          <w:lang w:val="fr-FR"/>
        </w:rPr>
      </w:pPr>
      <w:r w:rsidRPr="0039277D">
        <w:rPr>
          <w:lang w:val="fr-FR"/>
        </w:rPr>
        <w:t>Le Sous-Comité est convenu que l</w:t>
      </w:r>
      <w:r w:rsidR="0039277D" w:rsidRPr="0039277D">
        <w:rPr>
          <w:lang w:val="fr-FR"/>
        </w:rPr>
        <w:t>’</w:t>
      </w:r>
      <w:r w:rsidRPr="0039277D">
        <w:rPr>
          <w:lang w:val="fr-FR"/>
        </w:rPr>
        <w:t>introduction de diagrammes dans le Manuel d</w:t>
      </w:r>
      <w:r w:rsidR="0039277D" w:rsidRPr="0039277D">
        <w:rPr>
          <w:lang w:val="fr-FR"/>
        </w:rPr>
        <w:t>’</w:t>
      </w:r>
      <w:r w:rsidRPr="0039277D">
        <w:rPr>
          <w:lang w:val="fr-FR"/>
        </w:rPr>
        <w:t>épreuves et de critères faciliterait la compréhension des procédures d</w:t>
      </w:r>
      <w:r w:rsidR="0039277D" w:rsidRPr="0039277D">
        <w:rPr>
          <w:lang w:val="fr-FR"/>
        </w:rPr>
        <w:t>’</w:t>
      </w:r>
      <w:r w:rsidRPr="0039277D">
        <w:rPr>
          <w:lang w:val="fr-FR"/>
        </w:rPr>
        <w:t>essai et a invité la PRBA et RECHARGE à soumettre une proposition officielle à sa session suivante.</w:t>
      </w:r>
    </w:p>
    <w:p w:rsidR="00D80597" w:rsidRPr="0039277D" w:rsidRDefault="00D80597" w:rsidP="001F071F">
      <w:pPr>
        <w:pStyle w:val="H23G"/>
        <w:rPr>
          <w:lang w:val="fr-FR"/>
        </w:rPr>
      </w:pPr>
      <w:r w:rsidRPr="0039277D">
        <w:rPr>
          <w:lang w:val="fr-FR"/>
        </w:rPr>
        <w:tab/>
        <w:t>3.</w:t>
      </w:r>
      <w:r w:rsidRPr="0039277D">
        <w:rPr>
          <w:lang w:val="fr-FR"/>
        </w:rPr>
        <w:tab/>
        <w:t xml:space="preserve">Activation du mécanisme de protection des piles ou batteries au lithium </w:t>
      </w:r>
      <w:r w:rsidRPr="0039277D">
        <w:rPr>
          <w:lang w:val="fr-FR"/>
        </w:rPr>
        <w:br/>
        <w:t>et critère de perte de tension pour l</w:t>
      </w:r>
      <w:r w:rsidR="0039277D" w:rsidRPr="0039277D">
        <w:rPr>
          <w:lang w:val="fr-FR"/>
        </w:rPr>
        <w:t>’</w:t>
      </w:r>
      <w:r w:rsidRPr="0039277D">
        <w:rPr>
          <w:lang w:val="fr-FR"/>
        </w:rPr>
        <w:t xml:space="preserve">épreuve thermique T.2 de la section 38.3 </w:t>
      </w:r>
      <w:r w:rsidRPr="0039277D">
        <w:rPr>
          <w:lang w:val="fr-FR"/>
        </w:rPr>
        <w:br/>
        <w:t>du Manuel d</w:t>
      </w:r>
      <w:r w:rsidR="0039277D" w:rsidRPr="0039277D">
        <w:rPr>
          <w:lang w:val="fr-FR"/>
        </w:rPr>
        <w:t>’</w:t>
      </w:r>
      <w:r w:rsidRPr="0039277D">
        <w:rPr>
          <w:lang w:val="fr-FR"/>
        </w:rPr>
        <w:t>épreuves et de critères</w:t>
      </w:r>
    </w:p>
    <w:p w:rsidR="00D80597" w:rsidRPr="0039277D" w:rsidRDefault="00D80597" w:rsidP="00855C98">
      <w:pPr>
        <w:keepNext/>
        <w:spacing w:after="120"/>
        <w:ind w:left="3119" w:hanging="1985"/>
        <w:rPr>
          <w:lang w:val="fr-FR"/>
        </w:rPr>
      </w:pPr>
      <w:r w:rsidRPr="0039277D">
        <w:rPr>
          <w:i/>
          <w:lang w:val="fr-FR"/>
        </w:rPr>
        <w:t>Document informel</w:t>
      </w:r>
      <w:r w:rsidR="0066043C">
        <w:rPr>
          <w:lang w:val="fr-FR"/>
        </w:rPr>
        <w:t> :</w:t>
      </w:r>
      <w:r w:rsidR="0066043C">
        <w:rPr>
          <w:lang w:val="fr-FR"/>
        </w:rPr>
        <w:tab/>
      </w:r>
      <w:r w:rsidRPr="0039277D">
        <w:rPr>
          <w:lang w:val="fr-FR"/>
        </w:rPr>
        <w:t>INF.56 (PRBA, RECHARGE).</w:t>
      </w:r>
    </w:p>
    <w:p w:rsidR="00D80597" w:rsidRPr="0039277D" w:rsidRDefault="00D80597" w:rsidP="001F071F">
      <w:pPr>
        <w:pStyle w:val="ParNoG"/>
        <w:rPr>
          <w:lang w:val="fr-FR"/>
        </w:rPr>
      </w:pPr>
      <w:r w:rsidRPr="0039277D">
        <w:rPr>
          <w:lang w:val="fr-FR"/>
        </w:rPr>
        <w:t xml:space="preserve">La PRBA et RECHARGE ont été invités à soumettre une proposition officielle à la session suivante. </w:t>
      </w:r>
    </w:p>
    <w:p w:rsidR="00D80597" w:rsidRPr="0039277D" w:rsidRDefault="00D80597" w:rsidP="00E12FEC">
      <w:pPr>
        <w:pStyle w:val="H1G"/>
        <w:rPr>
          <w:lang w:val="fr-FR"/>
        </w:rPr>
      </w:pPr>
      <w:r w:rsidRPr="0039277D">
        <w:rPr>
          <w:lang w:val="fr-FR"/>
        </w:rPr>
        <w:tab/>
        <w:t>B.</w:t>
      </w:r>
      <w:r w:rsidRPr="0039277D">
        <w:rPr>
          <w:lang w:val="fr-FR"/>
        </w:rPr>
        <w:tab/>
        <w:t>Grandes batteries</w:t>
      </w:r>
    </w:p>
    <w:p w:rsidR="00D80597" w:rsidRPr="0039277D" w:rsidRDefault="00D80597" w:rsidP="001F071F">
      <w:pPr>
        <w:pStyle w:val="ParNoG"/>
        <w:rPr>
          <w:lang w:val="fr-FR"/>
        </w:rPr>
      </w:pPr>
      <w:r w:rsidRPr="0039277D">
        <w:rPr>
          <w:lang w:val="fr-FR"/>
        </w:rPr>
        <w:t>Aucun document n</w:t>
      </w:r>
      <w:r w:rsidR="0039277D" w:rsidRPr="0039277D">
        <w:rPr>
          <w:lang w:val="fr-FR"/>
        </w:rPr>
        <w:t>’</w:t>
      </w:r>
      <w:r w:rsidRPr="0039277D">
        <w:rPr>
          <w:lang w:val="fr-FR"/>
        </w:rPr>
        <w:t>ayant été soumis au titre de ce point de l</w:t>
      </w:r>
      <w:r w:rsidR="0039277D" w:rsidRPr="0039277D">
        <w:rPr>
          <w:lang w:val="fr-FR"/>
        </w:rPr>
        <w:t>’</w:t>
      </w:r>
      <w:r w:rsidRPr="0039277D">
        <w:rPr>
          <w:lang w:val="fr-FR"/>
        </w:rPr>
        <w:t xml:space="preserve">ordre du jour, les seules questions concernant les grandes batteries ont été </w:t>
      </w:r>
      <w:r w:rsidR="00642433">
        <w:rPr>
          <w:lang w:val="fr-FR"/>
        </w:rPr>
        <w:t>examinées au titre des points 4 </w:t>
      </w:r>
      <w:r w:rsidRPr="0039277D">
        <w:rPr>
          <w:lang w:val="fr-FR"/>
        </w:rPr>
        <w:t>a) et 4</w:t>
      </w:r>
      <w:r w:rsidR="00642433">
        <w:rPr>
          <w:lang w:val="fr-FR"/>
        </w:rPr>
        <w:t> </w:t>
      </w:r>
      <w:r w:rsidRPr="0039277D">
        <w:rPr>
          <w:lang w:val="fr-FR"/>
        </w:rPr>
        <w:t>d) de l</w:t>
      </w:r>
      <w:r w:rsidR="0039277D" w:rsidRPr="0039277D">
        <w:rPr>
          <w:lang w:val="fr-FR"/>
        </w:rPr>
        <w:t>’</w:t>
      </w:r>
      <w:r w:rsidRPr="0039277D">
        <w:rPr>
          <w:lang w:val="fr-FR"/>
        </w:rPr>
        <w:t>ordre du jour.</w:t>
      </w:r>
    </w:p>
    <w:p w:rsidR="00D80597" w:rsidRPr="0039277D" w:rsidRDefault="00D80597" w:rsidP="00E12FEC">
      <w:pPr>
        <w:pStyle w:val="H1G"/>
        <w:rPr>
          <w:lang w:val="fr-FR"/>
        </w:rPr>
      </w:pPr>
      <w:r w:rsidRPr="0039277D">
        <w:rPr>
          <w:lang w:val="fr-FR"/>
        </w:rPr>
        <w:tab/>
        <w:t>C.</w:t>
      </w:r>
      <w:r w:rsidRPr="0039277D">
        <w:rPr>
          <w:lang w:val="fr-FR"/>
        </w:rPr>
        <w:tab/>
        <w:t>Piles thermiques</w:t>
      </w:r>
    </w:p>
    <w:p w:rsidR="00D80597" w:rsidRPr="0039277D" w:rsidRDefault="00D80597" w:rsidP="001F071F">
      <w:pPr>
        <w:pStyle w:val="ParNoG"/>
        <w:rPr>
          <w:lang w:val="fr-FR"/>
        </w:rPr>
      </w:pPr>
      <w:r w:rsidRPr="0039277D">
        <w:rPr>
          <w:lang w:val="fr-FR"/>
        </w:rPr>
        <w:t>Aucun document n</w:t>
      </w:r>
      <w:r w:rsidR="0039277D" w:rsidRPr="0039277D">
        <w:rPr>
          <w:lang w:val="fr-FR"/>
        </w:rPr>
        <w:t>’</w:t>
      </w:r>
      <w:r w:rsidRPr="0039277D">
        <w:rPr>
          <w:lang w:val="fr-FR"/>
        </w:rPr>
        <w:t>ayant été soumis au titre de ce point de l</w:t>
      </w:r>
      <w:r w:rsidR="0039277D" w:rsidRPr="0039277D">
        <w:rPr>
          <w:lang w:val="fr-FR"/>
        </w:rPr>
        <w:t>’</w:t>
      </w:r>
      <w:r w:rsidRPr="0039277D">
        <w:rPr>
          <w:lang w:val="fr-FR"/>
        </w:rPr>
        <w:t>ordre du jour, la question n</w:t>
      </w:r>
      <w:r w:rsidR="0039277D" w:rsidRPr="0039277D">
        <w:rPr>
          <w:lang w:val="fr-FR"/>
        </w:rPr>
        <w:t>’</w:t>
      </w:r>
      <w:r w:rsidRPr="0039277D">
        <w:rPr>
          <w:lang w:val="fr-FR"/>
        </w:rPr>
        <w:t>a pas été examinée.</w:t>
      </w:r>
    </w:p>
    <w:p w:rsidR="00D80597" w:rsidRPr="0039277D" w:rsidRDefault="00D80597" w:rsidP="00E12FEC">
      <w:pPr>
        <w:pStyle w:val="H1G"/>
        <w:rPr>
          <w:lang w:val="fr-FR"/>
        </w:rPr>
      </w:pPr>
      <w:r w:rsidRPr="0039277D">
        <w:rPr>
          <w:lang w:val="fr-FR"/>
        </w:rPr>
        <w:tab/>
        <w:t>D.</w:t>
      </w:r>
      <w:r w:rsidRPr="0039277D">
        <w:rPr>
          <w:lang w:val="fr-FR"/>
        </w:rPr>
        <w:tab/>
        <w:t>Divers</w:t>
      </w:r>
    </w:p>
    <w:p w:rsidR="00D80597" w:rsidRPr="0039277D" w:rsidRDefault="00D80597" w:rsidP="00E12FEC">
      <w:pPr>
        <w:pStyle w:val="H23G"/>
        <w:rPr>
          <w:lang w:val="fr-FR"/>
        </w:rPr>
      </w:pPr>
      <w:r w:rsidRPr="0039277D">
        <w:rPr>
          <w:lang w:val="fr-FR"/>
        </w:rPr>
        <w:tab/>
        <w:t>1.</w:t>
      </w:r>
      <w:r w:rsidRPr="0039277D">
        <w:rPr>
          <w:lang w:val="fr-FR"/>
        </w:rPr>
        <w:tab/>
        <w:t>Nouveau numéro ONU pour les piles rechargeables au lithium métal polymère</w:t>
      </w:r>
    </w:p>
    <w:p w:rsidR="00D80597" w:rsidRPr="0039277D" w:rsidRDefault="007B23D1" w:rsidP="00855C98">
      <w:pPr>
        <w:keepNext/>
        <w:spacing w:after="120"/>
        <w:ind w:left="3119" w:hanging="1985"/>
        <w:rPr>
          <w:lang w:val="fr-FR"/>
        </w:rPr>
      </w:pPr>
      <w:r w:rsidRPr="0039277D">
        <w:rPr>
          <w:i/>
          <w:iCs/>
          <w:lang w:val="fr-FR"/>
        </w:rPr>
        <w:t>Document</w:t>
      </w:r>
      <w:r>
        <w:rPr>
          <w:lang w:val="fr-FR"/>
        </w:rPr>
        <w:t> :</w:t>
      </w:r>
      <w:r>
        <w:rPr>
          <w:lang w:val="fr-FR"/>
        </w:rPr>
        <w:tab/>
      </w:r>
      <w:r w:rsidRPr="0039277D">
        <w:rPr>
          <w:lang w:val="fr-FR"/>
        </w:rPr>
        <w:t>ST</w:t>
      </w:r>
      <w:r w:rsidR="00D80597" w:rsidRPr="0039277D">
        <w:rPr>
          <w:lang w:val="fr-FR"/>
        </w:rPr>
        <w:t>/SG/AC.10/C.3/2016/33 (RECHARGE et PRBA).</w:t>
      </w:r>
    </w:p>
    <w:p w:rsidR="00D80597" w:rsidRPr="0039277D" w:rsidRDefault="00D80597" w:rsidP="00855C98">
      <w:pPr>
        <w:keepNext/>
        <w:spacing w:after="120"/>
        <w:ind w:left="3119" w:hanging="1985"/>
        <w:rPr>
          <w:lang w:val="fr-FR"/>
        </w:rPr>
      </w:pPr>
      <w:r w:rsidRPr="0039277D">
        <w:rPr>
          <w:i/>
          <w:iCs/>
          <w:lang w:val="fr-FR"/>
        </w:rPr>
        <w:t>Document informel</w:t>
      </w:r>
      <w:r w:rsidR="0066043C">
        <w:rPr>
          <w:i/>
          <w:iCs/>
          <w:lang w:val="fr-FR"/>
        </w:rPr>
        <w:t> </w:t>
      </w:r>
      <w:r w:rsidR="0066043C" w:rsidRPr="007B23D1">
        <w:rPr>
          <w:iCs/>
          <w:lang w:val="fr-FR"/>
        </w:rPr>
        <w:t>:</w:t>
      </w:r>
      <w:r w:rsidR="0066043C">
        <w:rPr>
          <w:i/>
          <w:iCs/>
          <w:lang w:val="fr-FR"/>
        </w:rPr>
        <w:tab/>
      </w:r>
      <w:r w:rsidRPr="0039277D">
        <w:rPr>
          <w:lang w:val="fr-FR"/>
        </w:rPr>
        <w:t>INF.32 (RECHARGE et PRBA).</w:t>
      </w:r>
    </w:p>
    <w:p w:rsidR="00D80597" w:rsidRPr="0039277D" w:rsidRDefault="00D80597" w:rsidP="001F071F">
      <w:pPr>
        <w:pStyle w:val="ParNoG"/>
        <w:rPr>
          <w:lang w:val="fr-FR"/>
        </w:rPr>
      </w:pPr>
      <w:r w:rsidRPr="0039277D">
        <w:rPr>
          <w:lang w:val="fr-FR"/>
        </w:rPr>
        <w:t>Les avis étaient partagés sur cette proposition. Certains experts appuyaient la création de nouveaux numéros ONU prescrivant des conditions de transport similaires à celles prévues pour les piles au lithium ionique, car ces batteries étaient appelées à être produites en grandes quantités et bénéficieraient d</w:t>
      </w:r>
      <w:r w:rsidR="0039277D" w:rsidRPr="0039277D">
        <w:rPr>
          <w:lang w:val="fr-FR"/>
        </w:rPr>
        <w:t>’</w:t>
      </w:r>
      <w:r w:rsidRPr="0039277D">
        <w:rPr>
          <w:lang w:val="fr-FR"/>
        </w:rPr>
        <w:t>avancées techniques qui les rendraient plus sûres. D</w:t>
      </w:r>
      <w:r w:rsidR="0039277D" w:rsidRPr="0039277D">
        <w:rPr>
          <w:lang w:val="fr-FR"/>
        </w:rPr>
        <w:t>’</w:t>
      </w:r>
      <w:r w:rsidRPr="0039277D">
        <w:rPr>
          <w:lang w:val="fr-FR"/>
        </w:rPr>
        <w:t>autres experts estimaient qu</w:t>
      </w:r>
      <w:r w:rsidR="0039277D" w:rsidRPr="0039277D">
        <w:rPr>
          <w:lang w:val="fr-FR"/>
        </w:rPr>
        <w:t>’</w:t>
      </w:r>
      <w:r w:rsidRPr="0039277D">
        <w:rPr>
          <w:lang w:val="fr-FR"/>
        </w:rPr>
        <w:t>il s</w:t>
      </w:r>
      <w:r w:rsidR="0039277D" w:rsidRPr="0039277D">
        <w:rPr>
          <w:lang w:val="fr-FR"/>
        </w:rPr>
        <w:t>’</w:t>
      </w:r>
      <w:r w:rsidRPr="0039277D">
        <w:rPr>
          <w:lang w:val="fr-FR"/>
        </w:rPr>
        <w:t>agissait de batteries au lithium métal et qu</w:t>
      </w:r>
      <w:r w:rsidR="0039277D" w:rsidRPr="0039277D">
        <w:rPr>
          <w:lang w:val="fr-FR"/>
        </w:rPr>
        <w:t>’</w:t>
      </w:r>
      <w:r w:rsidRPr="0039277D">
        <w:rPr>
          <w:lang w:val="fr-FR"/>
        </w:rPr>
        <w:t>elles pouvaient donc être transportées sous les numéros ONU prévus pour celles-ci.</w:t>
      </w:r>
    </w:p>
    <w:p w:rsidR="00D80597" w:rsidRPr="0039277D" w:rsidRDefault="00D80597" w:rsidP="001F071F">
      <w:pPr>
        <w:pStyle w:val="ParNoG"/>
        <w:rPr>
          <w:lang w:val="fr-FR"/>
        </w:rPr>
      </w:pPr>
      <w:r w:rsidRPr="0039277D">
        <w:rPr>
          <w:lang w:val="fr-FR"/>
        </w:rPr>
        <w:t>Les représentants de RECHARGE et PRBA présenteraient un nouveau document à la session suivante.</w:t>
      </w:r>
    </w:p>
    <w:p w:rsidR="00D80597" w:rsidRPr="0039277D" w:rsidRDefault="00D80597" w:rsidP="00E12FEC">
      <w:pPr>
        <w:pStyle w:val="H23G"/>
        <w:rPr>
          <w:lang w:val="fr-FR"/>
        </w:rPr>
      </w:pPr>
      <w:r w:rsidRPr="0039277D">
        <w:rPr>
          <w:lang w:val="fr-FR"/>
        </w:rPr>
        <w:tab/>
        <w:t>2.</w:t>
      </w:r>
      <w:r w:rsidRPr="0039277D">
        <w:rPr>
          <w:lang w:val="fr-FR"/>
        </w:rPr>
        <w:tab/>
        <w:t xml:space="preserve">Interdiction de transporter des batteries au lithium ionique en tant que cargaison </w:t>
      </w:r>
      <w:r w:rsidRPr="0039277D">
        <w:rPr>
          <w:lang w:val="fr-FR"/>
        </w:rPr>
        <w:br/>
        <w:t>à bord des aéronefs de passagers et mesures d</w:t>
      </w:r>
      <w:r w:rsidR="0039277D" w:rsidRPr="0039277D">
        <w:rPr>
          <w:lang w:val="fr-FR"/>
        </w:rPr>
        <w:t>’</w:t>
      </w:r>
      <w:r w:rsidRPr="0039277D">
        <w:rPr>
          <w:lang w:val="fr-FR"/>
        </w:rPr>
        <w:t xml:space="preserve">atténuation supplémentaires </w:t>
      </w:r>
      <w:r w:rsidRPr="0039277D">
        <w:rPr>
          <w:lang w:val="fr-FR"/>
        </w:rPr>
        <w:br/>
        <w:t>pour les aéronefs-cargos</w:t>
      </w:r>
    </w:p>
    <w:p w:rsidR="00D80597" w:rsidRPr="0039277D" w:rsidRDefault="007B23D1" w:rsidP="00855C98">
      <w:pPr>
        <w:keepNext/>
        <w:spacing w:after="120"/>
        <w:ind w:left="3119" w:hanging="1985"/>
        <w:rPr>
          <w:lang w:val="fr-FR"/>
        </w:rPr>
      </w:pPr>
      <w:r w:rsidRPr="0039277D">
        <w:rPr>
          <w:i/>
          <w:iCs/>
          <w:lang w:val="fr-FR"/>
        </w:rPr>
        <w:t>Document</w:t>
      </w:r>
      <w:r>
        <w:rPr>
          <w:lang w:val="fr-FR"/>
        </w:rPr>
        <w:t> :</w:t>
      </w:r>
      <w:r>
        <w:rPr>
          <w:lang w:val="fr-FR"/>
        </w:rPr>
        <w:tab/>
      </w:r>
      <w:r w:rsidRPr="0039277D">
        <w:rPr>
          <w:lang w:val="fr-FR"/>
        </w:rPr>
        <w:t>ST</w:t>
      </w:r>
      <w:r w:rsidR="00D80597" w:rsidRPr="0039277D">
        <w:rPr>
          <w:lang w:val="fr-FR"/>
        </w:rPr>
        <w:t>/SG/AC.10/C.3/2016/39 (OACI).</w:t>
      </w:r>
    </w:p>
    <w:p w:rsidR="00D80597" w:rsidRPr="0039277D" w:rsidRDefault="00D80597" w:rsidP="001F071F">
      <w:pPr>
        <w:pStyle w:val="ParNoG"/>
        <w:rPr>
          <w:lang w:val="fr-FR"/>
        </w:rPr>
      </w:pPr>
      <w:r w:rsidRPr="0039277D">
        <w:rPr>
          <w:lang w:val="fr-FR"/>
        </w:rPr>
        <w:t>Le Sous-Comité a pris note des préoccupations de l</w:t>
      </w:r>
      <w:r w:rsidR="0039277D" w:rsidRPr="0039277D">
        <w:rPr>
          <w:lang w:val="fr-FR"/>
        </w:rPr>
        <w:t>’</w:t>
      </w:r>
      <w:r w:rsidRPr="0039277D">
        <w:rPr>
          <w:lang w:val="fr-FR"/>
        </w:rPr>
        <w:t>OACI tenant au fait que les systèmes de protection contre l</w:t>
      </w:r>
      <w:r w:rsidR="0039277D" w:rsidRPr="0039277D">
        <w:rPr>
          <w:lang w:val="fr-FR"/>
        </w:rPr>
        <w:t>’</w:t>
      </w:r>
      <w:r w:rsidRPr="0039277D">
        <w:rPr>
          <w:lang w:val="fr-FR"/>
        </w:rPr>
        <w:t>incendie à bord des aéronefs ne paraissaient pas en mesure d</w:t>
      </w:r>
      <w:r w:rsidR="0039277D" w:rsidRPr="0039277D">
        <w:rPr>
          <w:lang w:val="fr-FR"/>
        </w:rPr>
        <w:t>’</w:t>
      </w:r>
      <w:r w:rsidRPr="0039277D">
        <w:rPr>
          <w:lang w:val="fr-FR"/>
        </w:rPr>
        <w:t>éteindre des incendies qui impliqueraient des chargements de batteries au lithium. En conséquence, l</w:t>
      </w:r>
      <w:r w:rsidR="0039277D" w:rsidRPr="0039277D">
        <w:rPr>
          <w:lang w:val="fr-FR"/>
        </w:rPr>
        <w:t>’</w:t>
      </w:r>
      <w:r w:rsidRPr="0039277D">
        <w:rPr>
          <w:lang w:val="fr-FR"/>
        </w:rPr>
        <w:t>OACI a décidé de renforcer temporairement la réglementation en interdisant le transport des piles au lithium ionique à bord des aéronefs de passagers et en durcissant les règles applicables à bord des aéronefs-cargos.</w:t>
      </w:r>
    </w:p>
    <w:p w:rsidR="00D80597" w:rsidRPr="0039277D" w:rsidRDefault="00D80597" w:rsidP="001F071F">
      <w:pPr>
        <w:pStyle w:val="ParNoG"/>
        <w:rPr>
          <w:lang w:val="fr-FR"/>
        </w:rPr>
      </w:pPr>
      <w:r w:rsidRPr="0039277D">
        <w:rPr>
          <w:lang w:val="fr-FR"/>
        </w:rPr>
        <w:t>Cette décision a entraîné de longs débats, le Sous-Comité souhaitant aider l</w:t>
      </w:r>
      <w:r w:rsidR="0039277D" w:rsidRPr="0039277D">
        <w:rPr>
          <w:lang w:val="fr-FR"/>
        </w:rPr>
        <w:t>’</w:t>
      </w:r>
      <w:r w:rsidRPr="0039277D">
        <w:rPr>
          <w:lang w:val="fr-FR"/>
        </w:rPr>
        <w:t>OACI à trouver une solution à ces problèmes. Il a été relevé notamment qu</w:t>
      </w:r>
      <w:r w:rsidR="0039277D" w:rsidRPr="0039277D">
        <w:rPr>
          <w:lang w:val="fr-FR"/>
        </w:rPr>
        <w:t>’</w:t>
      </w:r>
      <w:r w:rsidRPr="0039277D">
        <w:rPr>
          <w:lang w:val="fr-FR"/>
        </w:rPr>
        <w:t>il était difficile de prédire le comportement des batteries au lithium en cas d</w:t>
      </w:r>
      <w:r w:rsidR="0039277D" w:rsidRPr="0039277D">
        <w:rPr>
          <w:lang w:val="fr-FR"/>
        </w:rPr>
        <w:t>’</w:t>
      </w:r>
      <w:r w:rsidRPr="0039277D">
        <w:rPr>
          <w:lang w:val="fr-FR"/>
        </w:rPr>
        <w:t>incendie uniquement sur la base du contenu en lithium ou de l</w:t>
      </w:r>
      <w:r w:rsidR="0039277D" w:rsidRPr="0039277D">
        <w:rPr>
          <w:lang w:val="fr-FR"/>
        </w:rPr>
        <w:t>’</w:t>
      </w:r>
      <w:r w:rsidRPr="0039277D">
        <w:rPr>
          <w:lang w:val="fr-FR"/>
        </w:rPr>
        <w:t>énergie nominale. Le comportement au feu des batteries dépendait en effet beaucoup de leur conception et de celle des colis, et il a été suggéré de réfléchir à l</w:t>
      </w:r>
      <w:r w:rsidR="0039277D" w:rsidRPr="0039277D">
        <w:rPr>
          <w:lang w:val="fr-FR"/>
        </w:rPr>
        <w:t>’</w:t>
      </w:r>
      <w:r w:rsidRPr="0039277D">
        <w:rPr>
          <w:lang w:val="fr-FR"/>
        </w:rPr>
        <w:t>établissement d</w:t>
      </w:r>
      <w:r w:rsidR="0039277D" w:rsidRPr="0039277D">
        <w:rPr>
          <w:lang w:val="fr-FR"/>
        </w:rPr>
        <w:t>’</w:t>
      </w:r>
      <w:r w:rsidRPr="0039277D">
        <w:rPr>
          <w:lang w:val="fr-FR"/>
        </w:rPr>
        <w:t>une typologie des piles et batteries. Suivant leur conception, il pouvait en effet se produire soit une simple inflammation, soit une émission importante de gaz chauds, soit une émission importante de gaz potentiellement toxiques, soit même une explosion. Une classification fondée sur des épreuves, comme dans le cas des objets de la classe 1, permettrait éventuellement de mieux cerner les dangers effectifs présentés par les différents types de piles suivant leur conception. L</w:t>
      </w:r>
      <w:r w:rsidR="0039277D" w:rsidRPr="0039277D">
        <w:rPr>
          <w:lang w:val="fr-FR"/>
        </w:rPr>
        <w:t>’</w:t>
      </w:r>
      <w:r w:rsidRPr="0039277D">
        <w:rPr>
          <w:lang w:val="fr-FR"/>
        </w:rPr>
        <w:t>expert de la France a déclaré qu</w:t>
      </w:r>
      <w:r w:rsidR="0039277D" w:rsidRPr="0039277D">
        <w:rPr>
          <w:lang w:val="fr-FR"/>
        </w:rPr>
        <w:t>’</w:t>
      </w:r>
      <w:r w:rsidRPr="0039277D">
        <w:rPr>
          <w:lang w:val="fr-FR"/>
        </w:rPr>
        <w:t>il présenterait au Sous-Comité une étude réalisée dans son pays sur cette question.</w:t>
      </w:r>
    </w:p>
    <w:p w:rsidR="00D80597" w:rsidRPr="0039277D" w:rsidRDefault="00D80597" w:rsidP="00E12FEC">
      <w:pPr>
        <w:pStyle w:val="H23G"/>
        <w:rPr>
          <w:lang w:val="fr-FR"/>
        </w:rPr>
      </w:pPr>
      <w:r w:rsidRPr="0039277D">
        <w:rPr>
          <w:lang w:val="fr-FR"/>
        </w:rPr>
        <w:tab/>
        <w:t>3.</w:t>
      </w:r>
      <w:r w:rsidRPr="0039277D">
        <w:rPr>
          <w:lang w:val="fr-FR"/>
        </w:rPr>
        <w:tab/>
        <w:t xml:space="preserve">Nouvelles rubriques pour les piles ou batteries au lithium employées </w:t>
      </w:r>
      <w:r w:rsidRPr="0039277D">
        <w:rPr>
          <w:lang w:val="fr-FR"/>
        </w:rPr>
        <w:br/>
        <w:t>dans des dispositifs médicaux</w:t>
      </w:r>
    </w:p>
    <w:p w:rsidR="00D80597" w:rsidRPr="0039277D" w:rsidRDefault="007B23D1" w:rsidP="00855C98">
      <w:pPr>
        <w:keepNext/>
        <w:spacing w:after="120"/>
        <w:ind w:left="3119" w:hanging="1985"/>
        <w:rPr>
          <w:lang w:val="fr-FR"/>
        </w:rPr>
      </w:pPr>
      <w:r w:rsidRPr="0039277D">
        <w:rPr>
          <w:i/>
          <w:iCs/>
          <w:lang w:val="fr-FR"/>
        </w:rPr>
        <w:t>Document</w:t>
      </w:r>
      <w:r>
        <w:rPr>
          <w:lang w:val="fr-FR"/>
        </w:rPr>
        <w:t> :</w:t>
      </w:r>
      <w:r>
        <w:rPr>
          <w:lang w:val="fr-FR"/>
        </w:rPr>
        <w:tab/>
      </w:r>
      <w:r w:rsidRPr="0039277D">
        <w:rPr>
          <w:lang w:val="fr-FR"/>
        </w:rPr>
        <w:t>ST</w:t>
      </w:r>
      <w:r w:rsidR="00D80597" w:rsidRPr="0039277D">
        <w:rPr>
          <w:lang w:val="fr-FR"/>
        </w:rPr>
        <w:t>/SG/AC.10/C.3/2016/42 (PRBA).</w:t>
      </w:r>
    </w:p>
    <w:p w:rsidR="00D80597" w:rsidRPr="0039277D" w:rsidRDefault="00D80597" w:rsidP="001F071F">
      <w:pPr>
        <w:pStyle w:val="ParNoG"/>
        <w:rPr>
          <w:lang w:val="fr-FR"/>
        </w:rPr>
      </w:pPr>
      <w:r w:rsidRPr="0039277D">
        <w:rPr>
          <w:lang w:val="fr-FR"/>
        </w:rPr>
        <w:t>Les débats ont montré que la plupart des experts étaient opposés à une classification basée sur l</w:t>
      </w:r>
      <w:r w:rsidR="0039277D" w:rsidRPr="0039277D">
        <w:rPr>
          <w:lang w:val="fr-FR"/>
        </w:rPr>
        <w:t>’</w:t>
      </w:r>
      <w:r w:rsidRPr="0039277D">
        <w:rPr>
          <w:lang w:val="fr-FR"/>
        </w:rPr>
        <w:t>usage final des piles et batteries, sachant que, dans le contexte du transport, rien ne permettait de déterminer à quel usage les piles et batteries étaient destinées. Ils estimaient que les mêmes règles devaient s</w:t>
      </w:r>
      <w:r w:rsidR="0039277D" w:rsidRPr="0039277D">
        <w:rPr>
          <w:lang w:val="fr-FR"/>
        </w:rPr>
        <w:t>’</w:t>
      </w:r>
      <w:r w:rsidRPr="0039277D">
        <w:rPr>
          <w:lang w:val="fr-FR"/>
        </w:rPr>
        <w:t>appliquer indépendamment de l</w:t>
      </w:r>
      <w:r w:rsidR="0039277D" w:rsidRPr="0039277D">
        <w:rPr>
          <w:lang w:val="fr-FR"/>
        </w:rPr>
        <w:t>’</w:t>
      </w:r>
      <w:r w:rsidRPr="0039277D">
        <w:rPr>
          <w:lang w:val="fr-FR"/>
        </w:rPr>
        <w:t>usage auquel un produit dangereux était destiné. Le représentant de la PRBA a retiré sa proposition.</w:t>
      </w:r>
    </w:p>
    <w:p w:rsidR="00D80597" w:rsidRPr="0039277D" w:rsidRDefault="00D80597" w:rsidP="00E12FEC">
      <w:pPr>
        <w:pStyle w:val="H23G"/>
        <w:rPr>
          <w:lang w:val="fr-FR"/>
        </w:rPr>
      </w:pPr>
      <w:r w:rsidRPr="0039277D">
        <w:rPr>
          <w:lang w:val="fr-FR"/>
        </w:rPr>
        <w:tab/>
        <w:t>4.</w:t>
      </w:r>
      <w:r w:rsidRPr="0039277D">
        <w:rPr>
          <w:lang w:val="fr-FR"/>
        </w:rPr>
        <w:tab/>
        <w:t>Précisions concernant l</w:t>
      </w:r>
      <w:r w:rsidR="0039277D" w:rsidRPr="0039277D">
        <w:rPr>
          <w:lang w:val="fr-FR"/>
        </w:rPr>
        <w:t>’</w:t>
      </w:r>
      <w:r w:rsidRPr="0039277D">
        <w:rPr>
          <w:lang w:val="fr-FR"/>
        </w:rPr>
        <w:t>expédition des colis de batteries au lithium préparés</w:t>
      </w:r>
      <w:r w:rsidRPr="0039277D">
        <w:rPr>
          <w:lang w:val="fr-FR"/>
        </w:rPr>
        <w:br/>
        <w:t>pour le transport conformément aux dispositions de la section IB des instructions d</w:t>
      </w:r>
      <w:r w:rsidR="0039277D" w:rsidRPr="0039277D">
        <w:rPr>
          <w:lang w:val="fr-FR"/>
        </w:rPr>
        <w:t>’</w:t>
      </w:r>
      <w:r w:rsidRPr="0039277D">
        <w:rPr>
          <w:lang w:val="fr-FR"/>
        </w:rPr>
        <w:t>emballage 965 ou 968 de l</w:t>
      </w:r>
      <w:r w:rsidR="0039277D" w:rsidRPr="0039277D">
        <w:rPr>
          <w:lang w:val="fr-FR"/>
        </w:rPr>
        <w:t>’</w:t>
      </w:r>
      <w:r w:rsidRPr="0039277D">
        <w:rPr>
          <w:lang w:val="fr-FR"/>
        </w:rPr>
        <w:t>OACI</w:t>
      </w:r>
    </w:p>
    <w:p w:rsidR="00D80597" w:rsidRPr="0039277D" w:rsidRDefault="007B23D1" w:rsidP="00855C98">
      <w:pPr>
        <w:keepNext/>
        <w:spacing w:after="120"/>
        <w:ind w:left="3119" w:hanging="1985"/>
        <w:rPr>
          <w:lang w:val="fr-FR"/>
        </w:rPr>
      </w:pPr>
      <w:r w:rsidRPr="0039277D">
        <w:rPr>
          <w:i/>
          <w:iCs/>
          <w:lang w:val="fr-FR"/>
        </w:rPr>
        <w:t>Document</w:t>
      </w:r>
      <w:r>
        <w:rPr>
          <w:lang w:val="fr-FR"/>
        </w:rPr>
        <w:t> :</w:t>
      </w:r>
      <w:r>
        <w:rPr>
          <w:lang w:val="fr-FR"/>
        </w:rPr>
        <w:tab/>
      </w:r>
      <w:r w:rsidRPr="0039277D">
        <w:rPr>
          <w:lang w:val="fr-FR"/>
        </w:rPr>
        <w:t>ST</w:t>
      </w:r>
      <w:r w:rsidR="00D80597" w:rsidRPr="0039277D">
        <w:rPr>
          <w:lang w:val="fr-FR"/>
        </w:rPr>
        <w:t>/SG/AC.10/C.3/2016/43 (PRBA).</w:t>
      </w:r>
    </w:p>
    <w:p w:rsidR="00D80597" w:rsidRPr="0039277D" w:rsidRDefault="00D80597" w:rsidP="001F071F">
      <w:pPr>
        <w:pStyle w:val="ParNoG"/>
        <w:rPr>
          <w:lang w:val="fr-FR"/>
        </w:rPr>
      </w:pPr>
      <w:r w:rsidRPr="0039277D">
        <w:rPr>
          <w:lang w:val="fr-FR"/>
        </w:rPr>
        <w:t>Le Sous-</w:t>
      </w:r>
      <w:r w:rsidR="00C90015" w:rsidRPr="0039277D">
        <w:rPr>
          <w:lang w:val="fr-FR"/>
        </w:rPr>
        <w:t>C</w:t>
      </w:r>
      <w:r w:rsidRPr="0039277D">
        <w:rPr>
          <w:lang w:val="fr-FR"/>
        </w:rPr>
        <w:t>omité a noté que, dans certains cas, les Instructions techniques de l</w:t>
      </w:r>
      <w:r w:rsidR="0039277D" w:rsidRPr="0039277D">
        <w:rPr>
          <w:lang w:val="fr-FR"/>
        </w:rPr>
        <w:t>’</w:t>
      </w:r>
      <w:r w:rsidRPr="0039277D">
        <w:rPr>
          <w:lang w:val="fr-FR"/>
        </w:rPr>
        <w:t>OACI exigeaient une étiquette de la classe 9, alors que le Règlement type et d</w:t>
      </w:r>
      <w:r w:rsidR="0039277D" w:rsidRPr="0039277D">
        <w:rPr>
          <w:lang w:val="fr-FR"/>
        </w:rPr>
        <w:t>’</w:t>
      </w:r>
      <w:r w:rsidRPr="0039277D">
        <w:rPr>
          <w:lang w:val="fr-FR"/>
        </w:rPr>
        <w:t>autres règlements modaux ne prescrivaient que la marque prévue pour les batteries au lithium. Cela posait des problèmes pratiques lorsque ces colis étaient pris en charge par des transporteurs terrestres ou maritimes pour un transport ultérieur.</w:t>
      </w:r>
    </w:p>
    <w:p w:rsidR="00D80597" w:rsidRPr="0039277D" w:rsidRDefault="00D80597" w:rsidP="001F071F">
      <w:pPr>
        <w:pStyle w:val="ParNoG"/>
        <w:rPr>
          <w:lang w:val="fr-FR"/>
        </w:rPr>
      </w:pPr>
      <w:r w:rsidRPr="0039277D">
        <w:rPr>
          <w:lang w:val="fr-FR"/>
        </w:rPr>
        <w:t>Certains experts n</w:t>
      </w:r>
      <w:r w:rsidR="0039277D" w:rsidRPr="0039277D">
        <w:rPr>
          <w:lang w:val="fr-FR"/>
        </w:rPr>
        <w:t>’</w:t>
      </w:r>
      <w:r w:rsidRPr="0039277D">
        <w:rPr>
          <w:lang w:val="fr-FR"/>
        </w:rPr>
        <w:t>étaient pas favorables à l</w:t>
      </w:r>
      <w:r w:rsidR="0039277D" w:rsidRPr="0039277D">
        <w:rPr>
          <w:lang w:val="fr-FR"/>
        </w:rPr>
        <w:t>’</w:t>
      </w:r>
      <w:r w:rsidRPr="0039277D">
        <w:rPr>
          <w:lang w:val="fr-FR"/>
        </w:rPr>
        <w:t>introduction d</w:t>
      </w:r>
      <w:r w:rsidR="0039277D" w:rsidRPr="0039277D">
        <w:rPr>
          <w:lang w:val="fr-FR"/>
        </w:rPr>
        <w:t>’</w:t>
      </w:r>
      <w:r w:rsidRPr="0039277D">
        <w:rPr>
          <w:lang w:val="fr-FR"/>
        </w:rPr>
        <w:t>une nouvelle référence aux Instructions techniques de l</w:t>
      </w:r>
      <w:r w:rsidR="0039277D" w:rsidRPr="0039277D">
        <w:rPr>
          <w:lang w:val="fr-FR"/>
        </w:rPr>
        <w:t>’</w:t>
      </w:r>
      <w:r w:rsidRPr="0039277D">
        <w:rPr>
          <w:lang w:val="fr-FR"/>
        </w:rPr>
        <w:t>OACI dans le Règlement type pour tenir compte d</w:t>
      </w:r>
      <w:r w:rsidR="0039277D" w:rsidRPr="0039277D">
        <w:rPr>
          <w:lang w:val="fr-FR"/>
        </w:rPr>
        <w:t>’</w:t>
      </w:r>
      <w:r w:rsidRPr="0039277D">
        <w:rPr>
          <w:lang w:val="fr-FR"/>
        </w:rPr>
        <w:t>une divergence d</w:t>
      </w:r>
      <w:r w:rsidR="0039277D" w:rsidRPr="0039277D">
        <w:rPr>
          <w:lang w:val="fr-FR"/>
        </w:rPr>
        <w:t>’</w:t>
      </w:r>
      <w:r w:rsidRPr="0039277D">
        <w:rPr>
          <w:lang w:val="fr-FR"/>
        </w:rPr>
        <w:t>avec les règles du transport aérien. Il a été souligné aussi que le problème ne se poserait pas en transport terrestre dans les pays appliquant le RID, l</w:t>
      </w:r>
      <w:r w:rsidR="0039277D" w:rsidRPr="0039277D">
        <w:rPr>
          <w:lang w:val="fr-FR"/>
        </w:rPr>
        <w:t>’</w:t>
      </w:r>
      <w:r w:rsidRPr="0039277D">
        <w:rPr>
          <w:lang w:val="fr-FR"/>
        </w:rPr>
        <w:t>ADR et l</w:t>
      </w:r>
      <w:r w:rsidR="0039277D" w:rsidRPr="0039277D">
        <w:rPr>
          <w:lang w:val="fr-FR"/>
        </w:rPr>
        <w:t>’</w:t>
      </w:r>
      <w:r w:rsidRPr="0039277D">
        <w:rPr>
          <w:lang w:val="fr-FR"/>
        </w:rPr>
        <w:t>ADN, étant donné que ces règlements comprenaient la section 1.1.4.2.</w:t>
      </w:r>
    </w:p>
    <w:p w:rsidR="00D80597" w:rsidRPr="0039277D" w:rsidRDefault="00D80597" w:rsidP="001F071F">
      <w:pPr>
        <w:pStyle w:val="ParNoG"/>
        <w:rPr>
          <w:lang w:val="fr-FR"/>
        </w:rPr>
      </w:pPr>
      <w:r w:rsidRPr="0039277D">
        <w:rPr>
          <w:lang w:val="fr-FR"/>
        </w:rPr>
        <w:t>La proposition d</w:t>
      </w:r>
      <w:r w:rsidR="0039277D" w:rsidRPr="0039277D">
        <w:rPr>
          <w:lang w:val="fr-FR"/>
        </w:rPr>
        <w:t>’</w:t>
      </w:r>
      <w:r w:rsidRPr="0039277D">
        <w:rPr>
          <w:lang w:val="fr-FR"/>
        </w:rPr>
        <w:t xml:space="preserve">ajouter un </w:t>
      </w:r>
      <w:r w:rsidRPr="0039277D">
        <w:rPr>
          <w:i/>
          <w:lang w:val="fr-FR"/>
        </w:rPr>
        <w:t>NOTA 2</w:t>
      </w:r>
      <w:r w:rsidRPr="0039277D">
        <w:rPr>
          <w:lang w:val="fr-FR"/>
        </w:rPr>
        <w:t xml:space="preserve"> à l</w:t>
      </w:r>
      <w:r w:rsidR="0039277D" w:rsidRPr="0039277D">
        <w:rPr>
          <w:lang w:val="fr-FR"/>
        </w:rPr>
        <w:t>’</w:t>
      </w:r>
      <w:r w:rsidRPr="0039277D">
        <w:rPr>
          <w:lang w:val="fr-FR"/>
        </w:rPr>
        <w:t>alinéa f) de la disposition spéciale 188 a été mise aux voix et adoptée (voir annexe II).</w:t>
      </w:r>
    </w:p>
    <w:p w:rsidR="00D80597" w:rsidRPr="0039277D" w:rsidRDefault="00D80597" w:rsidP="00E12FEC">
      <w:pPr>
        <w:pStyle w:val="H23G"/>
        <w:rPr>
          <w:lang w:val="fr-FR"/>
        </w:rPr>
      </w:pPr>
      <w:r w:rsidRPr="0039277D">
        <w:rPr>
          <w:lang w:val="fr-FR"/>
        </w:rPr>
        <w:tab/>
        <w:t>5.</w:t>
      </w:r>
      <w:r w:rsidRPr="0039277D">
        <w:rPr>
          <w:lang w:val="fr-FR"/>
        </w:rPr>
        <w:tab/>
        <w:t>Emballage des batteries au lithium endommagées ou défectueuses</w:t>
      </w:r>
    </w:p>
    <w:p w:rsidR="00D80597" w:rsidRPr="0039277D" w:rsidRDefault="00D80597" w:rsidP="00855C98">
      <w:pPr>
        <w:keepNext/>
        <w:spacing w:after="120"/>
        <w:ind w:left="3119" w:hanging="1985"/>
        <w:rPr>
          <w:lang w:val="fr-FR"/>
        </w:rPr>
      </w:pPr>
      <w:r w:rsidRPr="0039277D">
        <w:rPr>
          <w:i/>
          <w:iCs/>
          <w:lang w:val="fr-FR"/>
        </w:rPr>
        <w:t>Document</w:t>
      </w:r>
      <w:r w:rsidR="0066043C">
        <w:rPr>
          <w:lang w:val="fr-FR"/>
        </w:rPr>
        <w:t> :</w:t>
      </w:r>
      <w:r w:rsidR="0066043C">
        <w:rPr>
          <w:lang w:val="fr-FR"/>
        </w:rPr>
        <w:tab/>
        <w:t>S</w:t>
      </w:r>
      <w:r w:rsidRPr="0039277D">
        <w:rPr>
          <w:lang w:val="fr-FR"/>
        </w:rPr>
        <w:t>T/SG/AC.10/C.3/2016/44 (PRBA).</w:t>
      </w:r>
    </w:p>
    <w:p w:rsidR="00D80597" w:rsidRPr="0039277D" w:rsidRDefault="00D80597" w:rsidP="001F071F">
      <w:pPr>
        <w:pStyle w:val="ParNoG"/>
        <w:rPr>
          <w:lang w:val="fr-FR"/>
        </w:rPr>
      </w:pPr>
      <w:r w:rsidRPr="0039277D">
        <w:rPr>
          <w:lang w:val="fr-FR"/>
        </w:rPr>
        <w:t>La plupart des experts n</w:t>
      </w:r>
      <w:r w:rsidR="0039277D" w:rsidRPr="0039277D">
        <w:rPr>
          <w:lang w:val="fr-FR"/>
        </w:rPr>
        <w:t>’</w:t>
      </w:r>
      <w:r w:rsidRPr="0039277D">
        <w:rPr>
          <w:lang w:val="fr-FR"/>
        </w:rPr>
        <w:t>étaient pas favorables à la révision de la disposition spéciale 376 proposée par la PRBA, du moins telle que rédigée. Le Sous-Comité a pris note des problèmes d</w:t>
      </w:r>
      <w:r w:rsidR="0039277D" w:rsidRPr="0039277D">
        <w:rPr>
          <w:lang w:val="fr-FR"/>
        </w:rPr>
        <w:t>’</w:t>
      </w:r>
      <w:r w:rsidRPr="0039277D">
        <w:rPr>
          <w:lang w:val="fr-FR"/>
        </w:rPr>
        <w:t>interprétation posés par la référence au Manuel d</w:t>
      </w:r>
      <w:r w:rsidR="0039277D" w:rsidRPr="0039277D">
        <w:rPr>
          <w:lang w:val="fr-FR"/>
        </w:rPr>
        <w:t>’</w:t>
      </w:r>
      <w:r w:rsidRPr="0039277D">
        <w:rPr>
          <w:lang w:val="fr-FR"/>
        </w:rPr>
        <w:t>épreuves et de critères, mais cette référence n</w:t>
      </w:r>
      <w:r w:rsidR="0039277D" w:rsidRPr="0039277D">
        <w:rPr>
          <w:lang w:val="fr-FR"/>
        </w:rPr>
        <w:t>’</w:t>
      </w:r>
      <w:r w:rsidRPr="0039277D">
        <w:rPr>
          <w:lang w:val="fr-FR"/>
        </w:rPr>
        <w:t>impliquait pas que des épreuves devaient être obligatoirement effectuées sur les batteries endommagées pour vérifier si elles étaient toujours conformes au modèle type. Il s</w:t>
      </w:r>
      <w:r w:rsidR="0039277D" w:rsidRPr="0039277D">
        <w:rPr>
          <w:lang w:val="fr-FR"/>
        </w:rPr>
        <w:t>’</w:t>
      </w:r>
      <w:r w:rsidRPr="0039277D">
        <w:rPr>
          <w:lang w:val="fr-FR"/>
        </w:rPr>
        <w:t>agissait plutôt de consulter un expert compétent pour apprécier si les dommages aux piles ou batteries étaient susceptibles d</w:t>
      </w:r>
      <w:r w:rsidR="0039277D" w:rsidRPr="0039277D">
        <w:rPr>
          <w:lang w:val="fr-FR"/>
        </w:rPr>
        <w:t>’</w:t>
      </w:r>
      <w:r w:rsidRPr="0039277D">
        <w:rPr>
          <w:lang w:val="fr-FR"/>
        </w:rPr>
        <w:t>avoir détérioré les fonctions de sécurité garanties par les épreuves sur le modèle type. Le représentant de la PRBA soumettrait une nouvelle proposition tenant compte des débats.</w:t>
      </w:r>
    </w:p>
    <w:p w:rsidR="00D80597" w:rsidRPr="0039277D" w:rsidRDefault="00D80597" w:rsidP="001F071F">
      <w:pPr>
        <w:pStyle w:val="ParNoG"/>
        <w:rPr>
          <w:lang w:val="fr-FR"/>
        </w:rPr>
      </w:pPr>
      <w:r w:rsidRPr="0039277D">
        <w:rPr>
          <w:lang w:val="fr-FR"/>
        </w:rPr>
        <w:t>Concernant la disposition XXX proposée au paragraphe 5, le représentant de la PRBA a expliqué qu</w:t>
      </w:r>
      <w:r w:rsidR="0039277D" w:rsidRPr="0039277D">
        <w:rPr>
          <w:lang w:val="fr-FR"/>
        </w:rPr>
        <w:t>’</w:t>
      </w:r>
      <w:r w:rsidRPr="0039277D">
        <w:rPr>
          <w:lang w:val="fr-FR"/>
        </w:rPr>
        <w:t>il s</w:t>
      </w:r>
      <w:r w:rsidR="0039277D" w:rsidRPr="0039277D">
        <w:rPr>
          <w:lang w:val="fr-FR"/>
        </w:rPr>
        <w:t>’</w:t>
      </w:r>
      <w:r w:rsidRPr="0039277D">
        <w:rPr>
          <w:lang w:val="fr-FR"/>
        </w:rPr>
        <w:t>agissait surtout de régler les problèmes de renvoi, par le consommateur, de piles ou batteries défectueuses au vendeur, ou de collecte de piles endommagées ou usagées, car il existait des systèmes de collecte en Europe mais ce n</w:t>
      </w:r>
      <w:r w:rsidR="0039277D" w:rsidRPr="0039277D">
        <w:rPr>
          <w:lang w:val="fr-FR"/>
        </w:rPr>
        <w:t>’</w:t>
      </w:r>
      <w:r w:rsidRPr="0039277D">
        <w:rPr>
          <w:lang w:val="fr-FR"/>
        </w:rPr>
        <w:t>était pas le cas dans le reste du monde. Il a indiqué qu</w:t>
      </w:r>
      <w:r w:rsidR="0039277D" w:rsidRPr="0039277D">
        <w:rPr>
          <w:lang w:val="fr-FR"/>
        </w:rPr>
        <w:t>’</w:t>
      </w:r>
      <w:r w:rsidRPr="0039277D">
        <w:rPr>
          <w:lang w:val="fr-FR"/>
        </w:rPr>
        <w:t>il soumettrait une nouvelle proposition tenant compte des débats.</w:t>
      </w:r>
    </w:p>
    <w:p w:rsidR="00D80597" w:rsidRPr="0039277D" w:rsidRDefault="00D80597" w:rsidP="00E12FEC">
      <w:pPr>
        <w:pStyle w:val="H23G"/>
        <w:rPr>
          <w:lang w:val="fr-FR"/>
        </w:rPr>
      </w:pPr>
      <w:r w:rsidRPr="0039277D">
        <w:rPr>
          <w:lang w:val="fr-FR"/>
        </w:rPr>
        <w:tab/>
        <w:t>6.</w:t>
      </w:r>
      <w:r w:rsidRPr="0039277D">
        <w:rPr>
          <w:lang w:val="fr-FR"/>
        </w:rPr>
        <w:tab/>
        <w:t xml:space="preserve">Dispositions et exemptions applicables aux piles et batteries </w:t>
      </w:r>
      <w:r w:rsidRPr="0039277D">
        <w:rPr>
          <w:lang w:val="fr-FR"/>
        </w:rPr>
        <w:br/>
        <w:t>au lithium métal de type bouton</w:t>
      </w:r>
    </w:p>
    <w:p w:rsidR="00D80597" w:rsidRPr="0039277D" w:rsidRDefault="00D80597" w:rsidP="00855C98">
      <w:pPr>
        <w:keepNext/>
        <w:spacing w:after="120"/>
        <w:ind w:left="3119" w:hanging="1985"/>
        <w:rPr>
          <w:lang w:val="fr-FR"/>
        </w:rPr>
      </w:pPr>
      <w:r w:rsidRPr="0039277D">
        <w:rPr>
          <w:i/>
          <w:iCs/>
          <w:lang w:val="fr-FR"/>
        </w:rPr>
        <w:t>Document</w:t>
      </w:r>
      <w:r w:rsidR="0066043C">
        <w:rPr>
          <w:lang w:val="fr-FR"/>
        </w:rPr>
        <w:t> :</w:t>
      </w:r>
      <w:r w:rsidR="0066043C">
        <w:rPr>
          <w:lang w:val="fr-FR"/>
        </w:rPr>
        <w:tab/>
        <w:t>S</w:t>
      </w:r>
      <w:r w:rsidRPr="0039277D">
        <w:rPr>
          <w:lang w:val="fr-FR"/>
        </w:rPr>
        <w:t>T/SG/AC.10/C.3/2016/45 (PRBA).</w:t>
      </w:r>
    </w:p>
    <w:p w:rsidR="00D80597" w:rsidRPr="0039277D" w:rsidRDefault="00D80597" w:rsidP="001F071F">
      <w:pPr>
        <w:pStyle w:val="ParNoG"/>
        <w:rPr>
          <w:lang w:val="fr-FR"/>
        </w:rPr>
      </w:pPr>
      <w:r w:rsidRPr="0039277D">
        <w:rPr>
          <w:lang w:val="fr-FR"/>
        </w:rPr>
        <w:t>Il est ressorti des débats que le Sous-Comité n</w:t>
      </w:r>
      <w:r w:rsidR="0039277D" w:rsidRPr="0039277D">
        <w:rPr>
          <w:lang w:val="fr-FR"/>
        </w:rPr>
        <w:t>’</w:t>
      </w:r>
      <w:r w:rsidRPr="0039277D">
        <w:rPr>
          <w:lang w:val="fr-FR"/>
        </w:rPr>
        <w:t>était pas favorable à l</w:t>
      </w:r>
      <w:r w:rsidR="0039277D" w:rsidRPr="0039277D">
        <w:rPr>
          <w:lang w:val="fr-FR"/>
        </w:rPr>
        <w:t>’</w:t>
      </w:r>
      <w:r w:rsidRPr="0039277D">
        <w:rPr>
          <w:lang w:val="fr-FR"/>
        </w:rPr>
        <w:t xml:space="preserve">introduction de nouveaux numéros ONU pour les piles de type bouton, dans la mesure où les conditions prévues par le Règlement type resteraient les mêmes que celles applicables au </w:t>
      </w:r>
      <w:r w:rsidR="00CD7394">
        <w:rPr>
          <w:lang w:val="fr-FR"/>
        </w:rPr>
        <w:t>No </w:t>
      </w:r>
      <w:r w:rsidR="00642433">
        <w:rPr>
          <w:lang w:val="fr-FR"/>
        </w:rPr>
        <w:t>ONU </w:t>
      </w:r>
      <w:r w:rsidRPr="0039277D">
        <w:rPr>
          <w:lang w:val="fr-FR"/>
        </w:rPr>
        <w:t>3090. Certains experts étaient cependant favorables à l</w:t>
      </w:r>
      <w:r w:rsidR="0039277D" w:rsidRPr="0039277D">
        <w:rPr>
          <w:lang w:val="fr-FR"/>
        </w:rPr>
        <w:t>’</w:t>
      </w:r>
      <w:r w:rsidRPr="0039277D">
        <w:rPr>
          <w:lang w:val="fr-FR"/>
        </w:rPr>
        <w:t>idée d</w:t>
      </w:r>
      <w:r w:rsidR="0039277D" w:rsidRPr="0039277D">
        <w:rPr>
          <w:lang w:val="fr-FR"/>
        </w:rPr>
        <w:t>’</w:t>
      </w:r>
      <w:r w:rsidRPr="0039277D">
        <w:rPr>
          <w:lang w:val="fr-FR"/>
        </w:rPr>
        <w:t>une différenciation des piles sur la base non de leur forme mais du risque effectif présenté tel qu</w:t>
      </w:r>
      <w:r w:rsidR="0039277D" w:rsidRPr="0039277D">
        <w:rPr>
          <w:lang w:val="fr-FR"/>
        </w:rPr>
        <w:t>’</w:t>
      </w:r>
      <w:r w:rsidRPr="0039277D">
        <w:rPr>
          <w:lang w:val="fr-FR"/>
        </w:rPr>
        <w:t>évalué par un système d</w:t>
      </w:r>
      <w:r w:rsidR="0039277D" w:rsidRPr="0039277D">
        <w:rPr>
          <w:lang w:val="fr-FR"/>
        </w:rPr>
        <w:t>’</w:t>
      </w:r>
      <w:r w:rsidRPr="0039277D">
        <w:rPr>
          <w:lang w:val="fr-FR"/>
        </w:rPr>
        <w:t>épreuves approprié.</w:t>
      </w:r>
    </w:p>
    <w:p w:rsidR="00D80597" w:rsidRPr="0039277D" w:rsidRDefault="00D80597" w:rsidP="001F071F">
      <w:pPr>
        <w:pStyle w:val="ParNoG"/>
        <w:rPr>
          <w:lang w:val="fr-FR"/>
        </w:rPr>
      </w:pPr>
      <w:r w:rsidRPr="0039277D">
        <w:rPr>
          <w:lang w:val="fr-FR"/>
        </w:rPr>
        <w:t>Le représentant de la PRBA a retiré sa proposition.</w:t>
      </w:r>
    </w:p>
    <w:p w:rsidR="00D80597" w:rsidRPr="0039277D" w:rsidRDefault="00D80597" w:rsidP="00E12FEC">
      <w:pPr>
        <w:pStyle w:val="H23G"/>
        <w:rPr>
          <w:lang w:val="fr-FR"/>
        </w:rPr>
      </w:pPr>
      <w:r w:rsidRPr="0039277D">
        <w:rPr>
          <w:lang w:val="fr-FR"/>
        </w:rPr>
        <w:tab/>
        <w:t>7.</w:t>
      </w:r>
      <w:r w:rsidRPr="0039277D">
        <w:rPr>
          <w:lang w:val="fr-FR"/>
        </w:rPr>
        <w:tab/>
        <w:t>Transport de batteries au lithium endommagées et/ou défectueuses</w:t>
      </w:r>
    </w:p>
    <w:p w:rsidR="00D80597" w:rsidRPr="0039277D" w:rsidRDefault="00D80597" w:rsidP="00855C98">
      <w:pPr>
        <w:keepNext/>
        <w:spacing w:after="120"/>
        <w:ind w:left="3119" w:hanging="1985"/>
        <w:rPr>
          <w:lang w:val="fr-FR"/>
        </w:rPr>
      </w:pPr>
      <w:r w:rsidRPr="0039277D">
        <w:rPr>
          <w:i/>
          <w:iCs/>
          <w:lang w:val="fr-FR"/>
        </w:rPr>
        <w:t>Documents informels</w:t>
      </w:r>
      <w:r w:rsidR="0066043C">
        <w:rPr>
          <w:i/>
          <w:iCs/>
          <w:lang w:val="fr-FR"/>
        </w:rPr>
        <w:t> </w:t>
      </w:r>
      <w:r w:rsidR="0066043C" w:rsidRPr="006E05DE">
        <w:rPr>
          <w:iCs/>
          <w:lang w:val="fr-FR"/>
        </w:rPr>
        <w:t>:</w:t>
      </w:r>
      <w:r w:rsidR="0066043C">
        <w:rPr>
          <w:i/>
          <w:iCs/>
          <w:lang w:val="fr-FR"/>
        </w:rPr>
        <w:tab/>
      </w:r>
      <w:r w:rsidRPr="0039277D">
        <w:rPr>
          <w:lang w:val="fr-FR"/>
        </w:rPr>
        <w:t>INF.12 et INF.14 (OICA et RECHARGE).</w:t>
      </w:r>
    </w:p>
    <w:p w:rsidR="00D80597" w:rsidRPr="0039277D" w:rsidRDefault="00D80597" w:rsidP="001F071F">
      <w:pPr>
        <w:pStyle w:val="ParNoG"/>
        <w:rPr>
          <w:lang w:val="fr-FR"/>
        </w:rPr>
      </w:pPr>
      <w:r w:rsidRPr="0039277D">
        <w:rPr>
          <w:lang w:val="fr-FR"/>
        </w:rPr>
        <w:t>Le Sous-Comité a pris note du souhait de l</w:t>
      </w:r>
      <w:r w:rsidR="0039277D" w:rsidRPr="0039277D">
        <w:rPr>
          <w:lang w:val="fr-FR"/>
        </w:rPr>
        <w:t>’</w:t>
      </w:r>
      <w:r w:rsidRPr="0039277D">
        <w:rPr>
          <w:lang w:val="fr-FR"/>
        </w:rPr>
        <w:t>OICA et de RECHARGE que soit rapidement mis en place un régime provisoire pour le transport de batteries endommagées ou défectueuses d</w:t>
      </w:r>
      <w:r w:rsidR="0039277D" w:rsidRPr="0039277D">
        <w:rPr>
          <w:lang w:val="fr-FR"/>
        </w:rPr>
        <w:t>’</w:t>
      </w:r>
      <w:r w:rsidRPr="0039277D">
        <w:rPr>
          <w:lang w:val="fr-FR"/>
        </w:rPr>
        <w:t>automobiles ou de vélos électriques. Étant donné que le marché pour ces batteries croissait rapidement et qu</w:t>
      </w:r>
      <w:r w:rsidR="0039277D" w:rsidRPr="0039277D">
        <w:rPr>
          <w:lang w:val="fr-FR"/>
        </w:rPr>
        <w:t>’</w:t>
      </w:r>
      <w:r w:rsidRPr="0039277D">
        <w:rPr>
          <w:lang w:val="fr-FR"/>
        </w:rPr>
        <w:t>une augmentation des problèmes de défectuosité ou d</w:t>
      </w:r>
      <w:r w:rsidR="0039277D" w:rsidRPr="0039277D">
        <w:rPr>
          <w:lang w:val="fr-FR"/>
        </w:rPr>
        <w:t>’</w:t>
      </w:r>
      <w:r w:rsidRPr="0039277D">
        <w:rPr>
          <w:lang w:val="fr-FR"/>
        </w:rPr>
        <w:t>endommagement était prévisible, il n</w:t>
      </w:r>
      <w:r w:rsidR="0039277D" w:rsidRPr="0039277D">
        <w:rPr>
          <w:lang w:val="fr-FR"/>
        </w:rPr>
        <w:t>’</w:t>
      </w:r>
      <w:r w:rsidRPr="0039277D">
        <w:rPr>
          <w:lang w:val="fr-FR"/>
        </w:rPr>
        <w:t>était pas pratique d</w:t>
      </w:r>
      <w:r w:rsidR="0039277D" w:rsidRPr="0039277D">
        <w:rPr>
          <w:lang w:val="fr-FR"/>
        </w:rPr>
        <w:t>’</w:t>
      </w:r>
      <w:r w:rsidRPr="0039277D">
        <w:rPr>
          <w:lang w:val="fr-FR"/>
        </w:rPr>
        <w:t>avoir à recourir à chaque fois à l</w:t>
      </w:r>
      <w:r w:rsidR="0039277D" w:rsidRPr="0039277D">
        <w:rPr>
          <w:lang w:val="fr-FR"/>
        </w:rPr>
        <w:t>’</w:t>
      </w:r>
      <w:r w:rsidRPr="0039277D">
        <w:rPr>
          <w:lang w:val="fr-FR"/>
        </w:rPr>
        <w:t>autorité compétente.</w:t>
      </w:r>
    </w:p>
    <w:p w:rsidR="00D80597" w:rsidRPr="0039277D" w:rsidRDefault="00D80597" w:rsidP="001F071F">
      <w:pPr>
        <w:pStyle w:val="ParNoG"/>
        <w:rPr>
          <w:lang w:val="fr-FR"/>
        </w:rPr>
      </w:pPr>
      <w:r w:rsidRPr="0039277D">
        <w:rPr>
          <w:lang w:val="fr-FR"/>
        </w:rPr>
        <w:t>Plusieurs délégations ont appuyé le principe, et les experts intéressés ont été invités à soumettre leurs observations sur le détail de la proposition du document informel INF.12 au représentant de l</w:t>
      </w:r>
      <w:r w:rsidR="0039277D" w:rsidRPr="0039277D">
        <w:rPr>
          <w:lang w:val="fr-FR"/>
        </w:rPr>
        <w:t>’</w:t>
      </w:r>
      <w:r w:rsidRPr="0039277D">
        <w:rPr>
          <w:lang w:val="fr-FR"/>
        </w:rPr>
        <w:t>OICA, qui établirait une proposition officielle pour la prochaine session.</w:t>
      </w:r>
    </w:p>
    <w:p w:rsidR="00D80597" w:rsidRPr="0039277D" w:rsidRDefault="00D80597" w:rsidP="001F071F">
      <w:pPr>
        <w:pStyle w:val="ParNoG"/>
        <w:rPr>
          <w:lang w:val="fr-FR"/>
        </w:rPr>
      </w:pPr>
      <w:r w:rsidRPr="0039277D">
        <w:rPr>
          <w:lang w:val="fr-FR"/>
        </w:rPr>
        <w:t>Le Sous-Comité a noté que l</w:t>
      </w:r>
      <w:r w:rsidR="0039277D" w:rsidRPr="0039277D">
        <w:rPr>
          <w:lang w:val="fr-FR"/>
        </w:rPr>
        <w:t>’</w:t>
      </w:r>
      <w:r w:rsidRPr="0039277D">
        <w:rPr>
          <w:lang w:val="fr-FR"/>
        </w:rPr>
        <w:t>OICA et RECHARGE souhaitaient, dans une seconde étape, élaborer des critères pour la sélection d</w:t>
      </w:r>
      <w:r w:rsidR="0039277D" w:rsidRPr="0039277D">
        <w:rPr>
          <w:lang w:val="fr-FR"/>
        </w:rPr>
        <w:t>’</w:t>
      </w:r>
      <w:r w:rsidRPr="0039277D">
        <w:rPr>
          <w:lang w:val="fr-FR"/>
        </w:rPr>
        <w:t xml:space="preserve">emballages appropriés en fonction des dangers réellement présentés par différents types de batteries (document informel INF.14). </w:t>
      </w:r>
    </w:p>
    <w:p w:rsidR="00D80597" w:rsidRPr="0039277D" w:rsidRDefault="00D80597" w:rsidP="00E12FEC">
      <w:pPr>
        <w:pStyle w:val="H23G"/>
        <w:rPr>
          <w:lang w:val="fr-FR"/>
        </w:rPr>
      </w:pPr>
      <w:r w:rsidRPr="0039277D">
        <w:rPr>
          <w:lang w:val="fr-FR"/>
        </w:rPr>
        <w:tab/>
        <w:t>8.</w:t>
      </w:r>
      <w:r w:rsidRPr="0039277D">
        <w:rPr>
          <w:lang w:val="fr-FR"/>
        </w:rPr>
        <w:tab/>
        <w:t>Batteries au lithium équipant des engins de transport fermés</w:t>
      </w:r>
    </w:p>
    <w:p w:rsidR="00D80597" w:rsidRPr="0039277D" w:rsidRDefault="00D80597" w:rsidP="00855C98">
      <w:pPr>
        <w:keepNext/>
        <w:spacing w:after="120"/>
        <w:ind w:left="3119" w:hanging="1985"/>
        <w:rPr>
          <w:lang w:val="fr-FR"/>
        </w:rPr>
      </w:pPr>
      <w:r w:rsidRPr="0039277D">
        <w:rPr>
          <w:i/>
          <w:lang w:val="fr-FR"/>
        </w:rPr>
        <w:t>Document</w:t>
      </w:r>
      <w:r w:rsidR="0066043C">
        <w:rPr>
          <w:lang w:val="fr-FR"/>
        </w:rPr>
        <w:t> :</w:t>
      </w:r>
      <w:r w:rsidR="0066043C">
        <w:rPr>
          <w:lang w:val="fr-FR"/>
        </w:rPr>
        <w:tab/>
        <w:t>S</w:t>
      </w:r>
      <w:r w:rsidRPr="0039277D">
        <w:rPr>
          <w:lang w:val="fr-FR"/>
        </w:rPr>
        <w:t>T/SG/AC.10/C.3/2016/41 (PRBA).</w:t>
      </w:r>
    </w:p>
    <w:p w:rsidR="00D80597" w:rsidRPr="0039277D" w:rsidRDefault="00D80597" w:rsidP="00855C98">
      <w:pPr>
        <w:keepNext/>
        <w:spacing w:after="120"/>
        <w:ind w:left="3119" w:hanging="1985"/>
        <w:rPr>
          <w:lang w:val="fr-FR"/>
        </w:rPr>
      </w:pPr>
      <w:r w:rsidRPr="0039277D">
        <w:rPr>
          <w:i/>
          <w:lang w:val="fr-FR"/>
        </w:rPr>
        <w:t>Document informel</w:t>
      </w:r>
      <w:r w:rsidR="0066043C">
        <w:rPr>
          <w:lang w:val="fr-FR"/>
        </w:rPr>
        <w:t> :</w:t>
      </w:r>
      <w:r w:rsidR="0066043C">
        <w:rPr>
          <w:lang w:val="fr-FR"/>
        </w:rPr>
        <w:tab/>
      </w:r>
      <w:r w:rsidRPr="0039277D">
        <w:rPr>
          <w:lang w:val="fr-FR"/>
        </w:rPr>
        <w:t>INF.69 (PRBA).</w:t>
      </w:r>
    </w:p>
    <w:p w:rsidR="00D80597" w:rsidRPr="0039277D" w:rsidRDefault="00D80597" w:rsidP="001F071F">
      <w:pPr>
        <w:pStyle w:val="ParNoG"/>
        <w:rPr>
          <w:lang w:val="fr-FR"/>
        </w:rPr>
      </w:pPr>
      <w:r w:rsidRPr="0039277D">
        <w:rPr>
          <w:lang w:val="fr-FR"/>
        </w:rPr>
        <w:t>Après un premier examen de la proposition visant à introduire une nouvelle rubrique pour les systèmes d</w:t>
      </w:r>
      <w:r w:rsidR="0039277D" w:rsidRPr="0039277D">
        <w:rPr>
          <w:lang w:val="fr-FR"/>
        </w:rPr>
        <w:t>’</w:t>
      </w:r>
      <w:r w:rsidRPr="0039277D">
        <w:rPr>
          <w:lang w:val="fr-FR"/>
        </w:rPr>
        <w:t>alimentation électrique transportables, le Sous-Comité a adopté, avec quelques modifications, la version révisée de la proposition énoncée dans le document informel INF.69 (voir annexe II).</w:t>
      </w:r>
    </w:p>
    <w:p w:rsidR="00D80597" w:rsidRPr="0039277D" w:rsidRDefault="00D80597" w:rsidP="00E12FEC">
      <w:pPr>
        <w:pStyle w:val="H23G"/>
        <w:rPr>
          <w:lang w:val="fr-FR"/>
        </w:rPr>
      </w:pPr>
      <w:r w:rsidRPr="0039277D">
        <w:rPr>
          <w:lang w:val="fr-FR"/>
        </w:rPr>
        <w:tab/>
        <w:t>9.</w:t>
      </w:r>
      <w:r w:rsidRPr="0039277D">
        <w:rPr>
          <w:lang w:val="fr-FR"/>
        </w:rPr>
        <w:tab/>
        <w:t xml:space="preserve">Grands emballages pour batteries au lithium de petites productions </w:t>
      </w:r>
      <w:r w:rsidRPr="0039277D">
        <w:rPr>
          <w:lang w:val="fr-FR"/>
        </w:rPr>
        <w:br/>
        <w:t>ou de prototypes de batteries au lithium</w:t>
      </w:r>
    </w:p>
    <w:p w:rsidR="00D80597" w:rsidRPr="0039277D" w:rsidRDefault="00D80597" w:rsidP="00855C98">
      <w:pPr>
        <w:keepNext/>
        <w:spacing w:after="120"/>
        <w:ind w:left="3119" w:hanging="1985"/>
        <w:rPr>
          <w:lang w:val="fr-FR"/>
        </w:rPr>
      </w:pPr>
      <w:r w:rsidRPr="0039277D">
        <w:rPr>
          <w:i/>
          <w:lang w:val="fr-FR"/>
        </w:rPr>
        <w:t>Document informel</w:t>
      </w:r>
      <w:r w:rsidR="0066043C">
        <w:rPr>
          <w:lang w:val="fr-FR"/>
        </w:rPr>
        <w:t> :</w:t>
      </w:r>
      <w:r w:rsidR="0066043C">
        <w:rPr>
          <w:lang w:val="fr-FR"/>
        </w:rPr>
        <w:tab/>
      </w:r>
      <w:r w:rsidRPr="0039277D">
        <w:rPr>
          <w:lang w:val="fr-FR"/>
        </w:rPr>
        <w:t>INF.29 (Allemagne).</w:t>
      </w:r>
    </w:p>
    <w:p w:rsidR="00D80597" w:rsidRPr="0039277D" w:rsidRDefault="00D80597" w:rsidP="001F071F">
      <w:pPr>
        <w:pStyle w:val="ParNoG"/>
        <w:rPr>
          <w:lang w:val="fr-FR"/>
        </w:rPr>
      </w:pPr>
      <w:r w:rsidRPr="0039277D">
        <w:rPr>
          <w:lang w:val="fr-FR"/>
        </w:rPr>
        <w:t>Plusieurs experts ont appuyé la proposition. Cependant, étant donné qu</w:t>
      </w:r>
      <w:r w:rsidR="0039277D" w:rsidRPr="0039277D">
        <w:rPr>
          <w:lang w:val="fr-FR"/>
        </w:rPr>
        <w:t>’</w:t>
      </w:r>
      <w:r w:rsidRPr="0039277D">
        <w:rPr>
          <w:lang w:val="fr-FR"/>
        </w:rPr>
        <w:t>il s</w:t>
      </w:r>
      <w:r w:rsidR="0039277D" w:rsidRPr="0039277D">
        <w:rPr>
          <w:lang w:val="fr-FR"/>
        </w:rPr>
        <w:t>’</w:t>
      </w:r>
      <w:r w:rsidRPr="0039277D">
        <w:rPr>
          <w:lang w:val="fr-FR"/>
        </w:rPr>
        <w:t>agissait d</w:t>
      </w:r>
      <w:r w:rsidR="0039277D" w:rsidRPr="0039277D">
        <w:rPr>
          <w:lang w:val="fr-FR"/>
        </w:rPr>
        <w:t>’</w:t>
      </w:r>
      <w:r w:rsidRPr="0039277D">
        <w:rPr>
          <w:lang w:val="fr-FR"/>
        </w:rPr>
        <w:t>un document informel et que plusieurs observations avaient été faites sur la forme, l</w:t>
      </w:r>
      <w:r w:rsidR="0039277D" w:rsidRPr="0039277D">
        <w:rPr>
          <w:lang w:val="fr-FR"/>
        </w:rPr>
        <w:t>’</w:t>
      </w:r>
      <w:r w:rsidRPr="0039277D">
        <w:rPr>
          <w:lang w:val="fr-FR"/>
        </w:rPr>
        <w:t>experte de l</w:t>
      </w:r>
      <w:r w:rsidR="0039277D" w:rsidRPr="0039277D">
        <w:rPr>
          <w:lang w:val="fr-FR"/>
        </w:rPr>
        <w:t>’</w:t>
      </w:r>
      <w:r w:rsidRPr="0039277D">
        <w:rPr>
          <w:lang w:val="fr-FR"/>
        </w:rPr>
        <w:t>Allemagne a été invitée à soumettre une proposition officielle à la session suivante.</w:t>
      </w:r>
    </w:p>
    <w:p w:rsidR="00D80597" w:rsidRPr="0039277D" w:rsidRDefault="00D80597" w:rsidP="00E12FEC">
      <w:pPr>
        <w:pStyle w:val="H23G"/>
        <w:rPr>
          <w:lang w:val="fr-FR"/>
        </w:rPr>
      </w:pPr>
      <w:r w:rsidRPr="0039277D">
        <w:rPr>
          <w:lang w:val="fr-FR"/>
        </w:rPr>
        <w:tab/>
        <w:t>10.</w:t>
      </w:r>
      <w:r w:rsidRPr="0039277D">
        <w:rPr>
          <w:lang w:val="fr-FR"/>
        </w:rPr>
        <w:tab/>
        <w:t xml:space="preserve">Engins de transport équipés de dispositifs de localisation de conteneur </w:t>
      </w:r>
      <w:r w:rsidR="00C90015">
        <w:rPr>
          <w:lang w:val="fr-FR"/>
        </w:rPr>
        <w:br/>
      </w:r>
      <w:r w:rsidRPr="0039277D">
        <w:rPr>
          <w:lang w:val="fr-FR"/>
        </w:rPr>
        <w:t>contenant des batteries au lithium</w:t>
      </w:r>
    </w:p>
    <w:p w:rsidR="00D80597" w:rsidRPr="0039277D" w:rsidRDefault="00D80597" w:rsidP="00855C98">
      <w:pPr>
        <w:keepNext/>
        <w:spacing w:after="120"/>
        <w:ind w:left="3119" w:hanging="1985"/>
        <w:rPr>
          <w:lang w:val="fr-FR"/>
        </w:rPr>
      </w:pPr>
      <w:r w:rsidRPr="0039277D">
        <w:rPr>
          <w:i/>
          <w:lang w:val="fr-FR"/>
        </w:rPr>
        <w:t>Document informel</w:t>
      </w:r>
      <w:r w:rsidR="0066043C">
        <w:rPr>
          <w:i/>
          <w:lang w:val="fr-FR"/>
        </w:rPr>
        <w:t> </w:t>
      </w:r>
      <w:r w:rsidR="0066043C" w:rsidRPr="006E05DE">
        <w:rPr>
          <w:lang w:val="fr-FR"/>
        </w:rPr>
        <w:t>:</w:t>
      </w:r>
      <w:r w:rsidR="0066043C">
        <w:rPr>
          <w:i/>
          <w:lang w:val="fr-FR"/>
        </w:rPr>
        <w:tab/>
      </w:r>
      <w:r w:rsidRPr="0039277D">
        <w:rPr>
          <w:lang w:val="fr-FR"/>
        </w:rPr>
        <w:t>INF.30 (Allemagne).</w:t>
      </w:r>
    </w:p>
    <w:p w:rsidR="00D80597" w:rsidRPr="0039277D" w:rsidRDefault="00D80597" w:rsidP="001F071F">
      <w:pPr>
        <w:pStyle w:val="ParNoG"/>
        <w:rPr>
          <w:lang w:val="fr-FR"/>
        </w:rPr>
      </w:pPr>
      <w:r w:rsidRPr="0039277D">
        <w:rPr>
          <w:lang w:val="fr-FR"/>
        </w:rPr>
        <w:t>L</w:t>
      </w:r>
      <w:r w:rsidR="0039277D" w:rsidRPr="0039277D">
        <w:rPr>
          <w:lang w:val="fr-FR"/>
        </w:rPr>
        <w:t>’</w:t>
      </w:r>
      <w:r w:rsidRPr="0039277D">
        <w:rPr>
          <w:lang w:val="fr-FR"/>
        </w:rPr>
        <w:t>experte de l</w:t>
      </w:r>
      <w:r w:rsidR="0039277D" w:rsidRPr="0039277D">
        <w:rPr>
          <w:lang w:val="fr-FR"/>
        </w:rPr>
        <w:t>’</w:t>
      </w:r>
      <w:r w:rsidRPr="0039277D">
        <w:rPr>
          <w:lang w:val="fr-FR"/>
        </w:rPr>
        <w:t>Allemagne soumettrait à la session suivante une proposition officielle tenant compte des observations formulées.</w:t>
      </w:r>
    </w:p>
    <w:p w:rsidR="00D80597" w:rsidRPr="0039277D" w:rsidRDefault="00D80597" w:rsidP="00E12FEC">
      <w:pPr>
        <w:pStyle w:val="H23G"/>
        <w:rPr>
          <w:lang w:val="fr-FR"/>
        </w:rPr>
      </w:pPr>
      <w:r w:rsidRPr="0039277D">
        <w:rPr>
          <w:lang w:val="fr-FR"/>
        </w:rPr>
        <w:tab/>
        <w:t>11.</w:t>
      </w:r>
      <w:r w:rsidRPr="0039277D">
        <w:rPr>
          <w:lang w:val="fr-FR"/>
        </w:rPr>
        <w:tab/>
        <w:t>Modification des dispositions spéciales concernant le transport de véhicules</w:t>
      </w:r>
    </w:p>
    <w:p w:rsidR="00D80597" w:rsidRPr="0039277D" w:rsidRDefault="006E05DE" w:rsidP="00855C98">
      <w:pPr>
        <w:keepNext/>
        <w:spacing w:after="120"/>
        <w:ind w:left="3119" w:hanging="1985"/>
        <w:rPr>
          <w:lang w:val="fr-FR"/>
        </w:rPr>
      </w:pPr>
      <w:r w:rsidRPr="0039277D">
        <w:rPr>
          <w:i/>
          <w:iCs/>
          <w:lang w:val="fr-FR"/>
        </w:rPr>
        <w:t>Document</w:t>
      </w:r>
      <w:r>
        <w:rPr>
          <w:lang w:val="fr-FR"/>
        </w:rPr>
        <w:t> :</w:t>
      </w:r>
      <w:r>
        <w:rPr>
          <w:lang w:val="fr-FR"/>
        </w:rPr>
        <w:tab/>
      </w:r>
      <w:r w:rsidRPr="0039277D">
        <w:rPr>
          <w:lang w:val="fr-FR"/>
        </w:rPr>
        <w:t>ST</w:t>
      </w:r>
      <w:r w:rsidR="00D80597" w:rsidRPr="0039277D">
        <w:rPr>
          <w:lang w:val="fr-FR"/>
        </w:rPr>
        <w:t>/SG/AC.10/C.3/2016/14 (France).</w:t>
      </w:r>
    </w:p>
    <w:p w:rsidR="00D80597" w:rsidRPr="0039277D" w:rsidRDefault="00D80597" w:rsidP="00855C98">
      <w:pPr>
        <w:keepNext/>
        <w:spacing w:after="120"/>
        <w:ind w:left="3119" w:hanging="1985"/>
        <w:rPr>
          <w:lang w:val="fr-FR"/>
        </w:rPr>
      </w:pPr>
      <w:r w:rsidRPr="0039277D">
        <w:rPr>
          <w:i/>
          <w:iCs/>
          <w:lang w:val="fr-FR"/>
        </w:rPr>
        <w:t>Documents informels</w:t>
      </w:r>
      <w:r w:rsidRPr="0039277D">
        <w:rPr>
          <w:lang w:val="fr-FR"/>
        </w:rPr>
        <w:t> :</w:t>
      </w:r>
      <w:r w:rsidRPr="0039277D">
        <w:rPr>
          <w:lang w:val="fr-FR"/>
        </w:rPr>
        <w:tab/>
        <w:t>INF.22 (Suisse)</w:t>
      </w:r>
      <w:r w:rsidRPr="0039277D">
        <w:rPr>
          <w:lang w:val="fr-FR"/>
        </w:rPr>
        <w:br/>
        <w:t>INF.77 (États-Unis d</w:t>
      </w:r>
      <w:r w:rsidR="0039277D" w:rsidRPr="0039277D">
        <w:rPr>
          <w:lang w:val="fr-FR"/>
        </w:rPr>
        <w:t>’</w:t>
      </w:r>
      <w:r w:rsidRPr="0039277D">
        <w:rPr>
          <w:lang w:val="fr-FR"/>
        </w:rPr>
        <w:t>Amérique, France et Suisse).</w:t>
      </w:r>
    </w:p>
    <w:p w:rsidR="00D80597" w:rsidRPr="0039277D" w:rsidRDefault="00D80597" w:rsidP="001F071F">
      <w:pPr>
        <w:pStyle w:val="ParNoG"/>
        <w:rPr>
          <w:lang w:val="fr-FR"/>
        </w:rPr>
      </w:pPr>
      <w:r w:rsidRPr="0039277D">
        <w:rPr>
          <w:lang w:val="fr-FR"/>
        </w:rPr>
        <w:t>Pour la première proposition, le Sous-Comité s</w:t>
      </w:r>
      <w:r w:rsidR="0039277D" w:rsidRPr="0039277D">
        <w:rPr>
          <w:lang w:val="fr-FR"/>
        </w:rPr>
        <w:t>’</w:t>
      </w:r>
      <w:r w:rsidRPr="0039277D">
        <w:rPr>
          <w:lang w:val="fr-FR"/>
        </w:rPr>
        <w:t xml:space="preserve">est prononcé en faveur de la deuxième option tendant à supprimer les dispositions spéciales 240, 312, 380 et 385 et à les remplacer par une nouvelle disposition 388 applicable aux </w:t>
      </w:r>
      <w:r w:rsidR="00CD7394">
        <w:rPr>
          <w:lang w:val="fr-FR"/>
        </w:rPr>
        <w:t>Nos </w:t>
      </w:r>
      <w:r w:rsidRPr="0039277D">
        <w:rPr>
          <w:lang w:val="fr-FR"/>
        </w:rPr>
        <w:t>ONU 3166 et 3171 (voir annexe II).</w:t>
      </w:r>
    </w:p>
    <w:p w:rsidR="00D80597" w:rsidRPr="0039277D" w:rsidRDefault="00D80597" w:rsidP="001F071F">
      <w:pPr>
        <w:pStyle w:val="ParNoG"/>
        <w:rPr>
          <w:lang w:val="fr-FR"/>
        </w:rPr>
      </w:pPr>
      <w:r w:rsidRPr="0039277D">
        <w:rPr>
          <w:lang w:val="fr-FR"/>
        </w:rPr>
        <w:t>En conséquence, pour la deuxième proposition, le Sous-Comité a examiné l</w:t>
      </w:r>
      <w:r w:rsidR="0039277D" w:rsidRPr="0039277D">
        <w:rPr>
          <w:lang w:val="fr-FR"/>
        </w:rPr>
        <w:t>’</w:t>
      </w:r>
      <w:r w:rsidRPr="0039277D">
        <w:rPr>
          <w:lang w:val="fr-FR"/>
        </w:rPr>
        <w:t>option</w:t>
      </w:r>
      <w:r w:rsidR="00642433">
        <w:rPr>
          <w:lang w:val="fr-FR"/>
        </w:rPr>
        <w:t> </w:t>
      </w:r>
      <w:r w:rsidRPr="0039277D">
        <w:rPr>
          <w:lang w:val="fr-FR"/>
        </w:rPr>
        <w:t>2 et a adopté les modifications proposées avec quelques modifications (voir annexe II). Le Sous-Comité a souligné que la référence à l</w:t>
      </w:r>
      <w:r w:rsidR="0039277D" w:rsidRPr="0039277D">
        <w:rPr>
          <w:lang w:val="fr-FR"/>
        </w:rPr>
        <w:t>’</w:t>
      </w:r>
      <w:r w:rsidRPr="0039277D">
        <w:rPr>
          <w:lang w:val="fr-FR"/>
        </w:rPr>
        <w:t>autorité compétente pour la détermination des conditions de transport signifiait qu</w:t>
      </w:r>
      <w:r w:rsidR="0039277D" w:rsidRPr="0039277D">
        <w:rPr>
          <w:lang w:val="fr-FR"/>
        </w:rPr>
        <w:t>’</w:t>
      </w:r>
      <w:r w:rsidRPr="0039277D">
        <w:rPr>
          <w:lang w:val="fr-FR"/>
        </w:rPr>
        <w:t>il revenait à l</w:t>
      </w:r>
      <w:r w:rsidR="0039277D" w:rsidRPr="0039277D">
        <w:rPr>
          <w:lang w:val="fr-FR"/>
        </w:rPr>
        <w:t>’</w:t>
      </w:r>
      <w:r w:rsidRPr="0039277D">
        <w:rPr>
          <w:lang w:val="fr-FR"/>
        </w:rPr>
        <w:t>autorité compétente de fixer ces conditions de transport pour le trafic intérieur. En transport international, les Parties contractantes aux instruments juridiques applicables pouvaient décider de fixer ces conditions dans les règlements modaux pertinents, notamment le Code IMDG, les Instructions techniques de l</w:t>
      </w:r>
      <w:r w:rsidR="0039277D" w:rsidRPr="0039277D">
        <w:rPr>
          <w:lang w:val="fr-FR"/>
        </w:rPr>
        <w:t>’</w:t>
      </w:r>
      <w:r w:rsidRPr="0039277D">
        <w:rPr>
          <w:lang w:val="fr-FR"/>
        </w:rPr>
        <w:t>OACI, le RID, l</w:t>
      </w:r>
      <w:r w:rsidR="0039277D" w:rsidRPr="0039277D">
        <w:rPr>
          <w:lang w:val="fr-FR"/>
        </w:rPr>
        <w:t>’</w:t>
      </w:r>
      <w:r w:rsidRPr="0039277D">
        <w:rPr>
          <w:lang w:val="fr-FR"/>
        </w:rPr>
        <w:t>ADR et l</w:t>
      </w:r>
      <w:r w:rsidR="0039277D" w:rsidRPr="0039277D">
        <w:rPr>
          <w:lang w:val="fr-FR"/>
        </w:rPr>
        <w:t>’</w:t>
      </w:r>
      <w:r w:rsidRPr="0039277D">
        <w:rPr>
          <w:lang w:val="fr-FR"/>
        </w:rPr>
        <w:t>ADN, plutôt que d</w:t>
      </w:r>
      <w:r w:rsidR="0039277D" w:rsidRPr="0039277D">
        <w:rPr>
          <w:lang w:val="fr-FR"/>
        </w:rPr>
        <w:t>’</w:t>
      </w:r>
      <w:r w:rsidRPr="0039277D">
        <w:rPr>
          <w:lang w:val="fr-FR"/>
        </w:rPr>
        <w:t>en renvoyer la responsabilité à l</w:t>
      </w:r>
      <w:r w:rsidR="0039277D" w:rsidRPr="0039277D">
        <w:rPr>
          <w:lang w:val="fr-FR"/>
        </w:rPr>
        <w:t>’</w:t>
      </w:r>
      <w:r w:rsidRPr="0039277D">
        <w:rPr>
          <w:lang w:val="fr-FR"/>
        </w:rPr>
        <w:t>autorité compétente, ou utiliser les possibilités juridiques que leur offraient ces instruments, tels les accords bilatéraux ou multilatéraux.</w:t>
      </w:r>
    </w:p>
    <w:p w:rsidR="00D80597" w:rsidRPr="0039277D" w:rsidRDefault="00D80597" w:rsidP="001F071F">
      <w:pPr>
        <w:pStyle w:val="ParNoG"/>
        <w:rPr>
          <w:lang w:val="fr-FR"/>
        </w:rPr>
      </w:pPr>
      <w:r w:rsidRPr="0039277D">
        <w:rPr>
          <w:lang w:val="fr-FR"/>
        </w:rPr>
        <w:t>S</w:t>
      </w:r>
      <w:r w:rsidR="0039277D" w:rsidRPr="0039277D">
        <w:rPr>
          <w:lang w:val="fr-FR"/>
        </w:rPr>
        <w:t>’</w:t>
      </w:r>
      <w:r w:rsidRPr="0039277D">
        <w:rPr>
          <w:lang w:val="fr-FR"/>
        </w:rPr>
        <w:t>agissant de la proposition 3, qui traitait de la relation entre la dis</w:t>
      </w:r>
      <w:r w:rsidR="00642433">
        <w:rPr>
          <w:lang w:val="fr-FR"/>
        </w:rPr>
        <w:t>position spéciale </w:t>
      </w:r>
      <w:r w:rsidRPr="0039277D">
        <w:rPr>
          <w:lang w:val="fr-FR"/>
        </w:rPr>
        <w:t>363 et l</w:t>
      </w:r>
      <w:r w:rsidR="0039277D" w:rsidRPr="0039277D">
        <w:rPr>
          <w:lang w:val="fr-FR"/>
        </w:rPr>
        <w:t>’</w:t>
      </w:r>
      <w:r w:rsidRPr="0039277D">
        <w:rPr>
          <w:lang w:val="fr-FR"/>
        </w:rPr>
        <w:t>instruction d</w:t>
      </w:r>
      <w:r w:rsidR="0039277D" w:rsidRPr="0039277D">
        <w:rPr>
          <w:lang w:val="fr-FR"/>
        </w:rPr>
        <w:t>’</w:t>
      </w:r>
      <w:r w:rsidRPr="0039277D">
        <w:rPr>
          <w:lang w:val="fr-FR"/>
        </w:rPr>
        <w:t>emballage P005, le Sous-Comité a adopté les propositions figurant dans le document informel INF.77, avec quelques corrections d</w:t>
      </w:r>
      <w:r w:rsidR="0039277D" w:rsidRPr="0039277D">
        <w:rPr>
          <w:lang w:val="fr-FR"/>
        </w:rPr>
        <w:t>’</w:t>
      </w:r>
      <w:r w:rsidRPr="0039277D">
        <w:rPr>
          <w:lang w:val="fr-FR"/>
        </w:rPr>
        <w:t>ordre rédactionnel (voir annexe II).</w:t>
      </w:r>
    </w:p>
    <w:p w:rsidR="00D80597" w:rsidRPr="0039277D" w:rsidRDefault="00D80597" w:rsidP="00E12FEC">
      <w:pPr>
        <w:pStyle w:val="HChG"/>
        <w:rPr>
          <w:lang w:val="fr-FR"/>
        </w:rPr>
      </w:pPr>
      <w:r w:rsidRPr="0039277D">
        <w:rPr>
          <w:lang w:val="fr-FR"/>
        </w:rPr>
        <w:tab/>
        <w:t>VI.</w:t>
      </w:r>
      <w:r w:rsidRPr="0039277D">
        <w:rPr>
          <w:lang w:val="fr-FR"/>
        </w:rPr>
        <w:tab/>
        <w:t>Transport de gaz (point 5 de l</w:t>
      </w:r>
      <w:r w:rsidR="0039277D" w:rsidRPr="0039277D">
        <w:rPr>
          <w:lang w:val="fr-FR"/>
        </w:rPr>
        <w:t>’</w:t>
      </w:r>
      <w:r w:rsidRPr="0039277D">
        <w:rPr>
          <w:lang w:val="fr-FR"/>
        </w:rPr>
        <w:t>ordre du jour)</w:t>
      </w:r>
    </w:p>
    <w:p w:rsidR="00D80597" w:rsidRPr="0039277D" w:rsidRDefault="00D80597" w:rsidP="00E12FEC">
      <w:pPr>
        <w:pStyle w:val="H1G"/>
        <w:rPr>
          <w:lang w:val="fr-FR"/>
        </w:rPr>
      </w:pPr>
      <w:r w:rsidRPr="0039277D">
        <w:rPr>
          <w:lang w:val="fr-FR"/>
        </w:rPr>
        <w:tab/>
        <w:t>A.</w:t>
      </w:r>
      <w:r w:rsidRPr="0039277D">
        <w:rPr>
          <w:lang w:val="fr-FR"/>
        </w:rPr>
        <w:tab/>
        <w:t>Reconnaissance universelle des récipients à pression ONU et non-ONU</w:t>
      </w:r>
    </w:p>
    <w:p w:rsidR="00D80597" w:rsidRPr="0039277D" w:rsidRDefault="00D80597" w:rsidP="00855C98">
      <w:pPr>
        <w:keepNext/>
        <w:spacing w:after="120"/>
        <w:ind w:left="3119" w:hanging="1985"/>
        <w:rPr>
          <w:lang w:val="fr-FR"/>
        </w:rPr>
      </w:pPr>
      <w:r w:rsidRPr="0039277D">
        <w:rPr>
          <w:i/>
          <w:iCs/>
          <w:lang w:val="fr-FR"/>
        </w:rPr>
        <w:t>Document informel</w:t>
      </w:r>
      <w:r w:rsidR="0066043C">
        <w:rPr>
          <w:i/>
          <w:iCs/>
          <w:lang w:val="fr-FR"/>
        </w:rPr>
        <w:t> </w:t>
      </w:r>
      <w:r w:rsidR="0066043C" w:rsidRPr="00C90015">
        <w:rPr>
          <w:iCs/>
          <w:lang w:val="fr-FR"/>
        </w:rPr>
        <w:t>:</w:t>
      </w:r>
      <w:r w:rsidR="0066043C">
        <w:rPr>
          <w:i/>
          <w:iCs/>
          <w:lang w:val="fr-FR"/>
        </w:rPr>
        <w:tab/>
      </w:r>
      <w:r w:rsidRPr="0039277D">
        <w:rPr>
          <w:lang w:val="fr-FR"/>
        </w:rPr>
        <w:t>INF.58 (CGA et EIGA).</w:t>
      </w:r>
    </w:p>
    <w:p w:rsidR="00D80597" w:rsidRPr="0039277D" w:rsidRDefault="00D80597" w:rsidP="001F071F">
      <w:pPr>
        <w:pStyle w:val="ParNoG"/>
        <w:rPr>
          <w:lang w:val="fr-FR"/>
        </w:rPr>
      </w:pPr>
      <w:r w:rsidRPr="0039277D">
        <w:rPr>
          <w:lang w:val="fr-FR"/>
        </w:rPr>
        <w:t>Le Sous-Comité a été informé que la CGA et l</w:t>
      </w:r>
      <w:r w:rsidR="0039277D" w:rsidRPr="0039277D">
        <w:rPr>
          <w:lang w:val="fr-FR"/>
        </w:rPr>
        <w:t>’</w:t>
      </w:r>
      <w:r w:rsidRPr="0039277D">
        <w:rPr>
          <w:lang w:val="fr-FR"/>
        </w:rPr>
        <w:t>EIGA ne souhaitaient pas débattre de cette question à la présente session mais la feraient progresser à sa session suivante.</w:t>
      </w:r>
    </w:p>
    <w:p w:rsidR="00D80597" w:rsidRPr="0039277D" w:rsidRDefault="00D80597" w:rsidP="00E12FEC">
      <w:pPr>
        <w:pStyle w:val="H1G"/>
        <w:rPr>
          <w:lang w:val="fr-FR"/>
        </w:rPr>
      </w:pPr>
      <w:r w:rsidRPr="0039277D">
        <w:rPr>
          <w:lang w:val="fr-FR"/>
        </w:rPr>
        <w:tab/>
        <w:t>B.</w:t>
      </w:r>
      <w:r w:rsidRPr="0039277D">
        <w:rPr>
          <w:lang w:val="fr-FR"/>
        </w:rPr>
        <w:tab/>
        <w:t>Divers</w:t>
      </w:r>
    </w:p>
    <w:p w:rsidR="00D80597" w:rsidRPr="0039277D" w:rsidRDefault="00D80597" w:rsidP="00E12FEC">
      <w:pPr>
        <w:pStyle w:val="H23G"/>
        <w:rPr>
          <w:lang w:val="fr-FR"/>
        </w:rPr>
      </w:pPr>
      <w:r w:rsidRPr="0039277D">
        <w:rPr>
          <w:lang w:val="fr-FR"/>
        </w:rPr>
        <w:tab/>
        <w:t>1.</w:t>
      </w:r>
      <w:r w:rsidRPr="0039277D">
        <w:rPr>
          <w:lang w:val="fr-FR"/>
        </w:rPr>
        <w:tab/>
        <w:t>Transport de réservoirs à gaz destinés aux véhicules automobiles</w:t>
      </w:r>
    </w:p>
    <w:p w:rsidR="00D80597" w:rsidRPr="0039277D" w:rsidRDefault="006E05DE" w:rsidP="00855C98">
      <w:pPr>
        <w:keepNext/>
        <w:spacing w:after="120"/>
        <w:ind w:left="3119" w:hanging="1985"/>
        <w:rPr>
          <w:lang w:val="fr-FR"/>
        </w:rPr>
      </w:pPr>
      <w:r w:rsidRPr="0039277D">
        <w:rPr>
          <w:i/>
          <w:iCs/>
          <w:lang w:val="fr-FR"/>
        </w:rPr>
        <w:t>Document</w:t>
      </w:r>
      <w:r>
        <w:rPr>
          <w:lang w:val="fr-FR"/>
        </w:rPr>
        <w:t> :</w:t>
      </w:r>
      <w:r>
        <w:rPr>
          <w:lang w:val="fr-FR"/>
        </w:rPr>
        <w:tab/>
      </w:r>
      <w:r w:rsidRPr="0039277D">
        <w:rPr>
          <w:lang w:val="fr-FR"/>
        </w:rPr>
        <w:t>ST</w:t>
      </w:r>
      <w:r w:rsidR="00D80597" w:rsidRPr="0039277D">
        <w:rPr>
          <w:lang w:val="fr-FR"/>
        </w:rPr>
        <w:t>/SG/AC.10/C.3/2016/8 (Allemagne).</w:t>
      </w:r>
    </w:p>
    <w:p w:rsidR="00D80597" w:rsidRPr="0039277D" w:rsidRDefault="00D80597" w:rsidP="001F071F">
      <w:pPr>
        <w:pStyle w:val="ParNoG"/>
        <w:rPr>
          <w:lang w:val="fr-FR"/>
        </w:rPr>
      </w:pPr>
      <w:r w:rsidRPr="0039277D">
        <w:rPr>
          <w:lang w:val="fr-FR"/>
        </w:rPr>
        <w:t>La proposition, qui faisait suite aux discussions de l</w:t>
      </w:r>
      <w:r w:rsidR="0039277D" w:rsidRPr="0039277D">
        <w:rPr>
          <w:lang w:val="fr-FR"/>
        </w:rPr>
        <w:t>’</w:t>
      </w:r>
      <w:r w:rsidRPr="0039277D">
        <w:rPr>
          <w:lang w:val="fr-FR"/>
        </w:rPr>
        <w:t>année précédente (document ST/SG/AC.10/C.3/2015/5 et document informel INF.12 de la quarante-huitième session), a été étayée par un exposé de l</w:t>
      </w:r>
      <w:r w:rsidR="0039277D" w:rsidRPr="0039277D">
        <w:rPr>
          <w:lang w:val="fr-FR"/>
        </w:rPr>
        <w:t>’</w:t>
      </w:r>
      <w:r w:rsidRPr="0039277D">
        <w:rPr>
          <w:lang w:val="fr-FR"/>
        </w:rPr>
        <w:t>OICA présentant les réservoirs en question.</w:t>
      </w:r>
    </w:p>
    <w:p w:rsidR="00D80597" w:rsidRPr="0039277D" w:rsidRDefault="00D80597" w:rsidP="001F071F">
      <w:pPr>
        <w:pStyle w:val="ParNoG"/>
        <w:rPr>
          <w:lang w:val="fr-FR"/>
        </w:rPr>
      </w:pPr>
      <w:r w:rsidRPr="0039277D">
        <w:rPr>
          <w:lang w:val="fr-FR"/>
        </w:rPr>
        <w:t>La plupart des délégations étaient favorables en principe à la proposition d</w:t>
      </w:r>
      <w:r w:rsidR="0039277D" w:rsidRPr="0039277D">
        <w:rPr>
          <w:lang w:val="fr-FR"/>
        </w:rPr>
        <w:t>’</w:t>
      </w:r>
      <w:r w:rsidRPr="0039277D">
        <w:rPr>
          <w:lang w:val="fr-FR"/>
        </w:rPr>
        <w:t>ajout d</w:t>
      </w:r>
      <w:r w:rsidR="0039277D" w:rsidRPr="0039277D">
        <w:rPr>
          <w:lang w:val="fr-FR"/>
        </w:rPr>
        <w:t>’</w:t>
      </w:r>
      <w:r w:rsidRPr="0039277D">
        <w:rPr>
          <w:lang w:val="fr-FR"/>
        </w:rPr>
        <w:t>une disposition spéciale pour le transport de ces réservoirs, sous réserve de quelques observations.</w:t>
      </w:r>
    </w:p>
    <w:p w:rsidR="00D80597" w:rsidRPr="0039277D" w:rsidRDefault="00D80597" w:rsidP="001F071F">
      <w:pPr>
        <w:pStyle w:val="ParNoG"/>
        <w:rPr>
          <w:lang w:val="fr-FR"/>
        </w:rPr>
      </w:pPr>
      <w:r w:rsidRPr="0039277D">
        <w:rPr>
          <w:lang w:val="fr-FR"/>
        </w:rPr>
        <w:t>L</w:t>
      </w:r>
      <w:r w:rsidR="0039277D" w:rsidRPr="0039277D">
        <w:rPr>
          <w:lang w:val="fr-FR"/>
        </w:rPr>
        <w:t>’</w:t>
      </w:r>
      <w:r w:rsidRPr="0039277D">
        <w:rPr>
          <w:lang w:val="fr-FR"/>
        </w:rPr>
        <w:t>experte de l</w:t>
      </w:r>
      <w:r w:rsidR="0039277D" w:rsidRPr="0039277D">
        <w:rPr>
          <w:lang w:val="fr-FR"/>
        </w:rPr>
        <w:t>’</w:t>
      </w:r>
      <w:r w:rsidRPr="0039277D">
        <w:rPr>
          <w:lang w:val="fr-FR"/>
        </w:rPr>
        <w:t>Allemagne a justifié quelques aspects du texte ayant fait l</w:t>
      </w:r>
      <w:r w:rsidR="0039277D" w:rsidRPr="0039277D">
        <w:rPr>
          <w:lang w:val="fr-FR"/>
        </w:rPr>
        <w:t>’</w:t>
      </w:r>
      <w:r w:rsidRPr="0039277D">
        <w:rPr>
          <w:lang w:val="fr-FR"/>
        </w:rPr>
        <w:t>objet d</w:t>
      </w:r>
      <w:r w:rsidR="0039277D" w:rsidRPr="0039277D">
        <w:rPr>
          <w:lang w:val="fr-FR"/>
        </w:rPr>
        <w:t>’</w:t>
      </w:r>
      <w:r w:rsidRPr="0039277D">
        <w:rPr>
          <w:lang w:val="fr-FR"/>
        </w:rPr>
        <w:t>observations et a annoncé qu</w:t>
      </w:r>
      <w:r w:rsidR="0039277D" w:rsidRPr="0039277D">
        <w:rPr>
          <w:lang w:val="fr-FR"/>
        </w:rPr>
        <w:t>’</w:t>
      </w:r>
      <w:r w:rsidRPr="0039277D">
        <w:rPr>
          <w:lang w:val="fr-FR"/>
        </w:rPr>
        <w:t>elle établirait une nouvelle proposition tenant compte de celles qui lui semblaient pertinentes.</w:t>
      </w:r>
    </w:p>
    <w:p w:rsidR="00D80597" w:rsidRPr="0039277D" w:rsidRDefault="00D80597" w:rsidP="00E12FEC">
      <w:pPr>
        <w:pStyle w:val="H23G"/>
        <w:rPr>
          <w:lang w:val="fr-FR"/>
        </w:rPr>
      </w:pPr>
      <w:r w:rsidRPr="0039277D">
        <w:rPr>
          <w:lang w:val="fr-FR"/>
        </w:rPr>
        <w:tab/>
        <w:t>2.</w:t>
      </w:r>
      <w:r w:rsidRPr="0039277D">
        <w:rPr>
          <w:lang w:val="fr-FR"/>
        </w:rPr>
        <w:tab/>
        <w:t xml:space="preserve">Ajout de renvois à des normes ISO dans le paragraphe 6.2.2 </w:t>
      </w:r>
    </w:p>
    <w:p w:rsidR="00D80597" w:rsidRPr="0039277D" w:rsidRDefault="006E05DE" w:rsidP="00855C98">
      <w:pPr>
        <w:keepNext/>
        <w:spacing w:after="120"/>
        <w:ind w:left="3119" w:hanging="1985"/>
        <w:rPr>
          <w:lang w:val="fr-FR"/>
        </w:rPr>
      </w:pPr>
      <w:r w:rsidRPr="0039277D">
        <w:rPr>
          <w:i/>
          <w:iCs/>
          <w:lang w:val="fr-FR"/>
        </w:rPr>
        <w:t>Document</w:t>
      </w:r>
      <w:r>
        <w:rPr>
          <w:lang w:val="fr-FR"/>
        </w:rPr>
        <w:t> :</w:t>
      </w:r>
      <w:r>
        <w:rPr>
          <w:lang w:val="fr-FR"/>
        </w:rPr>
        <w:tab/>
      </w:r>
      <w:r w:rsidRPr="0039277D">
        <w:rPr>
          <w:lang w:val="fr-FR"/>
        </w:rPr>
        <w:t>ST</w:t>
      </w:r>
      <w:r w:rsidR="00D80597" w:rsidRPr="0039277D">
        <w:rPr>
          <w:lang w:val="fr-FR"/>
        </w:rPr>
        <w:t>/SG/AC.10/C.3/2016/20 (ISO).</w:t>
      </w:r>
    </w:p>
    <w:p w:rsidR="00D80597" w:rsidRPr="0039277D" w:rsidRDefault="00D80597" w:rsidP="00855C98">
      <w:pPr>
        <w:keepNext/>
        <w:spacing w:after="120"/>
        <w:ind w:left="3119" w:hanging="1985"/>
        <w:rPr>
          <w:lang w:val="fr-FR"/>
        </w:rPr>
      </w:pPr>
      <w:r w:rsidRPr="0039277D">
        <w:rPr>
          <w:i/>
          <w:lang w:val="fr-FR"/>
        </w:rPr>
        <w:t>Document informel</w:t>
      </w:r>
      <w:r w:rsidR="0066043C">
        <w:rPr>
          <w:lang w:val="fr-FR"/>
        </w:rPr>
        <w:t> :</w:t>
      </w:r>
      <w:r w:rsidR="0066043C">
        <w:rPr>
          <w:lang w:val="fr-FR"/>
        </w:rPr>
        <w:tab/>
      </w:r>
      <w:r w:rsidRPr="0039277D">
        <w:rPr>
          <w:lang w:val="fr-FR"/>
        </w:rPr>
        <w:t>INF.11 (ISO).</w:t>
      </w:r>
    </w:p>
    <w:p w:rsidR="00D80597" w:rsidRPr="0039277D" w:rsidRDefault="00D80597" w:rsidP="001F071F">
      <w:pPr>
        <w:pStyle w:val="ParNoG"/>
        <w:rPr>
          <w:lang w:val="fr-FR"/>
        </w:rPr>
      </w:pPr>
      <w:r w:rsidRPr="0039277D">
        <w:rPr>
          <w:lang w:val="fr-FR"/>
        </w:rPr>
        <w:t>Les propositions tendant à ajouter de nouveaux renvois à des normes ISO ou à actualiser des renvois existants ont toutes été adoptées, y compris le renvoi à la norme ISO 17871:2015, qui a fait l</w:t>
      </w:r>
      <w:r w:rsidR="0039277D" w:rsidRPr="0039277D">
        <w:rPr>
          <w:lang w:val="fr-FR"/>
        </w:rPr>
        <w:t>’</w:t>
      </w:r>
      <w:r w:rsidRPr="0039277D">
        <w:rPr>
          <w:lang w:val="fr-FR"/>
        </w:rPr>
        <w:t>objet d</w:t>
      </w:r>
      <w:r w:rsidR="0039277D" w:rsidRPr="0039277D">
        <w:rPr>
          <w:lang w:val="fr-FR"/>
        </w:rPr>
        <w:t>’</w:t>
      </w:r>
      <w:r w:rsidRPr="0039277D">
        <w:rPr>
          <w:lang w:val="fr-FR"/>
        </w:rPr>
        <w:t>une mise aux voix car l</w:t>
      </w:r>
      <w:r w:rsidR="0039277D" w:rsidRPr="0039277D">
        <w:rPr>
          <w:lang w:val="fr-FR"/>
        </w:rPr>
        <w:t>’</w:t>
      </w:r>
      <w:r w:rsidRPr="0039277D">
        <w:rPr>
          <w:lang w:val="fr-FR"/>
        </w:rPr>
        <w:t>expert de l</w:t>
      </w:r>
      <w:r w:rsidR="0039277D" w:rsidRPr="0039277D">
        <w:rPr>
          <w:lang w:val="fr-FR"/>
        </w:rPr>
        <w:t>’</w:t>
      </w:r>
      <w:r w:rsidRPr="0039277D">
        <w:rPr>
          <w:lang w:val="fr-FR"/>
        </w:rPr>
        <w:t>Espagne avait exprimé des réserves à son sujet (voir annexe II).</w:t>
      </w:r>
    </w:p>
    <w:p w:rsidR="00D80597" w:rsidRPr="0039277D" w:rsidRDefault="00D80597" w:rsidP="00E12FEC">
      <w:pPr>
        <w:pStyle w:val="H23G"/>
        <w:rPr>
          <w:lang w:val="fr-FR"/>
        </w:rPr>
      </w:pPr>
      <w:r w:rsidRPr="0039277D">
        <w:rPr>
          <w:lang w:val="fr-FR"/>
        </w:rPr>
        <w:tab/>
        <w:t>3.</w:t>
      </w:r>
      <w:r w:rsidRPr="0039277D">
        <w:rPr>
          <w:lang w:val="fr-FR"/>
        </w:rPr>
        <w:tab/>
        <w:t xml:space="preserve">Utilisation de fûts à pression à fonds convexes côté pression </w:t>
      </w:r>
      <w:r w:rsidRPr="0039277D">
        <w:rPr>
          <w:lang w:val="fr-FR"/>
        </w:rPr>
        <w:br/>
        <w:t>pour le transport de gaz corrosifs</w:t>
      </w:r>
    </w:p>
    <w:p w:rsidR="00D80597" w:rsidRPr="0039277D" w:rsidRDefault="00D80597" w:rsidP="006E05DE">
      <w:pPr>
        <w:keepNext/>
        <w:spacing w:after="120"/>
        <w:ind w:left="3119" w:right="1134" w:hanging="1985"/>
        <w:rPr>
          <w:lang w:val="fr-FR"/>
        </w:rPr>
      </w:pPr>
      <w:r w:rsidRPr="0039277D">
        <w:rPr>
          <w:i/>
          <w:lang w:val="fr-FR"/>
        </w:rPr>
        <w:t>Document</w:t>
      </w:r>
      <w:r w:rsidR="0066043C">
        <w:rPr>
          <w:lang w:val="fr-FR"/>
        </w:rPr>
        <w:t> :</w:t>
      </w:r>
      <w:r w:rsidR="0066043C">
        <w:rPr>
          <w:lang w:val="fr-FR"/>
        </w:rPr>
        <w:tab/>
      </w:r>
      <w:r w:rsidRPr="0039277D">
        <w:rPr>
          <w:lang w:val="fr-FR"/>
        </w:rPr>
        <w:t xml:space="preserve">ST/SG/AC.10/C.3/2016/28 (Australie, Canada </w:t>
      </w:r>
      <w:r w:rsidR="006E05DE">
        <w:rPr>
          <w:lang w:val="fr-FR"/>
        </w:rPr>
        <w:br/>
      </w:r>
      <w:r w:rsidRPr="0039277D">
        <w:rPr>
          <w:lang w:val="fr-FR"/>
        </w:rPr>
        <w:t>et États</w:t>
      </w:r>
      <w:r w:rsidRPr="0039277D">
        <w:rPr>
          <w:lang w:val="fr-FR"/>
        </w:rPr>
        <w:noBreakHyphen/>
        <w:t>Unis d</w:t>
      </w:r>
      <w:r w:rsidR="0039277D" w:rsidRPr="0039277D">
        <w:rPr>
          <w:lang w:val="fr-FR"/>
        </w:rPr>
        <w:t>’</w:t>
      </w:r>
      <w:r w:rsidRPr="0039277D">
        <w:rPr>
          <w:lang w:val="fr-FR"/>
        </w:rPr>
        <w:t>Amérique).</w:t>
      </w:r>
    </w:p>
    <w:p w:rsidR="00D80597" w:rsidRPr="0039277D" w:rsidRDefault="00D80597" w:rsidP="00855C98">
      <w:pPr>
        <w:keepNext/>
        <w:spacing w:after="120"/>
        <w:ind w:left="3119" w:hanging="1985"/>
        <w:rPr>
          <w:lang w:val="fr-FR"/>
        </w:rPr>
      </w:pPr>
      <w:r w:rsidRPr="0039277D">
        <w:rPr>
          <w:i/>
          <w:lang w:val="fr-FR"/>
        </w:rPr>
        <w:t>Document informel</w:t>
      </w:r>
      <w:r w:rsidR="0066043C">
        <w:rPr>
          <w:lang w:val="fr-FR"/>
        </w:rPr>
        <w:t> :</w:t>
      </w:r>
      <w:r w:rsidR="0066043C">
        <w:rPr>
          <w:lang w:val="fr-FR"/>
        </w:rPr>
        <w:tab/>
      </w:r>
      <w:r w:rsidRPr="0039277D">
        <w:rPr>
          <w:lang w:val="fr-FR"/>
        </w:rPr>
        <w:t>INF.53 (Brésil).</w:t>
      </w:r>
    </w:p>
    <w:p w:rsidR="00D80597" w:rsidRPr="0039277D" w:rsidRDefault="00D80597" w:rsidP="001F071F">
      <w:pPr>
        <w:pStyle w:val="ParNoG"/>
        <w:rPr>
          <w:lang w:val="fr-FR"/>
        </w:rPr>
      </w:pPr>
      <w:r w:rsidRPr="0039277D">
        <w:rPr>
          <w:lang w:val="fr-FR"/>
        </w:rPr>
        <w:t>Ces documents avaient été soumis comme suite aux débats qui avaient eu lieu à la session précédente (voir le document ST/SG/AC.10/C.3/96, par. 66 et 67). L</w:t>
      </w:r>
      <w:r w:rsidR="0039277D" w:rsidRPr="0039277D">
        <w:rPr>
          <w:lang w:val="fr-FR"/>
        </w:rPr>
        <w:t>’</w:t>
      </w:r>
      <w:r w:rsidRPr="0039277D">
        <w:rPr>
          <w:lang w:val="fr-FR"/>
        </w:rPr>
        <w:t>introduction d</w:t>
      </w:r>
      <w:r w:rsidR="0039277D" w:rsidRPr="0039277D">
        <w:rPr>
          <w:lang w:val="fr-FR"/>
        </w:rPr>
        <w:t>’</w:t>
      </w:r>
      <w:r w:rsidRPr="0039277D">
        <w:rPr>
          <w:lang w:val="fr-FR"/>
        </w:rPr>
        <w:t>un renvoi à la norme ISO 21172-1:2015 aurait entraîné l</w:t>
      </w:r>
      <w:r w:rsidR="0039277D" w:rsidRPr="0039277D">
        <w:rPr>
          <w:lang w:val="fr-FR"/>
        </w:rPr>
        <w:t>’</w:t>
      </w:r>
      <w:r w:rsidRPr="0039277D">
        <w:rPr>
          <w:lang w:val="fr-FR"/>
        </w:rPr>
        <w:t>interdiction d</w:t>
      </w:r>
      <w:r w:rsidR="0039277D" w:rsidRPr="0039277D">
        <w:rPr>
          <w:lang w:val="fr-FR"/>
        </w:rPr>
        <w:t>’</w:t>
      </w:r>
      <w:r w:rsidRPr="0039277D">
        <w:rPr>
          <w:lang w:val="fr-FR"/>
        </w:rPr>
        <w:t>utiliser des fûts à pression à fonds convexes côté pression, qui étaient employés depuis des années dans de nombreux pays du monde pour transporter des gaz corrosifs en toute sécurité.</w:t>
      </w:r>
    </w:p>
    <w:p w:rsidR="00D80597" w:rsidRPr="0039277D" w:rsidRDefault="00D80597" w:rsidP="001F071F">
      <w:pPr>
        <w:pStyle w:val="ParNoG"/>
        <w:rPr>
          <w:lang w:val="fr-FR"/>
        </w:rPr>
      </w:pPr>
      <w:r w:rsidRPr="0039277D">
        <w:rPr>
          <w:lang w:val="fr-FR"/>
        </w:rPr>
        <w:t xml:space="preserve">La proposition énoncée dans la première option du document, tendant à autoriser le transport de gaz corrosifs dans ce type de fûts à pression, a été mise aux voix et adoptée (voir annexe II). </w:t>
      </w:r>
    </w:p>
    <w:p w:rsidR="00D80597" w:rsidRPr="0039277D" w:rsidRDefault="00D80597" w:rsidP="00E12FEC">
      <w:pPr>
        <w:pStyle w:val="H23G"/>
        <w:rPr>
          <w:lang w:val="fr-FR"/>
        </w:rPr>
      </w:pPr>
      <w:r w:rsidRPr="0039277D">
        <w:rPr>
          <w:lang w:val="fr-FR"/>
        </w:rPr>
        <w:tab/>
        <w:t>4.</w:t>
      </w:r>
      <w:r w:rsidRPr="0039277D">
        <w:rPr>
          <w:lang w:val="fr-FR"/>
        </w:rPr>
        <w:tab/>
        <w:t>Amendement à la prescription d</w:t>
      </w:r>
      <w:r w:rsidR="0039277D" w:rsidRPr="0039277D">
        <w:rPr>
          <w:lang w:val="fr-FR"/>
        </w:rPr>
        <w:t>’</w:t>
      </w:r>
      <w:r w:rsidRPr="0039277D">
        <w:rPr>
          <w:lang w:val="fr-FR"/>
        </w:rPr>
        <w:t>emballage P206</w:t>
      </w:r>
    </w:p>
    <w:p w:rsidR="00D80597" w:rsidRPr="0039277D" w:rsidRDefault="00D80597" w:rsidP="00855C98">
      <w:pPr>
        <w:keepNext/>
        <w:spacing w:after="120"/>
        <w:ind w:left="3119" w:hanging="1985"/>
        <w:rPr>
          <w:lang w:val="fr-FR"/>
        </w:rPr>
      </w:pPr>
      <w:r w:rsidRPr="0039277D">
        <w:rPr>
          <w:i/>
          <w:lang w:val="fr-FR"/>
        </w:rPr>
        <w:t>Document informel</w:t>
      </w:r>
      <w:r w:rsidR="0066043C">
        <w:rPr>
          <w:lang w:val="fr-FR"/>
        </w:rPr>
        <w:t> :</w:t>
      </w:r>
      <w:r w:rsidR="0066043C">
        <w:rPr>
          <w:lang w:val="fr-FR"/>
        </w:rPr>
        <w:tab/>
      </w:r>
      <w:r w:rsidRPr="0039277D">
        <w:rPr>
          <w:lang w:val="fr-FR"/>
        </w:rPr>
        <w:t>INF.41 (Royaume-Uni).</w:t>
      </w:r>
    </w:p>
    <w:p w:rsidR="00D80597" w:rsidRPr="0039277D" w:rsidRDefault="00D80597" w:rsidP="001F071F">
      <w:pPr>
        <w:pStyle w:val="ParNoG"/>
        <w:rPr>
          <w:lang w:val="fr-FR"/>
        </w:rPr>
      </w:pPr>
      <w:r w:rsidRPr="0039277D">
        <w:rPr>
          <w:lang w:val="fr-FR"/>
        </w:rPr>
        <w:t>Les propositions dont il s</w:t>
      </w:r>
      <w:r w:rsidR="0039277D" w:rsidRPr="0039277D">
        <w:rPr>
          <w:lang w:val="fr-FR"/>
        </w:rPr>
        <w:t>’</w:t>
      </w:r>
      <w:r w:rsidRPr="0039277D">
        <w:rPr>
          <w:lang w:val="fr-FR"/>
        </w:rPr>
        <w:t>agissait étaient liées aux amendements à l</w:t>
      </w:r>
      <w:r w:rsidR="0039277D" w:rsidRPr="0039277D">
        <w:rPr>
          <w:lang w:val="fr-FR"/>
        </w:rPr>
        <w:t>’</w:t>
      </w:r>
      <w:r w:rsidRPr="0039277D">
        <w:rPr>
          <w:lang w:val="fr-FR"/>
        </w:rPr>
        <w:t>alinéa e) du paragraphe 3 de la prescription d</w:t>
      </w:r>
      <w:r w:rsidR="0039277D" w:rsidRPr="0039277D">
        <w:rPr>
          <w:lang w:val="fr-FR"/>
        </w:rPr>
        <w:t>’</w:t>
      </w:r>
      <w:r w:rsidRPr="0039277D">
        <w:rPr>
          <w:lang w:val="fr-FR"/>
        </w:rPr>
        <w:t>emballage P200 adoptés entre crochets à la session précédente. Étant donné qu</w:t>
      </w:r>
      <w:r w:rsidR="0039277D" w:rsidRPr="0039277D">
        <w:rPr>
          <w:lang w:val="fr-FR"/>
        </w:rPr>
        <w:t>’</w:t>
      </w:r>
      <w:r w:rsidRPr="0039277D">
        <w:rPr>
          <w:lang w:val="fr-FR"/>
        </w:rPr>
        <w:t>elles avaient été soumises dans un document informel, le Sous-Comité a décidé de les adopter entre crochets en vue de les examiner et de les confirmer à sa session suivante (voir l</w:t>
      </w:r>
      <w:r w:rsidR="0039277D" w:rsidRPr="0039277D">
        <w:rPr>
          <w:lang w:val="fr-FR"/>
        </w:rPr>
        <w:t>’</w:t>
      </w:r>
      <w:r w:rsidRPr="0039277D">
        <w:rPr>
          <w:lang w:val="fr-FR"/>
        </w:rPr>
        <w:t>annexe II).</w:t>
      </w:r>
    </w:p>
    <w:p w:rsidR="00D80597" w:rsidRPr="0039277D" w:rsidRDefault="00D80597" w:rsidP="00E12FEC">
      <w:pPr>
        <w:pStyle w:val="HChG"/>
        <w:rPr>
          <w:lang w:val="fr-FR"/>
        </w:rPr>
      </w:pPr>
      <w:r w:rsidRPr="0039277D">
        <w:rPr>
          <w:lang w:val="fr-FR"/>
        </w:rPr>
        <w:tab/>
        <w:t>VII.</w:t>
      </w:r>
      <w:r w:rsidRPr="0039277D">
        <w:rPr>
          <w:lang w:val="fr-FR"/>
        </w:rPr>
        <w:tab/>
        <w:t>Propositions diverses d</w:t>
      </w:r>
      <w:r w:rsidR="0039277D" w:rsidRPr="0039277D">
        <w:rPr>
          <w:lang w:val="fr-FR"/>
        </w:rPr>
        <w:t>’</w:t>
      </w:r>
      <w:r w:rsidRPr="0039277D">
        <w:rPr>
          <w:lang w:val="fr-FR"/>
        </w:rPr>
        <w:t xml:space="preserve">amendements au Règlement </w:t>
      </w:r>
      <w:r w:rsidRPr="0039277D">
        <w:rPr>
          <w:lang w:val="fr-FR"/>
        </w:rPr>
        <w:br/>
        <w:t xml:space="preserve">type relatif au transport des marchandises dangereuses </w:t>
      </w:r>
      <w:r w:rsidRPr="0039277D">
        <w:rPr>
          <w:lang w:val="fr-FR"/>
        </w:rPr>
        <w:br/>
        <w:t>(point 6 de l</w:t>
      </w:r>
      <w:r w:rsidR="0039277D" w:rsidRPr="0039277D">
        <w:rPr>
          <w:lang w:val="fr-FR"/>
        </w:rPr>
        <w:t>’</w:t>
      </w:r>
      <w:r w:rsidRPr="0039277D">
        <w:rPr>
          <w:lang w:val="fr-FR"/>
        </w:rPr>
        <w:t xml:space="preserve">ordre du jour) </w:t>
      </w:r>
    </w:p>
    <w:p w:rsidR="00D80597" w:rsidRPr="0039277D" w:rsidRDefault="00D80597" w:rsidP="00E12FEC">
      <w:pPr>
        <w:pStyle w:val="H1G"/>
        <w:rPr>
          <w:lang w:val="fr-FR"/>
        </w:rPr>
      </w:pPr>
      <w:r w:rsidRPr="0039277D">
        <w:rPr>
          <w:lang w:val="fr-FR"/>
        </w:rPr>
        <w:tab/>
        <w:t>A.</w:t>
      </w:r>
      <w:r w:rsidRPr="0039277D">
        <w:rPr>
          <w:lang w:val="fr-FR"/>
        </w:rPr>
        <w:tab/>
        <w:t xml:space="preserve">Marchandises dangereuses contenues dans des machines, </w:t>
      </w:r>
      <w:r w:rsidRPr="0039277D">
        <w:rPr>
          <w:lang w:val="fr-FR"/>
        </w:rPr>
        <w:br/>
        <w:t>des appareils ou des objets, N.S.A.</w:t>
      </w:r>
    </w:p>
    <w:p w:rsidR="00D80597" w:rsidRPr="0039277D" w:rsidRDefault="00D80597" w:rsidP="00E12FEC">
      <w:pPr>
        <w:pStyle w:val="H23G"/>
        <w:rPr>
          <w:lang w:val="fr-FR"/>
        </w:rPr>
      </w:pPr>
      <w:r w:rsidRPr="0039277D">
        <w:rPr>
          <w:lang w:val="fr-FR"/>
        </w:rPr>
        <w:tab/>
        <w:t>1.</w:t>
      </w:r>
      <w:r w:rsidRPr="0039277D">
        <w:rPr>
          <w:lang w:val="fr-FR"/>
        </w:rPr>
        <w:tab/>
        <w:t xml:space="preserve">Marchandises dangereuses contenues dans des machines, </w:t>
      </w:r>
      <w:r w:rsidR="000D7C82">
        <w:rPr>
          <w:lang w:val="fr-FR"/>
        </w:rPr>
        <w:br/>
      </w:r>
      <w:r w:rsidRPr="0039277D">
        <w:rPr>
          <w:lang w:val="fr-FR"/>
        </w:rPr>
        <w:t>des appareils ou des objets, N.S.A.</w:t>
      </w:r>
    </w:p>
    <w:p w:rsidR="00D80597" w:rsidRPr="0039277D" w:rsidRDefault="00D80597" w:rsidP="00855C98">
      <w:pPr>
        <w:keepNext/>
        <w:spacing w:after="120"/>
        <w:ind w:left="3119" w:hanging="1985"/>
        <w:rPr>
          <w:lang w:val="fr-FR"/>
        </w:rPr>
      </w:pPr>
      <w:r w:rsidRPr="0039277D">
        <w:rPr>
          <w:i/>
          <w:lang w:val="fr-FR"/>
        </w:rPr>
        <w:t>Document</w:t>
      </w:r>
      <w:r w:rsidR="0066043C">
        <w:rPr>
          <w:lang w:val="fr-FR"/>
        </w:rPr>
        <w:t> :</w:t>
      </w:r>
      <w:r w:rsidR="0066043C">
        <w:rPr>
          <w:lang w:val="fr-FR"/>
        </w:rPr>
        <w:tab/>
        <w:t>S</w:t>
      </w:r>
      <w:r w:rsidRPr="0039277D">
        <w:rPr>
          <w:lang w:val="fr-FR"/>
        </w:rPr>
        <w:t>T/SG/AC.10/C.3/2016/34 (Royaume-Uni).</w:t>
      </w:r>
    </w:p>
    <w:p w:rsidR="00D80597" w:rsidRPr="0039277D" w:rsidRDefault="00D80597" w:rsidP="00855C98">
      <w:pPr>
        <w:keepNext/>
        <w:spacing w:after="120"/>
        <w:ind w:left="3119" w:hanging="1985"/>
        <w:rPr>
          <w:lang w:val="fr-FR"/>
        </w:rPr>
      </w:pPr>
      <w:r w:rsidRPr="0039277D">
        <w:rPr>
          <w:i/>
          <w:lang w:val="fr-FR"/>
        </w:rPr>
        <w:t>Documents informels</w:t>
      </w:r>
      <w:r w:rsidRPr="0039277D">
        <w:rPr>
          <w:lang w:val="fr-FR"/>
        </w:rPr>
        <w:t> :</w:t>
      </w:r>
      <w:r w:rsidRPr="0039277D">
        <w:rPr>
          <w:lang w:val="fr-FR"/>
        </w:rPr>
        <w:tab/>
        <w:t>INF.17 (Royaume-Uni)</w:t>
      </w:r>
      <w:r w:rsidRPr="0039277D">
        <w:rPr>
          <w:lang w:val="fr-FR"/>
        </w:rPr>
        <w:br/>
        <w:t>INF.26 (Pays-Bas).</w:t>
      </w:r>
    </w:p>
    <w:p w:rsidR="00D80597" w:rsidRPr="0039277D" w:rsidRDefault="00D80597" w:rsidP="001F071F">
      <w:pPr>
        <w:pStyle w:val="ParNoG"/>
        <w:rPr>
          <w:lang w:val="fr-FR"/>
        </w:rPr>
      </w:pPr>
      <w:r w:rsidRPr="0039277D">
        <w:rPr>
          <w:lang w:val="fr-FR"/>
        </w:rPr>
        <w:t>Après un débat préliminaire en séance plénière, les propositions ont été confiées à un groupe de travail de pause déjeuner. Rendant compte des résultats des discussions du groupe de travail, l</w:t>
      </w:r>
      <w:r w:rsidR="0039277D" w:rsidRPr="0039277D">
        <w:rPr>
          <w:lang w:val="fr-FR"/>
        </w:rPr>
        <w:t>’</w:t>
      </w:r>
      <w:r w:rsidRPr="0039277D">
        <w:rPr>
          <w:lang w:val="fr-FR"/>
        </w:rPr>
        <w:t>expert du Royaume-Uni a dit qu</w:t>
      </w:r>
      <w:r w:rsidR="0039277D" w:rsidRPr="0039277D">
        <w:rPr>
          <w:lang w:val="fr-FR"/>
        </w:rPr>
        <w:t>’</w:t>
      </w:r>
      <w:r w:rsidRPr="0039277D">
        <w:rPr>
          <w:lang w:val="fr-FR"/>
        </w:rPr>
        <w:t>il subsistait encore plusieurs points de désaccord. Il a fait savoir que les travaux se poursuivraient par correspondance et que si, d</w:t>
      </w:r>
      <w:r w:rsidR="0039277D" w:rsidRPr="0039277D">
        <w:rPr>
          <w:lang w:val="fr-FR"/>
        </w:rPr>
        <w:t>’</w:t>
      </w:r>
      <w:r w:rsidRPr="0039277D">
        <w:rPr>
          <w:lang w:val="fr-FR"/>
        </w:rPr>
        <w:t>ici à la fin du mois d</w:t>
      </w:r>
      <w:r w:rsidR="0039277D" w:rsidRPr="0039277D">
        <w:rPr>
          <w:lang w:val="fr-FR"/>
        </w:rPr>
        <w:t>’</w:t>
      </w:r>
      <w:r w:rsidRPr="0039277D">
        <w:rPr>
          <w:lang w:val="fr-FR"/>
        </w:rPr>
        <w:t>août, il estimait qu</w:t>
      </w:r>
      <w:r w:rsidR="0039277D" w:rsidRPr="0039277D">
        <w:rPr>
          <w:lang w:val="fr-FR"/>
        </w:rPr>
        <w:t>’</w:t>
      </w:r>
      <w:r w:rsidRPr="0039277D">
        <w:rPr>
          <w:lang w:val="fr-FR"/>
        </w:rPr>
        <w:t>un accord était possible avant la fin de l</w:t>
      </w:r>
      <w:r w:rsidR="0039277D" w:rsidRPr="0039277D">
        <w:rPr>
          <w:lang w:val="fr-FR"/>
        </w:rPr>
        <w:t>’</w:t>
      </w:r>
      <w:r w:rsidRPr="0039277D">
        <w:rPr>
          <w:lang w:val="fr-FR"/>
        </w:rPr>
        <w:t>année, il soumettrait une proposition révisée à la prochaine session. Dans le cas contraire, les travaux devraient sans doute être reportés au prochain exercice biennal.</w:t>
      </w:r>
    </w:p>
    <w:p w:rsidR="00D80597" w:rsidRPr="0039277D" w:rsidRDefault="00D80597" w:rsidP="00DF467B">
      <w:pPr>
        <w:pStyle w:val="H23G"/>
        <w:rPr>
          <w:lang w:val="fr-FR"/>
        </w:rPr>
      </w:pPr>
      <w:r w:rsidRPr="0039277D">
        <w:rPr>
          <w:lang w:val="fr-FR"/>
        </w:rPr>
        <w:tab/>
        <w:t>2.</w:t>
      </w:r>
      <w:r w:rsidRPr="0039277D">
        <w:rPr>
          <w:lang w:val="fr-FR"/>
        </w:rPr>
        <w:tab/>
        <w:t>Précisions concernant la disposition spéciale 363 et l</w:t>
      </w:r>
      <w:r w:rsidR="0039277D" w:rsidRPr="0039277D">
        <w:rPr>
          <w:lang w:val="fr-FR"/>
        </w:rPr>
        <w:t>’</w:t>
      </w:r>
      <w:r w:rsidRPr="0039277D">
        <w:rPr>
          <w:lang w:val="fr-FR"/>
        </w:rPr>
        <w:t>instruction d</w:t>
      </w:r>
      <w:r w:rsidR="0039277D" w:rsidRPr="0039277D">
        <w:rPr>
          <w:lang w:val="fr-FR"/>
        </w:rPr>
        <w:t>’</w:t>
      </w:r>
      <w:r w:rsidRPr="0039277D">
        <w:rPr>
          <w:lang w:val="fr-FR"/>
        </w:rPr>
        <w:t>emballage P005</w:t>
      </w:r>
    </w:p>
    <w:p w:rsidR="00D80597" w:rsidRPr="0039277D" w:rsidRDefault="000D7C82" w:rsidP="00855C98">
      <w:pPr>
        <w:keepNext/>
        <w:spacing w:after="120"/>
        <w:ind w:left="3119" w:hanging="1985"/>
        <w:rPr>
          <w:lang w:val="fr-FR"/>
        </w:rPr>
      </w:pPr>
      <w:r w:rsidRPr="0039277D">
        <w:rPr>
          <w:i/>
          <w:iCs/>
          <w:lang w:val="fr-FR"/>
        </w:rPr>
        <w:t>Document</w:t>
      </w:r>
      <w:r>
        <w:rPr>
          <w:lang w:val="fr-FR"/>
        </w:rPr>
        <w:t> :</w:t>
      </w:r>
      <w:r>
        <w:rPr>
          <w:lang w:val="fr-FR"/>
        </w:rPr>
        <w:tab/>
      </w:r>
      <w:r w:rsidRPr="0039277D">
        <w:rPr>
          <w:lang w:val="fr-FR"/>
        </w:rPr>
        <w:t>ST</w:t>
      </w:r>
      <w:r w:rsidR="00D80597" w:rsidRPr="0039277D">
        <w:rPr>
          <w:lang w:val="fr-FR"/>
        </w:rPr>
        <w:t>/SG/AC.10/C.3/2016/14 (France).</w:t>
      </w:r>
    </w:p>
    <w:p w:rsidR="00D80597" w:rsidRPr="0039277D" w:rsidRDefault="00D80597" w:rsidP="00855C98">
      <w:pPr>
        <w:keepNext/>
        <w:spacing w:after="120"/>
        <w:ind w:left="3119" w:hanging="1985"/>
        <w:rPr>
          <w:lang w:val="fr-FR"/>
        </w:rPr>
      </w:pPr>
      <w:r w:rsidRPr="0039277D">
        <w:rPr>
          <w:i/>
          <w:lang w:val="fr-FR"/>
        </w:rPr>
        <w:t>Documents informels</w:t>
      </w:r>
      <w:r w:rsidRPr="0039277D">
        <w:rPr>
          <w:lang w:val="fr-FR"/>
        </w:rPr>
        <w:t> :</w:t>
      </w:r>
      <w:r w:rsidRPr="0039277D">
        <w:rPr>
          <w:lang w:val="fr-FR"/>
        </w:rPr>
        <w:tab/>
        <w:t>INF.22 (Suisse)</w:t>
      </w:r>
      <w:r w:rsidRPr="0039277D">
        <w:rPr>
          <w:lang w:val="fr-FR"/>
        </w:rPr>
        <w:br/>
        <w:t>INF.77 (États-Unis d</w:t>
      </w:r>
      <w:r w:rsidR="0039277D" w:rsidRPr="0039277D">
        <w:rPr>
          <w:lang w:val="fr-FR"/>
        </w:rPr>
        <w:t>’</w:t>
      </w:r>
      <w:r w:rsidRPr="0039277D">
        <w:rPr>
          <w:lang w:val="fr-FR"/>
        </w:rPr>
        <w:t>Amérique, France et Suisse).</w:t>
      </w:r>
    </w:p>
    <w:p w:rsidR="00D80597" w:rsidRPr="0039277D" w:rsidRDefault="00D80597" w:rsidP="001F071F">
      <w:pPr>
        <w:pStyle w:val="ParNoG"/>
        <w:rPr>
          <w:lang w:val="fr-FR"/>
        </w:rPr>
      </w:pPr>
      <w:r w:rsidRPr="0039277D">
        <w:rPr>
          <w:lang w:val="fr-FR"/>
        </w:rPr>
        <w:t>Cette question avait été examinée au titre du point 4 d) de l</w:t>
      </w:r>
      <w:r w:rsidR="0039277D" w:rsidRPr="0039277D">
        <w:rPr>
          <w:lang w:val="fr-FR"/>
        </w:rPr>
        <w:t>’</w:t>
      </w:r>
      <w:r w:rsidRPr="0039277D">
        <w:rPr>
          <w:lang w:val="fr-FR"/>
        </w:rPr>
        <w:t>ordre du jour dans le cadre des propositions d</w:t>
      </w:r>
      <w:r w:rsidR="0039277D" w:rsidRPr="0039277D">
        <w:rPr>
          <w:lang w:val="fr-FR"/>
        </w:rPr>
        <w:t>’</w:t>
      </w:r>
      <w:r w:rsidRPr="0039277D">
        <w:rPr>
          <w:lang w:val="fr-FR"/>
        </w:rPr>
        <w:t>amendements aux dispositions spéciales relatives au transport de véhicules (voir le paragraphe 90).</w:t>
      </w:r>
    </w:p>
    <w:p w:rsidR="00D80597" w:rsidRPr="0039277D" w:rsidRDefault="00D80597" w:rsidP="00DF467B">
      <w:pPr>
        <w:pStyle w:val="H23G"/>
        <w:rPr>
          <w:lang w:val="fr-FR"/>
        </w:rPr>
      </w:pPr>
      <w:r w:rsidRPr="0039277D">
        <w:rPr>
          <w:lang w:val="fr-FR"/>
        </w:rPr>
        <w:tab/>
        <w:t>3.</w:t>
      </w:r>
      <w:r w:rsidRPr="0039277D">
        <w:rPr>
          <w:lang w:val="fr-FR"/>
        </w:rPr>
        <w:tab/>
        <w:t>Champ d</w:t>
      </w:r>
      <w:r w:rsidR="0039277D" w:rsidRPr="0039277D">
        <w:rPr>
          <w:lang w:val="fr-FR"/>
        </w:rPr>
        <w:t>’</w:t>
      </w:r>
      <w:r w:rsidRPr="0039277D">
        <w:rPr>
          <w:lang w:val="fr-FR"/>
        </w:rPr>
        <w:t>application de la disposition spéciale 363</w:t>
      </w:r>
    </w:p>
    <w:p w:rsidR="00D80597" w:rsidRPr="0039277D" w:rsidRDefault="00D80597" w:rsidP="00855C98">
      <w:pPr>
        <w:keepNext/>
        <w:spacing w:after="120"/>
        <w:ind w:left="3119" w:hanging="1985"/>
        <w:rPr>
          <w:lang w:val="fr-FR"/>
        </w:rPr>
      </w:pPr>
      <w:r w:rsidRPr="0039277D">
        <w:rPr>
          <w:i/>
          <w:iCs/>
          <w:lang w:val="fr-FR"/>
        </w:rPr>
        <w:t>Document informel</w:t>
      </w:r>
      <w:r w:rsidRPr="0039277D">
        <w:rPr>
          <w:lang w:val="fr-FR"/>
        </w:rPr>
        <w:t> :</w:t>
      </w:r>
      <w:r w:rsidRPr="0039277D">
        <w:rPr>
          <w:lang w:val="fr-FR"/>
        </w:rPr>
        <w:tab/>
        <w:t>INF.19 (Suisse).</w:t>
      </w:r>
    </w:p>
    <w:p w:rsidR="00D80597" w:rsidRPr="0039277D" w:rsidRDefault="00D80597" w:rsidP="001F071F">
      <w:pPr>
        <w:pStyle w:val="ParNoG"/>
        <w:rPr>
          <w:lang w:val="fr-FR"/>
        </w:rPr>
      </w:pPr>
      <w:r w:rsidRPr="0039277D">
        <w:rPr>
          <w:lang w:val="fr-FR"/>
        </w:rPr>
        <w:t>Plusieurs experts partageaient le point de vue de la Suisse selon lequel il convenait de supprimer, à l</w:t>
      </w:r>
      <w:r w:rsidR="0039277D" w:rsidRPr="0039277D">
        <w:rPr>
          <w:lang w:val="fr-FR"/>
        </w:rPr>
        <w:t>’</w:t>
      </w:r>
      <w:r w:rsidRPr="0039277D">
        <w:rPr>
          <w:lang w:val="fr-FR"/>
        </w:rPr>
        <w:t>alinéa g) iv) de la disposition spéciale 363, la référence faite aux quantités de carburant liquide supérieures à 60</w:t>
      </w:r>
      <w:r w:rsidR="00CF3B8F">
        <w:rPr>
          <w:lang w:val="fr-FR"/>
        </w:rPr>
        <w:t xml:space="preserve"> </w:t>
      </w:r>
      <w:r w:rsidRPr="0039277D">
        <w:rPr>
          <w:lang w:val="fr-FR"/>
        </w:rPr>
        <w:t>l</w:t>
      </w:r>
      <w:r w:rsidR="00CF3B8F">
        <w:rPr>
          <w:lang w:val="fr-FR"/>
        </w:rPr>
        <w:t>itres</w:t>
      </w:r>
      <w:r w:rsidRPr="0039277D">
        <w:rPr>
          <w:lang w:val="fr-FR"/>
        </w:rPr>
        <w:t xml:space="preserve"> pour les </w:t>
      </w:r>
      <w:r w:rsidR="001F071F">
        <w:rPr>
          <w:lang w:val="fr-FR"/>
        </w:rPr>
        <w:t>Nos </w:t>
      </w:r>
      <w:r w:rsidRPr="0039277D">
        <w:rPr>
          <w:lang w:val="fr-FR"/>
        </w:rPr>
        <w:t>ONU 3528 et 3530 car, dans la pratique, il était difficile de vérifier exactement le contenu des réservoirs de carburant des moteurs ou des machines, et parce que la présence de quelques litres de liquide inflammable dans un réservoir vide suffisait à créer une atmosphère explosive. Ils ont estimé que ces moteurs et machines devaient porter des étiquettes et des plaques-étiquettes au même titre que les récipients et citernes vides non nettoyés.</w:t>
      </w:r>
    </w:p>
    <w:p w:rsidR="00D80597" w:rsidRPr="0039277D" w:rsidRDefault="00D80597" w:rsidP="001F071F">
      <w:pPr>
        <w:pStyle w:val="ParNoG"/>
        <w:rPr>
          <w:lang w:val="fr-FR"/>
        </w:rPr>
      </w:pPr>
      <w:r w:rsidRPr="0039277D">
        <w:rPr>
          <w:lang w:val="fr-FR"/>
        </w:rPr>
        <w:t>D</w:t>
      </w:r>
      <w:r w:rsidR="0039277D" w:rsidRPr="0039277D">
        <w:rPr>
          <w:lang w:val="fr-FR"/>
        </w:rPr>
        <w:t>’</w:t>
      </w:r>
      <w:r w:rsidRPr="0039277D">
        <w:rPr>
          <w:lang w:val="fr-FR"/>
        </w:rPr>
        <w:t>autres experts étaient d</w:t>
      </w:r>
      <w:r w:rsidR="0039277D" w:rsidRPr="0039277D">
        <w:rPr>
          <w:lang w:val="fr-FR"/>
        </w:rPr>
        <w:t>’</w:t>
      </w:r>
      <w:r w:rsidRPr="0039277D">
        <w:rPr>
          <w:lang w:val="fr-FR"/>
        </w:rPr>
        <w:t>avis que cette disposition figurait dans le texte actuel à dessein et qu</w:t>
      </w:r>
      <w:r w:rsidR="0039277D" w:rsidRPr="0039277D">
        <w:rPr>
          <w:lang w:val="fr-FR"/>
        </w:rPr>
        <w:t>’</w:t>
      </w:r>
      <w:r w:rsidRPr="0039277D">
        <w:rPr>
          <w:lang w:val="fr-FR"/>
        </w:rPr>
        <w:t>il incombait à l</w:t>
      </w:r>
      <w:r w:rsidR="0039277D" w:rsidRPr="0039277D">
        <w:rPr>
          <w:lang w:val="fr-FR"/>
        </w:rPr>
        <w:t>’</w:t>
      </w:r>
      <w:r w:rsidRPr="0039277D">
        <w:rPr>
          <w:lang w:val="fr-FR"/>
        </w:rPr>
        <w:t>expéditeur de vérifier la quantité de carburant présente et de satisfaire aux prescriptions correspondantes. En outre, ils étaient peu disposés à envisager de modifier un texte qui n</w:t>
      </w:r>
      <w:r w:rsidR="0039277D" w:rsidRPr="0039277D">
        <w:rPr>
          <w:lang w:val="fr-FR"/>
        </w:rPr>
        <w:t>’</w:t>
      </w:r>
      <w:r w:rsidRPr="0039277D">
        <w:rPr>
          <w:lang w:val="fr-FR"/>
        </w:rPr>
        <w:t>était même pas encore applicable puisqu</w:t>
      </w:r>
      <w:r w:rsidR="0039277D" w:rsidRPr="0039277D">
        <w:rPr>
          <w:lang w:val="fr-FR"/>
        </w:rPr>
        <w:t>’</w:t>
      </w:r>
      <w:r w:rsidRPr="0039277D">
        <w:rPr>
          <w:lang w:val="fr-FR"/>
        </w:rPr>
        <w:t>il n</w:t>
      </w:r>
      <w:r w:rsidR="0039277D" w:rsidRPr="0039277D">
        <w:rPr>
          <w:lang w:val="fr-FR"/>
        </w:rPr>
        <w:t>’</w:t>
      </w:r>
      <w:r w:rsidRPr="0039277D">
        <w:rPr>
          <w:lang w:val="fr-FR"/>
        </w:rPr>
        <w:t>avait pas été transposé dans les règlements modaux.</w:t>
      </w:r>
    </w:p>
    <w:p w:rsidR="00D80597" w:rsidRPr="0039277D" w:rsidRDefault="00D80597" w:rsidP="001F071F">
      <w:pPr>
        <w:pStyle w:val="ParNoG"/>
        <w:rPr>
          <w:lang w:val="fr-FR"/>
        </w:rPr>
      </w:pPr>
      <w:r w:rsidRPr="0039277D">
        <w:rPr>
          <w:lang w:val="fr-FR"/>
        </w:rPr>
        <w:t>L</w:t>
      </w:r>
      <w:r w:rsidR="0039277D" w:rsidRPr="0039277D">
        <w:rPr>
          <w:lang w:val="fr-FR"/>
        </w:rPr>
        <w:t>’</w:t>
      </w:r>
      <w:r w:rsidRPr="0039277D">
        <w:rPr>
          <w:lang w:val="fr-FR"/>
        </w:rPr>
        <w:t>expert de la Suisse a dit qu</w:t>
      </w:r>
      <w:r w:rsidR="0039277D" w:rsidRPr="0039277D">
        <w:rPr>
          <w:lang w:val="fr-FR"/>
        </w:rPr>
        <w:t>’</w:t>
      </w:r>
      <w:r w:rsidRPr="0039277D">
        <w:rPr>
          <w:lang w:val="fr-FR"/>
        </w:rPr>
        <w:t>il examinerait la question plus avant avec les autorités de contrôle suisses et qu</w:t>
      </w:r>
      <w:r w:rsidR="0039277D" w:rsidRPr="0039277D">
        <w:rPr>
          <w:lang w:val="fr-FR"/>
        </w:rPr>
        <w:t>’</w:t>
      </w:r>
      <w:r w:rsidRPr="0039277D">
        <w:rPr>
          <w:lang w:val="fr-FR"/>
        </w:rPr>
        <w:t>il soumettrait une proposition officielle à la session suivante.</w:t>
      </w:r>
    </w:p>
    <w:p w:rsidR="00D80597" w:rsidRPr="0039277D" w:rsidRDefault="00D80597" w:rsidP="00DF467B">
      <w:pPr>
        <w:pStyle w:val="H1G"/>
        <w:rPr>
          <w:lang w:val="fr-FR"/>
        </w:rPr>
      </w:pPr>
      <w:r w:rsidRPr="0039277D">
        <w:rPr>
          <w:lang w:val="fr-FR"/>
        </w:rPr>
        <w:tab/>
        <w:t>B.</w:t>
      </w:r>
      <w:r w:rsidRPr="0039277D">
        <w:rPr>
          <w:lang w:val="fr-FR"/>
        </w:rPr>
        <w:tab/>
        <w:t>Marquage et étiquetage</w:t>
      </w:r>
    </w:p>
    <w:p w:rsidR="00D80597" w:rsidRPr="0039277D" w:rsidRDefault="00D80597" w:rsidP="00DF467B">
      <w:pPr>
        <w:pStyle w:val="H23G"/>
        <w:rPr>
          <w:lang w:val="fr-FR"/>
        </w:rPr>
      </w:pPr>
      <w:r w:rsidRPr="0039277D">
        <w:rPr>
          <w:lang w:val="fr-FR"/>
        </w:rPr>
        <w:tab/>
        <w:t>1.</w:t>
      </w:r>
      <w:r w:rsidRPr="0039277D">
        <w:rPr>
          <w:lang w:val="fr-FR"/>
        </w:rPr>
        <w:tab/>
        <w:t xml:space="preserve">Prescriptions relatives à la communication des dangers concernant </w:t>
      </w:r>
      <w:r w:rsidRPr="0039277D">
        <w:rPr>
          <w:lang w:val="fr-FR"/>
        </w:rPr>
        <w:br/>
        <w:t>les conteneurs pour vrac</w:t>
      </w:r>
    </w:p>
    <w:p w:rsidR="00D80597" w:rsidRPr="0039277D" w:rsidRDefault="000D7C82" w:rsidP="00855C98">
      <w:pPr>
        <w:keepNext/>
        <w:spacing w:after="120"/>
        <w:ind w:left="3119" w:hanging="1985"/>
        <w:rPr>
          <w:lang w:val="fr-FR"/>
        </w:rPr>
      </w:pPr>
      <w:r w:rsidRPr="0039277D">
        <w:rPr>
          <w:i/>
          <w:iCs/>
          <w:lang w:val="fr-FR"/>
        </w:rPr>
        <w:t>Document</w:t>
      </w:r>
      <w:r>
        <w:rPr>
          <w:lang w:val="fr-FR"/>
        </w:rPr>
        <w:t> :</w:t>
      </w:r>
      <w:r>
        <w:rPr>
          <w:lang w:val="fr-FR"/>
        </w:rPr>
        <w:tab/>
      </w:r>
      <w:r w:rsidRPr="0039277D">
        <w:rPr>
          <w:lang w:val="fr-FR"/>
        </w:rPr>
        <w:t>ST</w:t>
      </w:r>
      <w:r w:rsidR="00D80597" w:rsidRPr="0039277D">
        <w:rPr>
          <w:lang w:val="fr-FR"/>
        </w:rPr>
        <w:t>/SG/AC.10/C.3/2016/38 (États-Unis d</w:t>
      </w:r>
      <w:r w:rsidR="0039277D" w:rsidRPr="0039277D">
        <w:rPr>
          <w:lang w:val="fr-FR"/>
        </w:rPr>
        <w:t>’</w:t>
      </w:r>
      <w:r w:rsidR="00D80597" w:rsidRPr="0039277D">
        <w:rPr>
          <w:lang w:val="fr-FR"/>
        </w:rPr>
        <w:t>Amérique).</w:t>
      </w:r>
    </w:p>
    <w:p w:rsidR="00D80597" w:rsidRPr="0039277D" w:rsidRDefault="00D80597" w:rsidP="001F071F">
      <w:pPr>
        <w:pStyle w:val="ParNoG"/>
        <w:rPr>
          <w:lang w:val="fr-FR"/>
        </w:rPr>
      </w:pPr>
      <w:r w:rsidRPr="0039277D">
        <w:rPr>
          <w:lang w:val="fr-FR"/>
        </w:rPr>
        <w:t>Les propositions d</w:t>
      </w:r>
      <w:r w:rsidR="0039277D" w:rsidRPr="0039277D">
        <w:rPr>
          <w:lang w:val="fr-FR"/>
        </w:rPr>
        <w:t>’</w:t>
      </w:r>
      <w:r w:rsidRPr="0039277D">
        <w:rPr>
          <w:lang w:val="fr-FR"/>
        </w:rPr>
        <w:t>amendements au chapitre 5.3, qui tendaient à combler une lacune dans le Règlement type concernant le marquage et le placardage des conteneurs pour vrac (voir ST/SG/AC.10/C.3/96, par. 101 et 102), ont été adoptées (voir annexe II).</w:t>
      </w:r>
    </w:p>
    <w:p w:rsidR="00D80597" w:rsidRPr="0039277D" w:rsidRDefault="00D80597" w:rsidP="00DF467B">
      <w:pPr>
        <w:pStyle w:val="H23G"/>
        <w:rPr>
          <w:lang w:val="fr-FR"/>
        </w:rPr>
      </w:pPr>
      <w:r w:rsidRPr="0039277D">
        <w:rPr>
          <w:lang w:val="fr-FR"/>
        </w:rPr>
        <w:tab/>
        <w:t>2.</w:t>
      </w:r>
      <w:r w:rsidRPr="0039277D">
        <w:rPr>
          <w:lang w:val="fr-FR"/>
        </w:rPr>
        <w:tab/>
        <w:t>Conception de la marque pour les batteries au lithium</w:t>
      </w:r>
    </w:p>
    <w:p w:rsidR="00D80597" w:rsidRPr="0039277D" w:rsidRDefault="00D80597" w:rsidP="00855C98">
      <w:pPr>
        <w:keepNext/>
        <w:spacing w:after="120"/>
        <w:ind w:left="3119" w:hanging="1985"/>
        <w:rPr>
          <w:lang w:val="fr-FR"/>
        </w:rPr>
      </w:pPr>
      <w:r w:rsidRPr="0039277D">
        <w:rPr>
          <w:i/>
          <w:lang w:val="fr-FR"/>
        </w:rPr>
        <w:t>Document informel</w:t>
      </w:r>
      <w:r w:rsidR="0066043C">
        <w:rPr>
          <w:i/>
          <w:lang w:val="fr-FR"/>
        </w:rPr>
        <w:t> </w:t>
      </w:r>
      <w:r w:rsidR="0066043C" w:rsidRPr="000D7C82">
        <w:rPr>
          <w:lang w:val="fr-FR"/>
        </w:rPr>
        <w:t>:</w:t>
      </w:r>
      <w:r w:rsidR="0066043C">
        <w:rPr>
          <w:i/>
          <w:lang w:val="fr-FR"/>
        </w:rPr>
        <w:tab/>
      </w:r>
      <w:r w:rsidRPr="0039277D">
        <w:rPr>
          <w:lang w:val="fr-FR"/>
        </w:rPr>
        <w:t>INF.71 (IATA).</w:t>
      </w:r>
    </w:p>
    <w:p w:rsidR="00D80597" w:rsidRPr="0039277D" w:rsidRDefault="00D80597" w:rsidP="001F071F">
      <w:pPr>
        <w:pStyle w:val="ParNoG"/>
        <w:rPr>
          <w:lang w:val="fr-FR"/>
        </w:rPr>
      </w:pPr>
      <w:r w:rsidRPr="0039277D">
        <w:rPr>
          <w:lang w:val="fr-FR"/>
        </w:rPr>
        <w:t>Le Sous-Comité a noté que la description de la nouvelle marque pour les batteries au lithium figurant au paragraphe 5.2.1.9.2 n</w:t>
      </w:r>
      <w:r w:rsidR="0039277D" w:rsidRPr="0039277D">
        <w:rPr>
          <w:lang w:val="fr-FR"/>
        </w:rPr>
        <w:t>’</w:t>
      </w:r>
      <w:r w:rsidRPr="0039277D">
        <w:rPr>
          <w:lang w:val="fr-FR"/>
        </w:rPr>
        <w:t>était pas compatible avec le libellé utilisé pour décrire la marque prescrite pour les quantités limitées et d</w:t>
      </w:r>
      <w:r w:rsidR="0039277D" w:rsidRPr="0039277D">
        <w:rPr>
          <w:lang w:val="fr-FR"/>
        </w:rPr>
        <w:t>’</w:t>
      </w:r>
      <w:r w:rsidRPr="0039277D">
        <w:rPr>
          <w:lang w:val="fr-FR"/>
        </w:rPr>
        <w:t>autres marques pour lesquelles le fond pouvait être blanc ou de couleur contrastée. Le Sous-Comité a reconnu que ce point n</w:t>
      </w:r>
      <w:r w:rsidR="0039277D" w:rsidRPr="0039277D">
        <w:rPr>
          <w:lang w:val="fr-FR"/>
        </w:rPr>
        <w:t>’</w:t>
      </w:r>
      <w:r w:rsidRPr="0039277D">
        <w:rPr>
          <w:lang w:val="fr-FR"/>
        </w:rPr>
        <w:t>avait pas été pris en considération et qu</w:t>
      </w:r>
      <w:r w:rsidR="0039277D" w:rsidRPr="0039277D">
        <w:rPr>
          <w:lang w:val="fr-FR"/>
        </w:rPr>
        <w:t>’</w:t>
      </w:r>
      <w:r w:rsidRPr="0039277D">
        <w:rPr>
          <w:lang w:val="fr-FR"/>
        </w:rPr>
        <w:t>un rectificatif devrait être publié, afin que les organisations modales chargées de la mise en œuvre puissent remédier à cette omission conformément à leurs procédures respectives (voir annexe V).</w:t>
      </w:r>
    </w:p>
    <w:p w:rsidR="00D80597" w:rsidRPr="0039277D" w:rsidRDefault="00D80597" w:rsidP="00DF467B">
      <w:pPr>
        <w:pStyle w:val="H1G"/>
        <w:rPr>
          <w:lang w:val="fr-FR"/>
        </w:rPr>
      </w:pPr>
      <w:r w:rsidRPr="0039277D">
        <w:rPr>
          <w:lang w:val="fr-FR"/>
        </w:rPr>
        <w:tab/>
        <w:t>C.</w:t>
      </w:r>
      <w:r w:rsidRPr="0039277D">
        <w:rPr>
          <w:lang w:val="fr-FR"/>
        </w:rPr>
        <w:tab/>
        <w:t>Emballages</w:t>
      </w:r>
    </w:p>
    <w:p w:rsidR="00D80597" w:rsidRPr="0039277D" w:rsidRDefault="00D80597" w:rsidP="00DF467B">
      <w:pPr>
        <w:pStyle w:val="H23G"/>
        <w:rPr>
          <w:lang w:val="fr-FR"/>
        </w:rPr>
      </w:pPr>
      <w:r w:rsidRPr="0039277D">
        <w:rPr>
          <w:lang w:val="fr-FR"/>
        </w:rPr>
        <w:tab/>
        <w:t>1.</w:t>
      </w:r>
      <w:r w:rsidRPr="0039277D">
        <w:rPr>
          <w:lang w:val="fr-FR"/>
        </w:rPr>
        <w:tab/>
        <w:t>Épreuves sur modèle type pour les GRV</w:t>
      </w:r>
    </w:p>
    <w:p w:rsidR="00D80597" w:rsidRPr="0039277D" w:rsidRDefault="000D7C82" w:rsidP="00855C98">
      <w:pPr>
        <w:keepNext/>
        <w:spacing w:after="120"/>
        <w:ind w:left="3119" w:hanging="1985"/>
        <w:rPr>
          <w:lang w:val="fr-FR"/>
        </w:rPr>
      </w:pPr>
      <w:r w:rsidRPr="0039277D">
        <w:rPr>
          <w:i/>
          <w:iCs/>
          <w:lang w:val="fr-FR"/>
        </w:rPr>
        <w:t>Document</w:t>
      </w:r>
      <w:r>
        <w:rPr>
          <w:lang w:val="fr-FR"/>
        </w:rPr>
        <w:t> :</w:t>
      </w:r>
      <w:r>
        <w:rPr>
          <w:lang w:val="fr-FR"/>
        </w:rPr>
        <w:tab/>
      </w:r>
      <w:r w:rsidRPr="0039277D">
        <w:rPr>
          <w:lang w:val="fr-FR"/>
        </w:rPr>
        <w:t>ST</w:t>
      </w:r>
      <w:r w:rsidR="00D80597" w:rsidRPr="0039277D">
        <w:rPr>
          <w:lang w:val="fr-FR"/>
        </w:rPr>
        <w:t>/SG/AC.10/C.3/2016/1 (Espagne).</w:t>
      </w:r>
    </w:p>
    <w:p w:rsidR="00D80597" w:rsidRPr="0039277D" w:rsidRDefault="00D80597" w:rsidP="001F071F">
      <w:pPr>
        <w:pStyle w:val="ParNoG"/>
        <w:rPr>
          <w:lang w:val="fr-FR"/>
        </w:rPr>
      </w:pPr>
      <w:r w:rsidRPr="0039277D">
        <w:rPr>
          <w:lang w:val="fr-FR"/>
        </w:rPr>
        <w:t>Le Sous-Comité a confirmé l</w:t>
      </w:r>
      <w:r w:rsidR="0039277D" w:rsidRPr="0039277D">
        <w:rPr>
          <w:lang w:val="fr-FR"/>
        </w:rPr>
        <w:t>’</w:t>
      </w:r>
      <w:r w:rsidRPr="0039277D">
        <w:rPr>
          <w:lang w:val="fr-FR"/>
        </w:rPr>
        <w:t>interprétation proposée par l</w:t>
      </w:r>
      <w:r w:rsidR="0039277D" w:rsidRPr="0039277D">
        <w:rPr>
          <w:lang w:val="fr-FR"/>
        </w:rPr>
        <w:t>’</w:t>
      </w:r>
      <w:r w:rsidRPr="0039277D">
        <w:rPr>
          <w:lang w:val="fr-FR"/>
        </w:rPr>
        <w:t>Espagne selon laquelle il était possible d</w:t>
      </w:r>
      <w:r w:rsidR="0039277D" w:rsidRPr="0039277D">
        <w:rPr>
          <w:lang w:val="fr-FR"/>
        </w:rPr>
        <w:t>’</w:t>
      </w:r>
      <w:r w:rsidRPr="0039277D">
        <w:rPr>
          <w:lang w:val="fr-FR"/>
        </w:rPr>
        <w:t>utiliser un GRV différent mais du même modèle type pour chaque essai de l</w:t>
      </w:r>
      <w:r w:rsidR="0039277D" w:rsidRPr="0039277D">
        <w:rPr>
          <w:lang w:val="fr-FR"/>
        </w:rPr>
        <w:t>’</w:t>
      </w:r>
      <w:r w:rsidRPr="0039277D">
        <w:rPr>
          <w:lang w:val="fr-FR"/>
        </w:rPr>
        <w:t>épreuve de chute. Toutefois, il n</w:t>
      </w:r>
      <w:r w:rsidR="0039277D" w:rsidRPr="0039277D">
        <w:rPr>
          <w:lang w:val="fr-FR"/>
        </w:rPr>
        <w:t>’</w:t>
      </w:r>
      <w:r w:rsidRPr="0039277D">
        <w:rPr>
          <w:lang w:val="fr-FR"/>
        </w:rPr>
        <w:t>a pas été jugé nécessaire de modifier le libellé actuel de la note « e » du tableau 6.5.6.3.5, qui paraissait suffisamment clair à cet égard. La proposition d</w:t>
      </w:r>
      <w:r w:rsidR="0039277D" w:rsidRPr="0039277D">
        <w:rPr>
          <w:lang w:val="fr-FR"/>
        </w:rPr>
        <w:t>’</w:t>
      </w:r>
      <w:r w:rsidRPr="0039277D">
        <w:rPr>
          <w:lang w:val="fr-FR"/>
        </w:rPr>
        <w:t>amendements au dernier alinéa du paragraphe 6.5.6.9.3 a été acceptée avec une modification d</w:t>
      </w:r>
      <w:r w:rsidR="0039277D" w:rsidRPr="0039277D">
        <w:rPr>
          <w:lang w:val="fr-FR"/>
        </w:rPr>
        <w:t>’</w:t>
      </w:r>
      <w:r w:rsidRPr="0039277D">
        <w:rPr>
          <w:lang w:val="fr-FR"/>
        </w:rPr>
        <w:t>ordre rédactionnel (voir annexe II).</w:t>
      </w:r>
    </w:p>
    <w:p w:rsidR="00D80597" w:rsidRPr="0039277D" w:rsidRDefault="00D80597" w:rsidP="001F071F">
      <w:pPr>
        <w:pStyle w:val="H23G"/>
        <w:rPr>
          <w:lang w:val="fr-FR"/>
        </w:rPr>
      </w:pPr>
      <w:r w:rsidRPr="0039277D">
        <w:rPr>
          <w:lang w:val="fr-FR"/>
        </w:rPr>
        <w:tab/>
        <w:t>2.</w:t>
      </w:r>
      <w:r w:rsidRPr="0039277D">
        <w:rPr>
          <w:lang w:val="fr-FR"/>
        </w:rPr>
        <w:tab/>
        <w:t>Température de l</w:t>
      </w:r>
      <w:r w:rsidR="0039277D" w:rsidRPr="0039277D">
        <w:rPr>
          <w:lang w:val="fr-FR"/>
        </w:rPr>
        <w:t>’</w:t>
      </w:r>
      <w:r w:rsidRPr="0039277D">
        <w:rPr>
          <w:lang w:val="fr-FR"/>
        </w:rPr>
        <w:t>eau lors de l</w:t>
      </w:r>
      <w:r w:rsidR="0039277D" w:rsidRPr="0039277D">
        <w:rPr>
          <w:lang w:val="fr-FR"/>
        </w:rPr>
        <w:t>’</w:t>
      </w:r>
      <w:r w:rsidRPr="0039277D">
        <w:rPr>
          <w:lang w:val="fr-FR"/>
        </w:rPr>
        <w:t xml:space="preserve">épreuve de pression interne (hydraulique) </w:t>
      </w:r>
      <w:r w:rsidRPr="0039277D">
        <w:rPr>
          <w:lang w:val="fr-FR"/>
        </w:rPr>
        <w:br/>
        <w:t xml:space="preserve">applicable aux emballages en plastique, aux emballages composites </w:t>
      </w:r>
      <w:r w:rsidR="00642433">
        <w:rPr>
          <w:lang w:val="fr-FR"/>
        </w:rPr>
        <w:br/>
      </w:r>
      <w:r w:rsidRPr="0039277D">
        <w:rPr>
          <w:lang w:val="fr-FR"/>
        </w:rPr>
        <w:t xml:space="preserve">(avec récipient en plastique) aux GRV en plastique ou composites </w:t>
      </w:r>
      <w:r w:rsidR="00642433">
        <w:rPr>
          <w:lang w:val="fr-FR"/>
        </w:rPr>
        <w:br/>
      </w:r>
      <w:r w:rsidRPr="0039277D">
        <w:rPr>
          <w:lang w:val="fr-FR"/>
        </w:rPr>
        <w:t>(avec récipient intérieur en plastique)</w:t>
      </w:r>
    </w:p>
    <w:p w:rsidR="00D80597" w:rsidRPr="0039277D" w:rsidRDefault="00D80597" w:rsidP="00855C98">
      <w:pPr>
        <w:keepNext/>
        <w:spacing w:after="120"/>
        <w:ind w:left="3119" w:hanging="1985"/>
        <w:rPr>
          <w:lang w:val="fr-FR"/>
        </w:rPr>
      </w:pPr>
      <w:r w:rsidRPr="000D7C82">
        <w:rPr>
          <w:lang w:val="fr-FR"/>
        </w:rPr>
        <w:t>Document</w:t>
      </w:r>
      <w:r w:rsidR="0066043C" w:rsidRPr="000D7C82">
        <w:rPr>
          <w:lang w:val="fr-FR"/>
        </w:rPr>
        <w:t> :</w:t>
      </w:r>
      <w:r w:rsidR="0066043C" w:rsidRPr="000D7C82">
        <w:rPr>
          <w:lang w:val="fr-FR"/>
        </w:rPr>
        <w:tab/>
        <w:t>S</w:t>
      </w:r>
      <w:r w:rsidRPr="000D7C82">
        <w:rPr>
          <w:lang w:val="fr-FR"/>
        </w:rPr>
        <w:t>T</w:t>
      </w:r>
      <w:r w:rsidRPr="0039277D">
        <w:rPr>
          <w:lang w:val="fr-FR"/>
        </w:rPr>
        <w:t>/SG/AC.10/C.3/2016/11 (Allemagne).</w:t>
      </w:r>
    </w:p>
    <w:p w:rsidR="00D80597" w:rsidRPr="0039277D" w:rsidRDefault="00D80597" w:rsidP="00855C98">
      <w:pPr>
        <w:keepNext/>
        <w:spacing w:after="120"/>
        <w:ind w:left="3119" w:hanging="1985"/>
        <w:rPr>
          <w:lang w:val="fr-FR"/>
        </w:rPr>
      </w:pPr>
      <w:r w:rsidRPr="0039277D">
        <w:rPr>
          <w:i/>
          <w:iCs/>
          <w:lang w:val="fr-FR"/>
        </w:rPr>
        <w:t>Documents informels </w:t>
      </w:r>
      <w:r w:rsidRPr="000D7C82">
        <w:rPr>
          <w:iCs/>
          <w:lang w:val="fr-FR"/>
        </w:rPr>
        <w:t>:</w:t>
      </w:r>
      <w:r w:rsidRPr="000D7C82">
        <w:rPr>
          <w:lang w:val="fr-FR"/>
        </w:rPr>
        <w:tab/>
      </w:r>
      <w:r w:rsidRPr="0039277D">
        <w:rPr>
          <w:lang w:val="fr-FR"/>
        </w:rPr>
        <w:t>INF.13 (ICIBCA et ICPP)</w:t>
      </w:r>
      <w:r w:rsidR="00855C98">
        <w:rPr>
          <w:lang w:val="fr-FR"/>
        </w:rPr>
        <w:br/>
      </w:r>
      <w:r w:rsidRPr="0039277D">
        <w:rPr>
          <w:lang w:val="fr-FR"/>
        </w:rPr>
        <w:t>INF.43 (Allemagne)</w:t>
      </w:r>
      <w:r w:rsidR="00855C98">
        <w:rPr>
          <w:lang w:val="fr-FR"/>
        </w:rPr>
        <w:br/>
      </w:r>
      <w:r w:rsidRPr="0039277D">
        <w:rPr>
          <w:lang w:val="fr-FR"/>
        </w:rPr>
        <w:t>INF.48 (Royaume-Uni).</w:t>
      </w:r>
    </w:p>
    <w:p w:rsidR="00D80597" w:rsidRPr="0039277D" w:rsidRDefault="00D80597" w:rsidP="001F071F">
      <w:pPr>
        <w:pStyle w:val="ParNoG"/>
        <w:rPr>
          <w:lang w:val="fr-FR"/>
        </w:rPr>
      </w:pPr>
      <w:r w:rsidRPr="0039277D">
        <w:rPr>
          <w:lang w:val="fr-FR"/>
        </w:rPr>
        <w:t>Cette question avait déjà été débattue lors des sessions précédentes et plusieurs délégations voyaient toujours des objections à fixer une température minimale de l</w:t>
      </w:r>
      <w:r w:rsidR="0039277D" w:rsidRPr="0039277D">
        <w:rPr>
          <w:lang w:val="fr-FR"/>
        </w:rPr>
        <w:t>’</w:t>
      </w:r>
      <w:r w:rsidRPr="0039277D">
        <w:rPr>
          <w:lang w:val="fr-FR"/>
        </w:rPr>
        <w:t>eau utilisée pour l</w:t>
      </w:r>
      <w:r w:rsidR="0039277D" w:rsidRPr="0039277D">
        <w:rPr>
          <w:lang w:val="fr-FR"/>
        </w:rPr>
        <w:t>’</w:t>
      </w:r>
      <w:r w:rsidRPr="0039277D">
        <w:rPr>
          <w:lang w:val="fr-FR"/>
        </w:rPr>
        <w:t>épreuve de pression hydraulique. Compte tenu des discussions, l</w:t>
      </w:r>
      <w:r w:rsidR="0039277D" w:rsidRPr="0039277D">
        <w:rPr>
          <w:lang w:val="fr-FR"/>
        </w:rPr>
        <w:t>’</w:t>
      </w:r>
      <w:r w:rsidRPr="0039277D">
        <w:rPr>
          <w:lang w:val="fr-FR"/>
        </w:rPr>
        <w:t>expert de l</w:t>
      </w:r>
      <w:r w:rsidR="0039277D" w:rsidRPr="0039277D">
        <w:rPr>
          <w:lang w:val="fr-FR"/>
        </w:rPr>
        <w:t>’</w:t>
      </w:r>
      <w:r w:rsidRPr="0039277D">
        <w:rPr>
          <w:lang w:val="fr-FR"/>
        </w:rPr>
        <w:t>Allemagne a retiré sa proposition au profit de celle de l</w:t>
      </w:r>
      <w:r w:rsidR="0039277D" w:rsidRPr="0039277D">
        <w:rPr>
          <w:lang w:val="fr-FR"/>
        </w:rPr>
        <w:t>’</w:t>
      </w:r>
      <w:r w:rsidRPr="0039277D">
        <w:rPr>
          <w:lang w:val="fr-FR"/>
        </w:rPr>
        <w:t>ICIBCA et de l</w:t>
      </w:r>
      <w:r w:rsidR="0039277D" w:rsidRPr="0039277D">
        <w:rPr>
          <w:lang w:val="fr-FR"/>
        </w:rPr>
        <w:t>’</w:t>
      </w:r>
      <w:r w:rsidRPr="0039277D">
        <w:rPr>
          <w:lang w:val="fr-FR"/>
        </w:rPr>
        <w:t>ICPP (document informel INF.13) consistant à exiger d</w:t>
      </w:r>
      <w:r w:rsidR="0039277D" w:rsidRPr="0039277D">
        <w:rPr>
          <w:lang w:val="fr-FR"/>
        </w:rPr>
        <w:t>’</w:t>
      </w:r>
      <w:r w:rsidRPr="0039277D">
        <w:rPr>
          <w:lang w:val="fr-FR"/>
        </w:rPr>
        <w:t>indiquer la température de l</w:t>
      </w:r>
      <w:r w:rsidR="0039277D" w:rsidRPr="0039277D">
        <w:rPr>
          <w:lang w:val="fr-FR"/>
        </w:rPr>
        <w:t>’</w:t>
      </w:r>
      <w:r w:rsidRPr="0039277D">
        <w:rPr>
          <w:lang w:val="fr-FR"/>
        </w:rPr>
        <w:t>eau dans le rapport d</w:t>
      </w:r>
      <w:r w:rsidR="0039277D" w:rsidRPr="0039277D">
        <w:rPr>
          <w:lang w:val="fr-FR"/>
        </w:rPr>
        <w:t>’</w:t>
      </w:r>
      <w:r w:rsidRPr="0039277D">
        <w:rPr>
          <w:lang w:val="fr-FR"/>
        </w:rPr>
        <w:t>épreuve. Cette dernière proposition a été adoptée (voir annexe II).</w:t>
      </w:r>
    </w:p>
    <w:p w:rsidR="00D80597" w:rsidRPr="0039277D" w:rsidRDefault="00D80597" w:rsidP="00DF467B">
      <w:pPr>
        <w:pStyle w:val="H1G"/>
        <w:rPr>
          <w:lang w:val="fr-FR"/>
        </w:rPr>
      </w:pPr>
      <w:r w:rsidRPr="0039277D">
        <w:rPr>
          <w:lang w:val="fr-FR"/>
        </w:rPr>
        <w:tab/>
        <w:t>D.</w:t>
      </w:r>
      <w:r w:rsidRPr="0039277D">
        <w:rPr>
          <w:lang w:val="fr-FR"/>
        </w:rPr>
        <w:tab/>
        <w:t>Citernes mobiles</w:t>
      </w:r>
    </w:p>
    <w:p w:rsidR="00D80597" w:rsidRPr="0039277D" w:rsidRDefault="00D80597" w:rsidP="001F071F">
      <w:pPr>
        <w:pStyle w:val="ParNoG"/>
        <w:rPr>
          <w:lang w:val="fr-FR"/>
        </w:rPr>
      </w:pPr>
      <w:r w:rsidRPr="0039277D">
        <w:rPr>
          <w:lang w:val="fr-FR"/>
        </w:rPr>
        <w:t>Aucun document n</w:t>
      </w:r>
      <w:r w:rsidR="0039277D" w:rsidRPr="0039277D">
        <w:rPr>
          <w:lang w:val="fr-FR"/>
        </w:rPr>
        <w:t>’</w:t>
      </w:r>
      <w:r w:rsidRPr="0039277D">
        <w:rPr>
          <w:lang w:val="fr-FR"/>
        </w:rPr>
        <w:t>ayant été soumis au titre de ce point de l</w:t>
      </w:r>
      <w:r w:rsidR="0039277D" w:rsidRPr="0039277D">
        <w:rPr>
          <w:lang w:val="fr-FR"/>
        </w:rPr>
        <w:t>’</w:t>
      </w:r>
      <w:r w:rsidRPr="0039277D">
        <w:rPr>
          <w:lang w:val="fr-FR"/>
        </w:rPr>
        <w:t>ordre du jour, la question n</w:t>
      </w:r>
      <w:r w:rsidR="0039277D" w:rsidRPr="0039277D">
        <w:rPr>
          <w:lang w:val="fr-FR"/>
        </w:rPr>
        <w:t>’</w:t>
      </w:r>
      <w:r w:rsidRPr="0039277D">
        <w:rPr>
          <w:lang w:val="fr-FR"/>
        </w:rPr>
        <w:t>a pas été examinée.</w:t>
      </w:r>
    </w:p>
    <w:p w:rsidR="00D80597" w:rsidRPr="0039277D" w:rsidRDefault="00D80597" w:rsidP="00DF467B">
      <w:pPr>
        <w:pStyle w:val="H1G"/>
        <w:rPr>
          <w:lang w:val="fr-FR"/>
        </w:rPr>
      </w:pPr>
      <w:r w:rsidRPr="0039277D">
        <w:rPr>
          <w:lang w:val="fr-FR"/>
        </w:rPr>
        <w:tab/>
        <w:t>E.</w:t>
      </w:r>
      <w:r w:rsidRPr="0039277D">
        <w:rPr>
          <w:lang w:val="fr-FR"/>
        </w:rPr>
        <w:tab/>
        <w:t>Autres propositions diverses</w:t>
      </w:r>
    </w:p>
    <w:p w:rsidR="00D80597" w:rsidRPr="0039277D" w:rsidRDefault="00D80597" w:rsidP="00DF467B">
      <w:pPr>
        <w:pStyle w:val="H23G"/>
        <w:rPr>
          <w:lang w:val="fr-FR"/>
        </w:rPr>
      </w:pPr>
      <w:r w:rsidRPr="0039277D">
        <w:rPr>
          <w:lang w:val="fr-FR"/>
        </w:rPr>
        <w:tab/>
        <w:t>1.</w:t>
      </w:r>
      <w:r w:rsidRPr="0039277D">
        <w:rPr>
          <w:lang w:val="fr-FR"/>
        </w:rPr>
        <w:tab/>
        <w:t>Modification de dispositions spéciales, d</w:t>
      </w:r>
      <w:r w:rsidR="0039277D" w:rsidRPr="0039277D">
        <w:rPr>
          <w:lang w:val="fr-FR"/>
        </w:rPr>
        <w:t>’</w:t>
      </w:r>
      <w:r w:rsidRPr="0039277D">
        <w:rPr>
          <w:lang w:val="fr-FR"/>
        </w:rPr>
        <w:t>instructions d</w:t>
      </w:r>
      <w:r w:rsidR="0039277D" w:rsidRPr="0039277D">
        <w:rPr>
          <w:lang w:val="fr-FR"/>
        </w:rPr>
        <w:t>’</w:t>
      </w:r>
      <w:r w:rsidRPr="0039277D">
        <w:rPr>
          <w:lang w:val="fr-FR"/>
        </w:rPr>
        <w:t xml:space="preserve">emballage </w:t>
      </w:r>
      <w:r w:rsidR="00642433">
        <w:rPr>
          <w:lang w:val="fr-FR"/>
        </w:rPr>
        <w:br/>
      </w:r>
      <w:r w:rsidRPr="0039277D">
        <w:rPr>
          <w:lang w:val="fr-FR"/>
        </w:rPr>
        <w:t>et des sections s</w:t>
      </w:r>
      <w:r w:rsidR="0039277D" w:rsidRPr="0039277D">
        <w:rPr>
          <w:lang w:val="fr-FR"/>
        </w:rPr>
        <w:t>’</w:t>
      </w:r>
      <w:r w:rsidRPr="0039277D">
        <w:rPr>
          <w:lang w:val="fr-FR"/>
        </w:rPr>
        <w:t>y rapportant dans le Règlement type</w:t>
      </w:r>
    </w:p>
    <w:p w:rsidR="00D80597" w:rsidRPr="0039277D" w:rsidRDefault="00D80597" w:rsidP="00855C98">
      <w:pPr>
        <w:keepNext/>
        <w:spacing w:after="120"/>
        <w:ind w:left="3119" w:hanging="1985"/>
        <w:rPr>
          <w:lang w:val="fr-FR"/>
        </w:rPr>
      </w:pPr>
      <w:r w:rsidRPr="000D7C82">
        <w:rPr>
          <w:i/>
          <w:lang w:val="fr-FR"/>
        </w:rPr>
        <w:t>Document</w:t>
      </w:r>
      <w:r w:rsidR="0066043C" w:rsidRPr="000D7C82">
        <w:rPr>
          <w:lang w:val="fr-FR"/>
        </w:rPr>
        <w:t> :</w:t>
      </w:r>
      <w:r w:rsidR="0066043C" w:rsidRPr="000D7C82">
        <w:rPr>
          <w:lang w:val="fr-FR"/>
        </w:rPr>
        <w:tab/>
        <w:t>S</w:t>
      </w:r>
      <w:r w:rsidRPr="000D7C82">
        <w:rPr>
          <w:lang w:val="fr-FR"/>
        </w:rPr>
        <w:t>T</w:t>
      </w:r>
      <w:r w:rsidRPr="0039277D">
        <w:rPr>
          <w:lang w:val="fr-FR"/>
        </w:rPr>
        <w:t>/SG/AC.10/C.3/2016/2 (Fédération de Russie).</w:t>
      </w:r>
    </w:p>
    <w:p w:rsidR="00D80597" w:rsidRPr="0039277D" w:rsidRDefault="00D80597" w:rsidP="00855C98">
      <w:pPr>
        <w:keepNext/>
        <w:spacing w:after="120"/>
        <w:ind w:left="3119" w:hanging="1985"/>
        <w:rPr>
          <w:lang w:val="fr-FR"/>
        </w:rPr>
      </w:pPr>
      <w:r w:rsidRPr="0039277D">
        <w:rPr>
          <w:i/>
          <w:lang w:val="fr-FR"/>
        </w:rPr>
        <w:t>Document informel</w:t>
      </w:r>
      <w:r w:rsidR="0066043C">
        <w:rPr>
          <w:lang w:val="fr-FR"/>
        </w:rPr>
        <w:t> </w:t>
      </w:r>
      <w:r w:rsidR="0066043C" w:rsidRPr="000D7C82">
        <w:rPr>
          <w:lang w:val="fr-FR"/>
        </w:rPr>
        <w:t>:</w:t>
      </w:r>
      <w:r w:rsidR="0066043C">
        <w:rPr>
          <w:lang w:val="fr-FR"/>
        </w:rPr>
        <w:tab/>
      </w:r>
      <w:r w:rsidRPr="0039277D">
        <w:rPr>
          <w:lang w:val="fr-FR"/>
        </w:rPr>
        <w:t>INF.3 (Fédération de Russie).</w:t>
      </w:r>
    </w:p>
    <w:p w:rsidR="00D80597" w:rsidRPr="0039277D" w:rsidRDefault="00D80597" w:rsidP="001F071F">
      <w:pPr>
        <w:pStyle w:val="ParNoG"/>
        <w:rPr>
          <w:lang w:val="fr-FR"/>
        </w:rPr>
      </w:pPr>
      <w:r w:rsidRPr="0039277D">
        <w:rPr>
          <w:lang w:val="fr-FR"/>
        </w:rPr>
        <w:t>Les modifications énoncées dans les propositions 1 et 2, qui tendaient à éviter toute confusion entre la conductivité électrique et la conductivité thermique, ont été adoptées avec une modification (voir annexe II).</w:t>
      </w:r>
    </w:p>
    <w:p w:rsidR="00D80597" w:rsidRPr="0039277D" w:rsidRDefault="00D80597" w:rsidP="001F071F">
      <w:pPr>
        <w:pStyle w:val="ParNoG"/>
        <w:rPr>
          <w:lang w:val="fr-FR"/>
        </w:rPr>
      </w:pPr>
      <w:r w:rsidRPr="0039277D">
        <w:rPr>
          <w:lang w:val="fr-FR"/>
        </w:rPr>
        <w:t>En ce qui concernait la proposition 3 relative à l</w:t>
      </w:r>
      <w:r w:rsidR="0039277D" w:rsidRPr="0039277D">
        <w:rPr>
          <w:lang w:val="fr-FR"/>
        </w:rPr>
        <w:t>’</w:t>
      </w:r>
      <w:r w:rsidRPr="0039277D">
        <w:rPr>
          <w:lang w:val="fr-FR"/>
        </w:rPr>
        <w:t>instruction d</w:t>
      </w:r>
      <w:r w:rsidR="0039277D" w:rsidRPr="0039277D">
        <w:rPr>
          <w:lang w:val="fr-FR"/>
        </w:rPr>
        <w:t>’</w:t>
      </w:r>
      <w:r w:rsidRPr="0039277D">
        <w:rPr>
          <w:lang w:val="fr-FR"/>
        </w:rPr>
        <w:t>emballage P910, plusieurs experts ont déclaré qu</w:t>
      </w:r>
      <w:r w:rsidR="0039277D" w:rsidRPr="0039277D">
        <w:rPr>
          <w:lang w:val="fr-FR"/>
        </w:rPr>
        <w:t>’</w:t>
      </w:r>
      <w:r w:rsidRPr="0039277D">
        <w:rPr>
          <w:lang w:val="fr-FR"/>
        </w:rPr>
        <w:t>il fallait éviter les contacts de tous types, et pas seulement les contacts électriques, entre piles ou batteries. Par conséquent, l</w:t>
      </w:r>
      <w:r w:rsidR="0039277D" w:rsidRPr="0039277D">
        <w:rPr>
          <w:lang w:val="fr-FR"/>
        </w:rPr>
        <w:t>’</w:t>
      </w:r>
      <w:r w:rsidRPr="0039277D">
        <w:rPr>
          <w:lang w:val="fr-FR"/>
        </w:rPr>
        <w:t>expert de la Fédération de Russie a retiré cette proposition.</w:t>
      </w:r>
    </w:p>
    <w:p w:rsidR="00D80597" w:rsidRPr="0039277D" w:rsidRDefault="00D80597" w:rsidP="001F071F">
      <w:pPr>
        <w:pStyle w:val="ParNoG"/>
        <w:rPr>
          <w:lang w:val="fr-FR"/>
        </w:rPr>
      </w:pPr>
      <w:r w:rsidRPr="0039277D">
        <w:rPr>
          <w:lang w:val="fr-FR"/>
        </w:rPr>
        <w:t>En ce qui concernait la proposition 4 tendant à remplacer le terme « conductivité thermique » par « coefficient de conductivité thermique » au paragraphe 6.4.10.2, au motif que l</w:t>
      </w:r>
      <w:r w:rsidR="0039277D" w:rsidRPr="0039277D">
        <w:rPr>
          <w:lang w:val="fr-FR"/>
        </w:rPr>
        <w:t>’</w:t>
      </w:r>
      <w:r w:rsidRPr="0039277D">
        <w:rPr>
          <w:lang w:val="fr-FR"/>
        </w:rPr>
        <w:t>unité indiquée (W/(m-K)) correspondait au « coefficient de conductivité thermique » et non à la « conductivité thermique », le Sous-Comité a estimé que cette question devait d</w:t>
      </w:r>
      <w:r w:rsidR="0039277D" w:rsidRPr="0039277D">
        <w:rPr>
          <w:lang w:val="fr-FR"/>
        </w:rPr>
        <w:t>’</w:t>
      </w:r>
      <w:r w:rsidRPr="0039277D">
        <w:rPr>
          <w:lang w:val="fr-FR"/>
        </w:rPr>
        <w:t>abord être portée à l</w:t>
      </w:r>
      <w:r w:rsidR="0039277D" w:rsidRPr="0039277D">
        <w:rPr>
          <w:lang w:val="fr-FR"/>
        </w:rPr>
        <w:t>’</w:t>
      </w:r>
      <w:r w:rsidRPr="0039277D">
        <w:rPr>
          <w:lang w:val="fr-FR"/>
        </w:rPr>
        <w:t>attention de l</w:t>
      </w:r>
      <w:r w:rsidR="0039277D" w:rsidRPr="0039277D">
        <w:rPr>
          <w:lang w:val="fr-FR"/>
        </w:rPr>
        <w:t>’</w:t>
      </w:r>
      <w:r w:rsidRPr="0039277D">
        <w:rPr>
          <w:lang w:val="fr-FR"/>
        </w:rPr>
        <w:t xml:space="preserve">AIEA. </w:t>
      </w:r>
    </w:p>
    <w:p w:rsidR="00D80597" w:rsidRPr="0039277D" w:rsidRDefault="00D80597" w:rsidP="00DF467B">
      <w:pPr>
        <w:pStyle w:val="H23G"/>
        <w:rPr>
          <w:lang w:val="fr-FR"/>
        </w:rPr>
      </w:pPr>
      <w:r w:rsidRPr="0039277D">
        <w:rPr>
          <w:lang w:val="fr-FR"/>
        </w:rPr>
        <w:tab/>
        <w:t>2.</w:t>
      </w:r>
      <w:r w:rsidRPr="0039277D">
        <w:rPr>
          <w:lang w:val="fr-FR"/>
        </w:rPr>
        <w:tab/>
        <w:t>« </w:t>
      </w:r>
      <w:r w:rsidRPr="00A1358D">
        <w:rPr>
          <w:i/>
          <w:lang w:val="fr-FR"/>
        </w:rPr>
        <w:t>Hazard</w:t>
      </w:r>
      <w:r w:rsidRPr="0039277D">
        <w:rPr>
          <w:lang w:val="fr-FR"/>
        </w:rPr>
        <w:t> » et « </w:t>
      </w:r>
      <w:r w:rsidRPr="00A1358D">
        <w:rPr>
          <w:i/>
          <w:lang w:val="fr-FR"/>
        </w:rPr>
        <w:t>risk</w:t>
      </w:r>
      <w:r w:rsidRPr="0039277D">
        <w:rPr>
          <w:lang w:val="fr-FR"/>
        </w:rPr>
        <w:t> »</w:t>
      </w:r>
    </w:p>
    <w:p w:rsidR="00D80597" w:rsidRPr="0039277D" w:rsidRDefault="000D7C82" w:rsidP="00855C98">
      <w:pPr>
        <w:keepNext/>
        <w:spacing w:after="120"/>
        <w:ind w:left="3119" w:hanging="1985"/>
        <w:rPr>
          <w:lang w:val="fr-FR"/>
        </w:rPr>
      </w:pPr>
      <w:r w:rsidRPr="0039277D">
        <w:rPr>
          <w:i/>
          <w:iCs/>
          <w:lang w:val="fr-FR"/>
        </w:rPr>
        <w:t>Document</w:t>
      </w:r>
      <w:r>
        <w:rPr>
          <w:lang w:val="fr-FR"/>
        </w:rPr>
        <w:t> :</w:t>
      </w:r>
      <w:r>
        <w:rPr>
          <w:lang w:val="fr-FR"/>
        </w:rPr>
        <w:tab/>
      </w:r>
      <w:r w:rsidRPr="0039277D">
        <w:rPr>
          <w:lang w:val="fr-FR"/>
        </w:rPr>
        <w:t>ST</w:t>
      </w:r>
      <w:r w:rsidR="00D80597" w:rsidRPr="0039277D">
        <w:rPr>
          <w:lang w:val="fr-FR"/>
        </w:rPr>
        <w:t>/SG/AC.10/C.3/2016/16 (IATA).</w:t>
      </w:r>
    </w:p>
    <w:p w:rsidR="00D80597" w:rsidRPr="0039277D" w:rsidRDefault="00D80597" w:rsidP="001F071F">
      <w:pPr>
        <w:pStyle w:val="ParNoG"/>
        <w:rPr>
          <w:lang w:val="fr-FR"/>
        </w:rPr>
      </w:pPr>
      <w:r w:rsidRPr="0039277D">
        <w:rPr>
          <w:lang w:val="fr-FR"/>
        </w:rPr>
        <w:t>Le Sous-Comité a convenu que le mot « </w:t>
      </w:r>
      <w:r w:rsidRPr="0039277D">
        <w:rPr>
          <w:i/>
          <w:lang w:val="fr-FR"/>
        </w:rPr>
        <w:t>risk</w:t>
      </w:r>
      <w:r w:rsidRPr="0039277D">
        <w:rPr>
          <w:lang w:val="fr-FR"/>
        </w:rPr>
        <w:t> » (risque) était utilisé à mauvais escient dans de nombreux paragraphes de la version anglaise du Règlement type et devait être remplacé par le mot « </w:t>
      </w:r>
      <w:r w:rsidRPr="0039277D">
        <w:rPr>
          <w:i/>
          <w:lang w:val="fr-FR"/>
        </w:rPr>
        <w:t>hazard</w:t>
      </w:r>
      <w:r w:rsidRPr="0039277D">
        <w:rPr>
          <w:lang w:val="fr-FR"/>
        </w:rPr>
        <w:t> » (danger), et a adopté la proposition de l</w:t>
      </w:r>
      <w:r w:rsidR="0039277D" w:rsidRPr="0039277D">
        <w:rPr>
          <w:lang w:val="fr-FR"/>
        </w:rPr>
        <w:t>’</w:t>
      </w:r>
      <w:r w:rsidRPr="0039277D">
        <w:rPr>
          <w:lang w:val="fr-FR"/>
        </w:rPr>
        <w:t>IATA avec quelques corrections (voir annexe II). Le Sous-Comité a noté qu</w:t>
      </w:r>
      <w:r w:rsidR="0039277D" w:rsidRPr="0039277D">
        <w:rPr>
          <w:lang w:val="fr-FR"/>
        </w:rPr>
        <w:t>’</w:t>
      </w:r>
      <w:r w:rsidRPr="0039277D">
        <w:rPr>
          <w:lang w:val="fr-FR"/>
        </w:rPr>
        <w:t>il pourrait aussi être nécessaire d</w:t>
      </w:r>
      <w:r w:rsidR="0039277D" w:rsidRPr="0039277D">
        <w:rPr>
          <w:lang w:val="fr-FR"/>
        </w:rPr>
        <w:t>’</w:t>
      </w:r>
      <w:r w:rsidRPr="0039277D">
        <w:rPr>
          <w:lang w:val="fr-FR"/>
        </w:rPr>
        <w:t>examiner soigneusement la version française et peut-être d</w:t>
      </w:r>
      <w:r w:rsidR="0039277D" w:rsidRPr="0039277D">
        <w:rPr>
          <w:lang w:val="fr-FR"/>
        </w:rPr>
        <w:t>’</w:t>
      </w:r>
      <w:r w:rsidRPr="0039277D">
        <w:rPr>
          <w:lang w:val="fr-FR"/>
        </w:rPr>
        <w:t>autres versions linguistiques car le mot « </w:t>
      </w:r>
      <w:r w:rsidRPr="0039277D">
        <w:rPr>
          <w:i/>
          <w:lang w:val="fr-FR"/>
        </w:rPr>
        <w:t>hazard</w:t>
      </w:r>
      <w:r w:rsidRPr="0039277D">
        <w:rPr>
          <w:lang w:val="fr-FR"/>
        </w:rPr>
        <w:t> » avait été traduit par « risque » dans certains cas, par exemple dans les définitions des divisions de la classe 1.</w:t>
      </w:r>
    </w:p>
    <w:p w:rsidR="00D80597" w:rsidRPr="0039277D" w:rsidRDefault="00D80597" w:rsidP="00DF467B">
      <w:pPr>
        <w:pStyle w:val="H23G"/>
        <w:rPr>
          <w:lang w:val="fr-FR"/>
        </w:rPr>
      </w:pPr>
      <w:r w:rsidRPr="0039277D">
        <w:rPr>
          <w:lang w:val="fr-FR"/>
        </w:rPr>
        <w:tab/>
        <w:t>3.</w:t>
      </w:r>
      <w:r w:rsidRPr="0039277D">
        <w:rPr>
          <w:lang w:val="fr-FR"/>
        </w:rPr>
        <w:tab/>
        <w:t>Transport de combustibles liquides dans des citernes souples</w:t>
      </w:r>
    </w:p>
    <w:p w:rsidR="00D80597" w:rsidRPr="0039277D" w:rsidRDefault="00D80597" w:rsidP="00855C98">
      <w:pPr>
        <w:keepNext/>
        <w:spacing w:after="120"/>
        <w:ind w:left="3119" w:hanging="1985"/>
        <w:rPr>
          <w:lang w:val="fr-FR"/>
        </w:rPr>
      </w:pPr>
      <w:r w:rsidRPr="0039277D">
        <w:rPr>
          <w:i/>
          <w:lang w:val="fr-FR"/>
        </w:rPr>
        <w:t>Documents informels</w:t>
      </w:r>
      <w:r w:rsidR="000D7C82">
        <w:rPr>
          <w:lang w:val="fr-FR"/>
        </w:rPr>
        <w:t> :</w:t>
      </w:r>
      <w:r w:rsidR="000D7C82">
        <w:rPr>
          <w:lang w:val="fr-FR"/>
        </w:rPr>
        <w:tab/>
        <w:t>INF.7 (IDGCA)</w:t>
      </w:r>
      <w:r w:rsidR="000D7C82">
        <w:rPr>
          <w:lang w:val="fr-FR"/>
        </w:rPr>
        <w:br/>
      </w:r>
      <w:r w:rsidRPr="0039277D">
        <w:rPr>
          <w:lang w:val="fr-FR"/>
        </w:rPr>
        <w:t>INF.76 (RPMASA).</w:t>
      </w:r>
    </w:p>
    <w:p w:rsidR="00D80597" w:rsidRPr="0039277D" w:rsidRDefault="00D80597" w:rsidP="001F071F">
      <w:pPr>
        <w:pStyle w:val="ParNoG"/>
        <w:rPr>
          <w:lang w:val="fr-FR"/>
        </w:rPr>
      </w:pPr>
      <w:r w:rsidRPr="0039277D">
        <w:rPr>
          <w:lang w:val="fr-FR"/>
        </w:rPr>
        <w:t>Le Sous-Comité a noté que des citernes souples étaient utilisées dans certains pays pour le transport de combustibles liquides avec l</w:t>
      </w:r>
      <w:r w:rsidR="0039277D" w:rsidRPr="0039277D">
        <w:rPr>
          <w:lang w:val="fr-FR"/>
        </w:rPr>
        <w:t>’</w:t>
      </w:r>
      <w:r w:rsidRPr="0039277D">
        <w:rPr>
          <w:lang w:val="fr-FR"/>
        </w:rPr>
        <w:t>accord de l</w:t>
      </w:r>
      <w:r w:rsidR="0039277D" w:rsidRPr="0039277D">
        <w:rPr>
          <w:lang w:val="fr-FR"/>
        </w:rPr>
        <w:t>’</w:t>
      </w:r>
      <w:r w:rsidRPr="0039277D">
        <w:rPr>
          <w:lang w:val="fr-FR"/>
        </w:rPr>
        <w:t>autorité compétente. Toutefois, la plupart des experts ont estimé que ces réservoirs souples n</w:t>
      </w:r>
      <w:r w:rsidR="0039277D" w:rsidRPr="0039277D">
        <w:rPr>
          <w:lang w:val="fr-FR"/>
        </w:rPr>
        <w:t>’</w:t>
      </w:r>
      <w:r w:rsidRPr="0039277D">
        <w:rPr>
          <w:lang w:val="fr-FR"/>
        </w:rPr>
        <w:t>étaient pas des « objets de grande taille et robustes » tels que visés au paragraphe 4.1.3.8, et que même si leur usage était autorisé par certaines autorités compétentes, on ne pouvait pas considérer qu</w:t>
      </w:r>
      <w:r w:rsidR="0039277D" w:rsidRPr="0039277D">
        <w:rPr>
          <w:lang w:val="fr-FR"/>
        </w:rPr>
        <w:t>’</w:t>
      </w:r>
      <w:r w:rsidRPr="0039277D">
        <w:rPr>
          <w:lang w:val="fr-FR"/>
        </w:rPr>
        <w:t>il s</w:t>
      </w:r>
      <w:r w:rsidR="0039277D" w:rsidRPr="0039277D">
        <w:rPr>
          <w:lang w:val="fr-FR"/>
        </w:rPr>
        <w:t>’</w:t>
      </w:r>
      <w:r w:rsidRPr="0039277D">
        <w:rPr>
          <w:lang w:val="fr-FR"/>
        </w:rPr>
        <w:t>agissait là d</w:t>
      </w:r>
      <w:r w:rsidR="0039277D" w:rsidRPr="0039277D">
        <w:rPr>
          <w:lang w:val="fr-FR"/>
        </w:rPr>
        <w:t>’</w:t>
      </w:r>
      <w:r w:rsidRPr="0039277D">
        <w:rPr>
          <w:lang w:val="fr-FR"/>
        </w:rPr>
        <w:t>une pratique généralisable. Le Sous-Comité a convenu que ce type d</w:t>
      </w:r>
      <w:r w:rsidR="0039277D" w:rsidRPr="0039277D">
        <w:rPr>
          <w:lang w:val="fr-FR"/>
        </w:rPr>
        <w:t>’</w:t>
      </w:r>
      <w:r w:rsidRPr="0039277D">
        <w:rPr>
          <w:lang w:val="fr-FR"/>
        </w:rPr>
        <w:t>usage pouvait être justifié et autorisé dans des cas exceptionnels, mais a estimé qu</w:t>
      </w:r>
      <w:r w:rsidR="0039277D" w:rsidRPr="0039277D">
        <w:rPr>
          <w:lang w:val="fr-FR"/>
        </w:rPr>
        <w:t>’</w:t>
      </w:r>
      <w:r w:rsidRPr="0039277D">
        <w:rPr>
          <w:lang w:val="fr-FR"/>
        </w:rPr>
        <w:t>il n</w:t>
      </w:r>
      <w:r w:rsidR="0039277D" w:rsidRPr="0039277D">
        <w:rPr>
          <w:lang w:val="fr-FR"/>
        </w:rPr>
        <w:t>’</w:t>
      </w:r>
      <w:r w:rsidRPr="0039277D">
        <w:rPr>
          <w:lang w:val="fr-FR"/>
        </w:rPr>
        <w:t>était pas recommandé d</w:t>
      </w:r>
      <w:r w:rsidR="0039277D" w:rsidRPr="0039277D">
        <w:rPr>
          <w:lang w:val="fr-FR"/>
        </w:rPr>
        <w:t>’</w:t>
      </w:r>
      <w:r w:rsidRPr="0039277D">
        <w:rPr>
          <w:lang w:val="fr-FR"/>
        </w:rPr>
        <w:t>introduire dans le Règlement type des dispositions s</w:t>
      </w:r>
      <w:r w:rsidR="0039277D" w:rsidRPr="0039277D">
        <w:rPr>
          <w:lang w:val="fr-FR"/>
        </w:rPr>
        <w:t>’</w:t>
      </w:r>
      <w:r w:rsidRPr="0039277D">
        <w:rPr>
          <w:lang w:val="fr-FR"/>
        </w:rPr>
        <w:t>appliquant à ce type de matériel.</w:t>
      </w:r>
    </w:p>
    <w:p w:rsidR="00D80597" w:rsidRPr="0039277D" w:rsidRDefault="00D80597" w:rsidP="00DF467B">
      <w:pPr>
        <w:pStyle w:val="H23G"/>
        <w:rPr>
          <w:lang w:val="fr-FR"/>
        </w:rPr>
      </w:pPr>
      <w:r w:rsidRPr="0039277D">
        <w:rPr>
          <w:lang w:val="fr-FR"/>
        </w:rPr>
        <w:tab/>
        <w:t>4.</w:t>
      </w:r>
      <w:r w:rsidRPr="0039277D">
        <w:rPr>
          <w:lang w:val="fr-FR"/>
        </w:rPr>
        <w:tab/>
        <w:t xml:space="preserve">Matières susceptibles de former des polymères </w:t>
      </w:r>
      <w:r w:rsidR="00642433">
        <w:rPr>
          <w:lang w:val="fr-FR"/>
        </w:rPr>
        <w:t>−</w:t>
      </w:r>
      <w:r w:rsidRPr="0039277D">
        <w:rPr>
          <w:lang w:val="fr-FR"/>
        </w:rPr>
        <w:t xml:space="preserve"> indication de la température critique et de la température de régulation</w:t>
      </w:r>
    </w:p>
    <w:p w:rsidR="00D80597" w:rsidRPr="0039277D" w:rsidRDefault="00D80597" w:rsidP="00855C98">
      <w:pPr>
        <w:keepNext/>
        <w:spacing w:after="120"/>
        <w:ind w:left="3119" w:hanging="1985"/>
        <w:rPr>
          <w:lang w:val="fr-FR"/>
        </w:rPr>
      </w:pPr>
      <w:r w:rsidRPr="0039277D">
        <w:rPr>
          <w:i/>
          <w:lang w:val="fr-FR"/>
        </w:rPr>
        <w:t>Document informel</w:t>
      </w:r>
      <w:r w:rsidR="0066043C">
        <w:rPr>
          <w:i/>
          <w:lang w:val="fr-FR"/>
        </w:rPr>
        <w:t> </w:t>
      </w:r>
      <w:r w:rsidR="0066043C" w:rsidRPr="000D7C82">
        <w:rPr>
          <w:lang w:val="fr-FR"/>
        </w:rPr>
        <w:t>:</w:t>
      </w:r>
      <w:r w:rsidR="0066043C">
        <w:rPr>
          <w:i/>
          <w:lang w:val="fr-FR"/>
        </w:rPr>
        <w:tab/>
      </w:r>
      <w:r w:rsidRPr="0039277D">
        <w:rPr>
          <w:lang w:val="fr-FR"/>
        </w:rPr>
        <w:t>INF.39 (Allemagne).</w:t>
      </w:r>
    </w:p>
    <w:p w:rsidR="00D80597" w:rsidRPr="0039277D" w:rsidRDefault="00D80597" w:rsidP="001F071F">
      <w:pPr>
        <w:pStyle w:val="ParNoG"/>
        <w:rPr>
          <w:lang w:val="fr-FR"/>
        </w:rPr>
      </w:pPr>
      <w:r w:rsidRPr="0039277D">
        <w:rPr>
          <w:lang w:val="fr-FR"/>
        </w:rPr>
        <w:t>Plusieurs experts ont appuyé les propositions de l</w:t>
      </w:r>
      <w:r w:rsidR="0039277D" w:rsidRPr="0039277D">
        <w:rPr>
          <w:lang w:val="fr-FR"/>
        </w:rPr>
        <w:t>’</w:t>
      </w:r>
      <w:r w:rsidRPr="0039277D">
        <w:rPr>
          <w:lang w:val="fr-FR"/>
        </w:rPr>
        <w:t>Allemagne soumises pour donner suite aux décisions prises à la quarante-septième session. Néanmoins, étant donné que le document susvisé, qui avait été soumis à temps, avait été publié très tardivement par le secrétariat et sous forme de document informel, l</w:t>
      </w:r>
      <w:r w:rsidR="0039277D" w:rsidRPr="0039277D">
        <w:rPr>
          <w:lang w:val="fr-FR"/>
        </w:rPr>
        <w:t>’</w:t>
      </w:r>
      <w:r w:rsidRPr="0039277D">
        <w:rPr>
          <w:lang w:val="fr-FR"/>
        </w:rPr>
        <w:t>expert de l</w:t>
      </w:r>
      <w:r w:rsidR="0039277D" w:rsidRPr="0039277D">
        <w:rPr>
          <w:lang w:val="fr-FR"/>
        </w:rPr>
        <w:t>’</w:t>
      </w:r>
      <w:r w:rsidRPr="0039277D">
        <w:rPr>
          <w:lang w:val="fr-FR"/>
        </w:rPr>
        <w:t>Allemagne a été invité à soumettre à la session suivante une proposition officielle tenant compte des observations formulées.</w:t>
      </w:r>
    </w:p>
    <w:p w:rsidR="00D80597" w:rsidRPr="0039277D" w:rsidRDefault="00D80597" w:rsidP="00DF467B">
      <w:pPr>
        <w:pStyle w:val="H23G"/>
        <w:rPr>
          <w:lang w:val="fr-FR"/>
        </w:rPr>
      </w:pPr>
      <w:r w:rsidRPr="0039277D">
        <w:rPr>
          <w:lang w:val="fr-FR"/>
        </w:rPr>
        <w:tab/>
        <w:t>5.</w:t>
      </w:r>
      <w:r w:rsidRPr="0039277D">
        <w:rPr>
          <w:lang w:val="fr-FR"/>
        </w:rPr>
        <w:tab/>
        <w:t>Proposition visant à modifier l</w:t>
      </w:r>
      <w:r w:rsidR="0039277D" w:rsidRPr="0039277D">
        <w:rPr>
          <w:lang w:val="fr-FR"/>
        </w:rPr>
        <w:t>’</w:t>
      </w:r>
      <w:r w:rsidRPr="0039277D">
        <w:rPr>
          <w:lang w:val="fr-FR"/>
        </w:rPr>
        <w:t>instruction d</w:t>
      </w:r>
      <w:r w:rsidR="0039277D" w:rsidRPr="0039277D">
        <w:rPr>
          <w:lang w:val="fr-FR"/>
        </w:rPr>
        <w:t>’</w:t>
      </w:r>
      <w:r w:rsidRPr="0039277D">
        <w:rPr>
          <w:lang w:val="fr-FR"/>
        </w:rPr>
        <w:t>emballage P902</w:t>
      </w:r>
    </w:p>
    <w:p w:rsidR="00D80597" w:rsidRPr="0039277D" w:rsidRDefault="00D80597" w:rsidP="00855C98">
      <w:pPr>
        <w:keepNext/>
        <w:spacing w:after="120"/>
        <w:ind w:left="3119" w:hanging="1985"/>
        <w:rPr>
          <w:lang w:val="fr-FR"/>
        </w:rPr>
      </w:pPr>
      <w:r w:rsidRPr="0039277D">
        <w:rPr>
          <w:i/>
          <w:lang w:val="fr-FR"/>
        </w:rPr>
        <w:t>Documents informels</w:t>
      </w:r>
      <w:r w:rsidR="0066043C">
        <w:rPr>
          <w:i/>
          <w:lang w:val="fr-FR"/>
        </w:rPr>
        <w:t> :</w:t>
      </w:r>
      <w:r w:rsidR="0066043C">
        <w:rPr>
          <w:i/>
          <w:lang w:val="fr-FR"/>
        </w:rPr>
        <w:tab/>
      </w:r>
      <w:r w:rsidRPr="0039277D">
        <w:rPr>
          <w:lang w:val="fr-FR"/>
        </w:rPr>
        <w:t>INF.57 et Add.1 (COSTHA).</w:t>
      </w:r>
    </w:p>
    <w:p w:rsidR="00D80597" w:rsidRPr="0039277D" w:rsidRDefault="00D80597" w:rsidP="001F071F">
      <w:pPr>
        <w:pStyle w:val="ParNoG"/>
        <w:rPr>
          <w:lang w:val="fr-FR"/>
        </w:rPr>
      </w:pPr>
      <w:r w:rsidRPr="0039277D">
        <w:rPr>
          <w:lang w:val="fr-FR"/>
        </w:rPr>
        <w:t>Plusieurs experts ont appuyé la proposition et le représentant du COSTHA a été invité à soumettre une proposition officielle à la session suivante.</w:t>
      </w:r>
    </w:p>
    <w:p w:rsidR="00D80597" w:rsidRPr="0039277D" w:rsidRDefault="00D80597" w:rsidP="00DF467B">
      <w:pPr>
        <w:pStyle w:val="HChG"/>
        <w:rPr>
          <w:lang w:val="fr-FR"/>
        </w:rPr>
      </w:pPr>
      <w:r w:rsidRPr="0039277D">
        <w:rPr>
          <w:lang w:val="fr-FR"/>
        </w:rPr>
        <w:tab/>
        <w:t>VIII.</w:t>
      </w:r>
      <w:r w:rsidRPr="0039277D">
        <w:rPr>
          <w:lang w:val="fr-FR"/>
        </w:rPr>
        <w:tab/>
        <w:t>Harmonisation à l</w:t>
      </w:r>
      <w:r w:rsidR="0039277D" w:rsidRPr="0039277D">
        <w:rPr>
          <w:lang w:val="fr-FR"/>
        </w:rPr>
        <w:t>’</w:t>
      </w:r>
      <w:r w:rsidRPr="0039277D">
        <w:rPr>
          <w:lang w:val="fr-FR"/>
        </w:rPr>
        <w:t xml:space="preserve">échelle mondiale des règlements </w:t>
      </w:r>
      <w:r w:rsidRPr="0039277D">
        <w:rPr>
          <w:lang w:val="fr-FR"/>
        </w:rPr>
        <w:br/>
        <w:t xml:space="preserve">relatifs au transport des marchandises dangereuses </w:t>
      </w:r>
      <w:r w:rsidRPr="0039277D">
        <w:rPr>
          <w:lang w:val="fr-FR"/>
        </w:rPr>
        <w:br/>
        <w:t>avec le Règlement type (point 7 de l</w:t>
      </w:r>
      <w:r w:rsidR="0039277D" w:rsidRPr="0039277D">
        <w:rPr>
          <w:lang w:val="fr-FR"/>
        </w:rPr>
        <w:t>’</w:t>
      </w:r>
      <w:r w:rsidRPr="0039277D">
        <w:rPr>
          <w:lang w:val="fr-FR"/>
        </w:rPr>
        <w:t>ordre du jour)</w:t>
      </w:r>
    </w:p>
    <w:p w:rsidR="00D80597" w:rsidRPr="0039277D" w:rsidRDefault="00D80597" w:rsidP="00DF467B">
      <w:pPr>
        <w:pStyle w:val="H1G"/>
        <w:rPr>
          <w:lang w:val="fr-FR"/>
        </w:rPr>
      </w:pPr>
      <w:r w:rsidRPr="0039277D">
        <w:rPr>
          <w:lang w:val="fr-FR"/>
        </w:rPr>
        <w:tab/>
        <w:t>A.</w:t>
      </w:r>
      <w:r w:rsidRPr="0039277D">
        <w:rPr>
          <w:lang w:val="fr-FR"/>
        </w:rPr>
        <w:tab/>
        <w:t xml:space="preserve">Références aux signes distinctifs des véhicules à moteur </w:t>
      </w:r>
      <w:r w:rsidR="000D7C82">
        <w:rPr>
          <w:lang w:val="fr-FR"/>
        </w:rPr>
        <w:br/>
      </w:r>
      <w:r w:rsidRPr="0039277D">
        <w:rPr>
          <w:lang w:val="fr-FR"/>
        </w:rPr>
        <w:t>en circulation internationale</w:t>
      </w:r>
    </w:p>
    <w:p w:rsidR="00D80597" w:rsidRPr="0039277D" w:rsidRDefault="000D7C82" w:rsidP="00855C98">
      <w:pPr>
        <w:keepNext/>
        <w:spacing w:after="120"/>
        <w:ind w:left="3119" w:hanging="1985"/>
        <w:rPr>
          <w:lang w:val="fr-FR"/>
        </w:rPr>
      </w:pPr>
      <w:r w:rsidRPr="0039277D">
        <w:rPr>
          <w:i/>
          <w:iCs/>
          <w:lang w:val="fr-FR"/>
        </w:rPr>
        <w:t>Document</w:t>
      </w:r>
      <w:r>
        <w:rPr>
          <w:lang w:val="fr-FR"/>
        </w:rPr>
        <w:t> :</w:t>
      </w:r>
      <w:r>
        <w:rPr>
          <w:lang w:val="fr-FR"/>
        </w:rPr>
        <w:tab/>
      </w:r>
      <w:r w:rsidRPr="0039277D">
        <w:rPr>
          <w:lang w:val="fr-FR"/>
        </w:rPr>
        <w:t>ST</w:t>
      </w:r>
      <w:r w:rsidR="00D80597" w:rsidRPr="0039277D">
        <w:rPr>
          <w:lang w:val="fr-FR"/>
        </w:rPr>
        <w:t>/SG/AC.10/C.3/2016/4 (secrétariat).</w:t>
      </w:r>
    </w:p>
    <w:p w:rsidR="00D80597" w:rsidRPr="0039277D" w:rsidRDefault="00D80597" w:rsidP="001F071F">
      <w:pPr>
        <w:pStyle w:val="ParNoG"/>
        <w:rPr>
          <w:lang w:val="fr-FR"/>
        </w:rPr>
      </w:pPr>
      <w:r w:rsidRPr="0039277D">
        <w:rPr>
          <w:lang w:val="fr-FR"/>
        </w:rPr>
        <w:t>Le Sous-Comité a adopté les modifications d</w:t>
      </w:r>
      <w:r w:rsidR="0039277D" w:rsidRPr="0039277D">
        <w:rPr>
          <w:lang w:val="fr-FR"/>
        </w:rPr>
        <w:t>’</w:t>
      </w:r>
      <w:r w:rsidRPr="0039277D">
        <w:rPr>
          <w:lang w:val="fr-FR"/>
        </w:rPr>
        <w:t>ordre rédactionnel proposées par le secrétariat concernant les références faites aux signes distinctifs utilisés pour les véhicules automobiles en circulation routière internationale (voir annexe II).</w:t>
      </w:r>
    </w:p>
    <w:p w:rsidR="00D80597" w:rsidRPr="0039277D" w:rsidRDefault="00D80597" w:rsidP="00DF467B">
      <w:pPr>
        <w:pStyle w:val="H1G"/>
        <w:rPr>
          <w:lang w:val="fr-FR"/>
        </w:rPr>
      </w:pPr>
      <w:r w:rsidRPr="0039277D">
        <w:rPr>
          <w:lang w:val="fr-FR"/>
        </w:rPr>
        <w:tab/>
        <w:t>B.</w:t>
      </w:r>
      <w:r w:rsidRPr="0039277D">
        <w:rPr>
          <w:lang w:val="fr-FR"/>
        </w:rPr>
        <w:tab/>
        <w:t xml:space="preserve">Ajout de définitions des termes « acier de référence » et </w:t>
      </w:r>
      <w:r w:rsidR="000D7C82">
        <w:rPr>
          <w:lang w:val="fr-FR"/>
        </w:rPr>
        <w:br/>
      </w:r>
      <w:r w:rsidRPr="0039277D">
        <w:rPr>
          <w:lang w:val="fr-FR"/>
        </w:rPr>
        <w:t>« acier doux » dans la section 1.2.1 du Règlement type</w:t>
      </w:r>
    </w:p>
    <w:p w:rsidR="00D80597" w:rsidRPr="0039277D" w:rsidRDefault="000D7C82" w:rsidP="00855C98">
      <w:pPr>
        <w:keepNext/>
        <w:spacing w:after="120"/>
        <w:ind w:left="3119" w:hanging="1985"/>
        <w:rPr>
          <w:lang w:val="fr-FR"/>
        </w:rPr>
      </w:pPr>
      <w:r w:rsidRPr="0039277D">
        <w:rPr>
          <w:i/>
          <w:iCs/>
          <w:lang w:val="fr-FR"/>
        </w:rPr>
        <w:t>Document</w:t>
      </w:r>
      <w:r>
        <w:rPr>
          <w:lang w:val="fr-FR"/>
        </w:rPr>
        <w:t> :</w:t>
      </w:r>
      <w:r>
        <w:rPr>
          <w:lang w:val="fr-FR"/>
        </w:rPr>
        <w:tab/>
      </w:r>
      <w:r w:rsidRPr="0039277D">
        <w:rPr>
          <w:lang w:val="fr-FR"/>
        </w:rPr>
        <w:t>ST</w:t>
      </w:r>
      <w:r w:rsidR="00D80597" w:rsidRPr="0039277D">
        <w:rPr>
          <w:lang w:val="fr-FR"/>
        </w:rPr>
        <w:t>/SG/AC.10/C.3/2016/15 (Roumanie).</w:t>
      </w:r>
    </w:p>
    <w:p w:rsidR="00D80597" w:rsidRPr="0039277D" w:rsidRDefault="00D80597" w:rsidP="00855C98">
      <w:pPr>
        <w:keepNext/>
        <w:spacing w:after="120"/>
        <w:ind w:left="3119" w:hanging="1985"/>
        <w:rPr>
          <w:lang w:val="fr-FR"/>
        </w:rPr>
      </w:pPr>
      <w:r w:rsidRPr="0039277D">
        <w:rPr>
          <w:i/>
          <w:lang w:val="fr-FR"/>
        </w:rPr>
        <w:t>Document informel</w:t>
      </w:r>
      <w:r w:rsidR="0066043C">
        <w:rPr>
          <w:lang w:val="fr-FR"/>
        </w:rPr>
        <w:t> :</w:t>
      </w:r>
      <w:r w:rsidR="0066043C">
        <w:rPr>
          <w:lang w:val="fr-FR"/>
        </w:rPr>
        <w:tab/>
      </w:r>
      <w:r w:rsidRPr="0039277D">
        <w:rPr>
          <w:lang w:val="fr-FR"/>
        </w:rPr>
        <w:t>INF.66 (rapport du Groupe de travail des explosifs).</w:t>
      </w:r>
    </w:p>
    <w:p w:rsidR="00D80597" w:rsidRPr="0039277D" w:rsidRDefault="00D80597" w:rsidP="001F071F">
      <w:pPr>
        <w:pStyle w:val="ParNoG"/>
        <w:rPr>
          <w:lang w:val="fr-FR"/>
        </w:rPr>
      </w:pPr>
      <w:r w:rsidRPr="0039277D">
        <w:rPr>
          <w:lang w:val="fr-FR"/>
        </w:rPr>
        <w:t>Le Sous-Comité a pris note du point de vue du Groupe de travail des explosifs, selon lequel les propositions de l</w:t>
      </w:r>
      <w:r w:rsidR="0039277D" w:rsidRPr="0039277D">
        <w:rPr>
          <w:lang w:val="fr-FR"/>
        </w:rPr>
        <w:t>’</w:t>
      </w:r>
      <w:r w:rsidRPr="0039277D">
        <w:rPr>
          <w:lang w:val="fr-FR"/>
        </w:rPr>
        <w:t>observateur de la Roumanie n</w:t>
      </w:r>
      <w:r w:rsidR="0039277D" w:rsidRPr="0039277D">
        <w:rPr>
          <w:lang w:val="fr-FR"/>
        </w:rPr>
        <w:t>’</w:t>
      </w:r>
      <w:r w:rsidRPr="0039277D">
        <w:rPr>
          <w:lang w:val="fr-FR"/>
        </w:rPr>
        <w:t>auraient aucune incidence sur l</w:t>
      </w:r>
      <w:r w:rsidR="0039277D" w:rsidRPr="0039277D">
        <w:rPr>
          <w:lang w:val="fr-FR"/>
        </w:rPr>
        <w:t>’</w:t>
      </w:r>
      <w:r w:rsidRPr="0039277D">
        <w:rPr>
          <w:lang w:val="fr-FR"/>
        </w:rPr>
        <w:t>exécution des essais décrits dans le Manuel d</w:t>
      </w:r>
      <w:r w:rsidR="0039277D" w:rsidRPr="0039277D">
        <w:rPr>
          <w:lang w:val="fr-FR"/>
        </w:rPr>
        <w:t>’</w:t>
      </w:r>
      <w:r w:rsidRPr="0039277D">
        <w:rPr>
          <w:lang w:val="fr-FR"/>
        </w:rPr>
        <w:t>épreuves et de critères. Certaines délégations craignaient que les définitions qu</w:t>
      </w:r>
      <w:r w:rsidR="0039277D" w:rsidRPr="0039277D">
        <w:rPr>
          <w:lang w:val="fr-FR"/>
        </w:rPr>
        <w:t>’</w:t>
      </w:r>
      <w:r w:rsidRPr="0039277D">
        <w:rPr>
          <w:lang w:val="fr-FR"/>
        </w:rPr>
        <w:t>il était proposé d</w:t>
      </w:r>
      <w:r w:rsidR="0039277D" w:rsidRPr="0039277D">
        <w:rPr>
          <w:lang w:val="fr-FR"/>
        </w:rPr>
        <w:t>’</w:t>
      </w:r>
      <w:r w:rsidRPr="0039277D">
        <w:rPr>
          <w:lang w:val="fr-FR"/>
        </w:rPr>
        <w:t>ajouter à la section 1.2.2 aient des conséquences inattendues sur l</w:t>
      </w:r>
      <w:r w:rsidR="0039277D" w:rsidRPr="0039277D">
        <w:rPr>
          <w:lang w:val="fr-FR"/>
        </w:rPr>
        <w:t>’</w:t>
      </w:r>
      <w:r w:rsidRPr="0039277D">
        <w:rPr>
          <w:lang w:val="fr-FR"/>
        </w:rPr>
        <w:t>épaisseur actuellement prescrite pour les grands récipients pour vrac métalliques. D</w:t>
      </w:r>
      <w:r w:rsidR="0039277D" w:rsidRPr="0039277D">
        <w:rPr>
          <w:lang w:val="fr-FR"/>
        </w:rPr>
        <w:t>’</w:t>
      </w:r>
      <w:r w:rsidRPr="0039277D">
        <w:rPr>
          <w:lang w:val="fr-FR"/>
        </w:rPr>
        <w:t>autres étaient d</w:t>
      </w:r>
      <w:r w:rsidR="0039277D" w:rsidRPr="0039277D">
        <w:rPr>
          <w:lang w:val="fr-FR"/>
        </w:rPr>
        <w:t>’</w:t>
      </w:r>
      <w:r w:rsidRPr="0039277D">
        <w:rPr>
          <w:lang w:val="fr-FR"/>
        </w:rPr>
        <w:t>avis que les limites minimales de la résistance à la rupture par traction proposées pour les colis de matières radioactives devaient être vérifiées. Il a également été suggéré que les valeurs mentionnées n</w:t>
      </w:r>
      <w:r w:rsidR="0039277D" w:rsidRPr="0039277D">
        <w:rPr>
          <w:lang w:val="fr-FR"/>
        </w:rPr>
        <w:t>’</w:t>
      </w:r>
      <w:r w:rsidRPr="0039277D">
        <w:rPr>
          <w:lang w:val="fr-FR"/>
        </w:rPr>
        <w:t>avaient pas nécessairement leur place dans les définitions de l</w:t>
      </w:r>
      <w:r w:rsidR="0039277D" w:rsidRPr="0039277D">
        <w:rPr>
          <w:lang w:val="fr-FR"/>
        </w:rPr>
        <w:t>’</w:t>
      </w:r>
      <w:r w:rsidRPr="0039277D">
        <w:rPr>
          <w:lang w:val="fr-FR"/>
        </w:rPr>
        <w:t>acier de référence et de l</w:t>
      </w:r>
      <w:r w:rsidR="0039277D" w:rsidRPr="0039277D">
        <w:rPr>
          <w:lang w:val="fr-FR"/>
        </w:rPr>
        <w:t>’</w:t>
      </w:r>
      <w:r w:rsidRPr="0039277D">
        <w:rPr>
          <w:lang w:val="fr-FR"/>
        </w:rPr>
        <w:t>acier doux car il pouvait s</w:t>
      </w:r>
      <w:r w:rsidR="0039277D" w:rsidRPr="0039277D">
        <w:rPr>
          <w:lang w:val="fr-FR"/>
        </w:rPr>
        <w:t>’</w:t>
      </w:r>
      <w:r w:rsidRPr="0039277D">
        <w:rPr>
          <w:lang w:val="fr-FR"/>
        </w:rPr>
        <w:t>agir de spécifications mécaniques qui n</w:t>
      </w:r>
      <w:r w:rsidR="0039277D" w:rsidRPr="0039277D">
        <w:rPr>
          <w:lang w:val="fr-FR"/>
        </w:rPr>
        <w:t>’</w:t>
      </w:r>
      <w:r w:rsidRPr="0039277D">
        <w:rPr>
          <w:lang w:val="fr-FR"/>
        </w:rPr>
        <w:t>étaient pas nécessairement les mêmes pour les citernes, les grands récipients pour vrac ou les colis de matières radioactives.</w:t>
      </w:r>
    </w:p>
    <w:p w:rsidR="00D80597" w:rsidRPr="0039277D" w:rsidRDefault="00D80597" w:rsidP="001F071F">
      <w:pPr>
        <w:pStyle w:val="ParNoG"/>
        <w:rPr>
          <w:lang w:val="fr-FR"/>
        </w:rPr>
      </w:pPr>
      <w:r w:rsidRPr="0039277D">
        <w:rPr>
          <w:lang w:val="fr-FR"/>
        </w:rPr>
        <w:t>L</w:t>
      </w:r>
      <w:r w:rsidR="0039277D" w:rsidRPr="0039277D">
        <w:rPr>
          <w:lang w:val="fr-FR"/>
        </w:rPr>
        <w:t>’</w:t>
      </w:r>
      <w:r w:rsidRPr="0039277D">
        <w:rPr>
          <w:lang w:val="fr-FR"/>
        </w:rPr>
        <w:t>observateur de la Roumanie a déclaré qu</w:t>
      </w:r>
      <w:r w:rsidR="0039277D" w:rsidRPr="0039277D">
        <w:rPr>
          <w:lang w:val="fr-FR"/>
        </w:rPr>
        <w:t>’</w:t>
      </w:r>
      <w:r w:rsidRPr="0039277D">
        <w:rPr>
          <w:lang w:val="fr-FR"/>
        </w:rPr>
        <w:t>il établirait une proposition plus claire pour la session suivante.</w:t>
      </w:r>
    </w:p>
    <w:p w:rsidR="00D80597" w:rsidRPr="0039277D" w:rsidRDefault="00D80597" w:rsidP="00DF467B">
      <w:pPr>
        <w:pStyle w:val="H1G"/>
        <w:rPr>
          <w:lang w:val="fr-FR"/>
        </w:rPr>
      </w:pPr>
      <w:r w:rsidRPr="0039277D">
        <w:rPr>
          <w:lang w:val="fr-FR"/>
        </w:rPr>
        <w:tab/>
        <w:t>C.</w:t>
      </w:r>
      <w:r w:rsidRPr="0039277D">
        <w:rPr>
          <w:lang w:val="fr-FR"/>
        </w:rPr>
        <w:tab/>
        <w:t xml:space="preserve">Traductions divergentes des désignations officielles de transport </w:t>
      </w:r>
      <w:r w:rsidRPr="0039277D">
        <w:rPr>
          <w:lang w:val="fr-FR"/>
        </w:rPr>
        <w:br/>
        <w:t>dans la Liste des marchandises dangereuses du Règlement type</w:t>
      </w:r>
    </w:p>
    <w:p w:rsidR="00D80597" w:rsidRPr="0039277D" w:rsidRDefault="00D80597" w:rsidP="00855C98">
      <w:pPr>
        <w:keepNext/>
        <w:spacing w:after="120"/>
        <w:ind w:left="3119" w:hanging="1985"/>
        <w:rPr>
          <w:lang w:val="fr-FR"/>
        </w:rPr>
      </w:pPr>
      <w:r w:rsidRPr="0039277D">
        <w:rPr>
          <w:i/>
          <w:lang w:val="fr-FR"/>
        </w:rPr>
        <w:t>Document informel</w:t>
      </w:r>
      <w:r w:rsidR="0066043C">
        <w:rPr>
          <w:lang w:val="fr-FR"/>
        </w:rPr>
        <w:t> :</w:t>
      </w:r>
      <w:r w:rsidR="0066043C">
        <w:rPr>
          <w:lang w:val="fr-FR"/>
        </w:rPr>
        <w:tab/>
      </w:r>
      <w:r w:rsidRPr="0039277D">
        <w:rPr>
          <w:lang w:val="fr-FR"/>
        </w:rPr>
        <w:t>INF.42 (secrétariat).</w:t>
      </w:r>
    </w:p>
    <w:p w:rsidR="00D80597" w:rsidRPr="0039277D" w:rsidRDefault="00D80597" w:rsidP="001F071F">
      <w:pPr>
        <w:pStyle w:val="ParNoG"/>
        <w:rPr>
          <w:lang w:val="fr-FR"/>
        </w:rPr>
      </w:pPr>
      <w:r w:rsidRPr="0039277D">
        <w:rPr>
          <w:lang w:val="fr-FR"/>
        </w:rPr>
        <w:t>Le Sous-Comité a pris note des nombreuses divergences entre les désignations officielles de transport énumérées dans la version espagnole du Règlement type et celles figurant dans le Code IMDG, les Instructions techniques de l</w:t>
      </w:r>
      <w:r w:rsidR="0039277D" w:rsidRPr="0039277D">
        <w:rPr>
          <w:lang w:val="fr-FR"/>
        </w:rPr>
        <w:t>’</w:t>
      </w:r>
      <w:r w:rsidRPr="0039277D">
        <w:rPr>
          <w:lang w:val="fr-FR"/>
        </w:rPr>
        <w:t>OACI, le RID, l</w:t>
      </w:r>
      <w:r w:rsidR="0039277D" w:rsidRPr="0039277D">
        <w:rPr>
          <w:lang w:val="fr-FR"/>
        </w:rPr>
        <w:t>’</w:t>
      </w:r>
      <w:r w:rsidRPr="0039277D">
        <w:rPr>
          <w:lang w:val="fr-FR"/>
        </w:rPr>
        <w:t>ADR et les règlements nationaux de plusieurs pays hispanophones, et a remercié le secrétariat pour son travail de recensement et d</w:t>
      </w:r>
      <w:r w:rsidR="0039277D" w:rsidRPr="0039277D">
        <w:rPr>
          <w:lang w:val="fr-FR"/>
        </w:rPr>
        <w:t>’</w:t>
      </w:r>
      <w:r w:rsidRPr="0039277D">
        <w:rPr>
          <w:lang w:val="fr-FR"/>
        </w:rPr>
        <w:t>analyse approfondis de ces divergences.</w:t>
      </w:r>
    </w:p>
    <w:p w:rsidR="00D80597" w:rsidRPr="0039277D" w:rsidRDefault="00D80597" w:rsidP="001F071F">
      <w:pPr>
        <w:pStyle w:val="ParNoG"/>
        <w:rPr>
          <w:lang w:val="fr-FR"/>
        </w:rPr>
      </w:pPr>
      <w:r w:rsidRPr="0039277D">
        <w:rPr>
          <w:lang w:val="fr-FR"/>
        </w:rPr>
        <w:t>Il a toutefois été noté que les seules langues de travail du Sous-Comité étaient l</w:t>
      </w:r>
      <w:r w:rsidR="0039277D" w:rsidRPr="0039277D">
        <w:rPr>
          <w:lang w:val="fr-FR"/>
        </w:rPr>
        <w:t>’</w:t>
      </w:r>
      <w:r w:rsidRPr="0039277D">
        <w:rPr>
          <w:lang w:val="fr-FR"/>
        </w:rPr>
        <w:t>anglais et le français et qu</w:t>
      </w:r>
      <w:r w:rsidR="0039277D" w:rsidRPr="0039277D">
        <w:rPr>
          <w:lang w:val="fr-FR"/>
        </w:rPr>
        <w:t>’</w:t>
      </w:r>
      <w:r w:rsidRPr="0039277D">
        <w:rPr>
          <w:lang w:val="fr-FR"/>
        </w:rPr>
        <w:t>il était donc difficile de résoudre les problèmes de ce type dans d</w:t>
      </w:r>
      <w:r w:rsidR="0039277D" w:rsidRPr="0039277D">
        <w:rPr>
          <w:lang w:val="fr-FR"/>
        </w:rPr>
        <w:t>’</w:t>
      </w:r>
      <w:r w:rsidRPr="0039277D">
        <w:rPr>
          <w:lang w:val="fr-FR"/>
        </w:rPr>
        <w:t>autres langues de l</w:t>
      </w:r>
      <w:r w:rsidR="0039277D" w:rsidRPr="0039277D">
        <w:rPr>
          <w:lang w:val="fr-FR"/>
        </w:rPr>
        <w:t>’</w:t>
      </w:r>
      <w:r w:rsidRPr="0039277D">
        <w:rPr>
          <w:lang w:val="fr-FR"/>
        </w:rPr>
        <w:t>ONU au sein du Sous-Comité. Les versions arabe, chinoise, espagnole et russe du Règlement type étaient des traductions officielles exécutées au sein de l</w:t>
      </w:r>
      <w:r w:rsidR="0039277D" w:rsidRPr="0039277D">
        <w:rPr>
          <w:lang w:val="fr-FR"/>
        </w:rPr>
        <w:t>’</w:t>
      </w:r>
      <w:r w:rsidRPr="0039277D">
        <w:rPr>
          <w:lang w:val="fr-FR"/>
        </w:rPr>
        <w:t>ONU. Elles n</w:t>
      </w:r>
      <w:r w:rsidR="0039277D" w:rsidRPr="0039277D">
        <w:rPr>
          <w:lang w:val="fr-FR"/>
        </w:rPr>
        <w:t>’</w:t>
      </w:r>
      <w:r w:rsidRPr="0039277D">
        <w:rPr>
          <w:lang w:val="fr-FR"/>
        </w:rPr>
        <w:t>étaient peut-être pas toujours parfaites, mais la seule façon d</w:t>
      </w:r>
      <w:r w:rsidR="0039277D" w:rsidRPr="0039277D">
        <w:rPr>
          <w:lang w:val="fr-FR"/>
        </w:rPr>
        <w:t>’</w:t>
      </w:r>
      <w:r w:rsidRPr="0039277D">
        <w:rPr>
          <w:lang w:val="fr-FR"/>
        </w:rPr>
        <w:t>éviter les divergences dans les désignations officielles de transport était de faire en sorte que les services de traduction de l</w:t>
      </w:r>
      <w:r w:rsidR="0039277D" w:rsidRPr="0039277D">
        <w:rPr>
          <w:lang w:val="fr-FR"/>
        </w:rPr>
        <w:t>’</w:t>
      </w:r>
      <w:r w:rsidRPr="0039277D">
        <w:rPr>
          <w:lang w:val="fr-FR"/>
        </w:rPr>
        <w:t>OMI, de l</w:t>
      </w:r>
      <w:r w:rsidR="0039277D" w:rsidRPr="0039277D">
        <w:rPr>
          <w:lang w:val="fr-FR"/>
        </w:rPr>
        <w:t>’</w:t>
      </w:r>
      <w:r w:rsidRPr="0039277D">
        <w:rPr>
          <w:lang w:val="fr-FR"/>
        </w:rPr>
        <w:t>OACI et des gouvernements nationaux se réfèrent à ces versions et reprennent scrupuleusement les désignations adoptées à l</w:t>
      </w:r>
      <w:r w:rsidR="0039277D" w:rsidRPr="0039277D">
        <w:rPr>
          <w:lang w:val="fr-FR"/>
        </w:rPr>
        <w:t>’</w:t>
      </w:r>
      <w:r w:rsidRPr="0039277D">
        <w:rPr>
          <w:lang w:val="fr-FR"/>
        </w:rPr>
        <w:t>ONU. Si certains choix divergents semblaient nécessaires pour telle ou telle raison, ils ne devaient pas être confirmés avant d</w:t>
      </w:r>
      <w:r w:rsidR="0039277D" w:rsidRPr="0039277D">
        <w:rPr>
          <w:lang w:val="fr-FR"/>
        </w:rPr>
        <w:t>’</w:t>
      </w:r>
      <w:r w:rsidRPr="0039277D">
        <w:rPr>
          <w:lang w:val="fr-FR"/>
        </w:rPr>
        <w:t>avoir été préalablement soumis au secrétariat compétent de l</w:t>
      </w:r>
      <w:r w:rsidR="0039277D" w:rsidRPr="0039277D">
        <w:rPr>
          <w:lang w:val="fr-FR"/>
        </w:rPr>
        <w:t>’</w:t>
      </w:r>
      <w:r w:rsidRPr="0039277D">
        <w:rPr>
          <w:lang w:val="fr-FR"/>
        </w:rPr>
        <w:t>ONU pour examen avec les services linguistiques visés et incorporation dans le Règlement type.</w:t>
      </w:r>
    </w:p>
    <w:p w:rsidR="00D80597" w:rsidRPr="0039277D" w:rsidRDefault="00D80597" w:rsidP="001F071F">
      <w:pPr>
        <w:pStyle w:val="ParNoG"/>
        <w:rPr>
          <w:lang w:val="fr-FR"/>
        </w:rPr>
      </w:pPr>
      <w:r w:rsidRPr="0039277D">
        <w:rPr>
          <w:lang w:val="fr-FR"/>
        </w:rPr>
        <w:t>S</w:t>
      </w:r>
      <w:r w:rsidR="0039277D" w:rsidRPr="0039277D">
        <w:rPr>
          <w:lang w:val="fr-FR"/>
        </w:rPr>
        <w:t>’</w:t>
      </w:r>
      <w:r w:rsidRPr="0039277D">
        <w:rPr>
          <w:lang w:val="fr-FR"/>
        </w:rPr>
        <w:t>agissant de la version espagnole, il a été décidé que le secrétariat tâcherait dans un premier temps de résoudre, avec le concours de toutes les parties concernées, les problèmes purement linguistiques. Pour les problèmes qui, de l</w:t>
      </w:r>
      <w:r w:rsidR="0039277D" w:rsidRPr="0039277D">
        <w:rPr>
          <w:lang w:val="fr-FR"/>
        </w:rPr>
        <w:t>’</w:t>
      </w:r>
      <w:r w:rsidRPr="0039277D">
        <w:rPr>
          <w:lang w:val="fr-FR"/>
        </w:rPr>
        <w:t>avis du secrétariat, correspondraient à d</w:t>
      </w:r>
      <w:r w:rsidR="0039277D" w:rsidRPr="0039277D">
        <w:rPr>
          <w:lang w:val="fr-FR"/>
        </w:rPr>
        <w:t>’</w:t>
      </w:r>
      <w:r w:rsidRPr="0039277D">
        <w:rPr>
          <w:lang w:val="fr-FR"/>
        </w:rPr>
        <w:t>éventuelles incohérences ou à un manque de rigueur dans les versions anglaise et française, le secrétariat chercherait à savoir s</w:t>
      </w:r>
      <w:r w:rsidR="0039277D" w:rsidRPr="0039277D">
        <w:rPr>
          <w:lang w:val="fr-FR"/>
        </w:rPr>
        <w:t>’</w:t>
      </w:r>
      <w:r w:rsidRPr="0039277D">
        <w:rPr>
          <w:lang w:val="fr-FR"/>
        </w:rPr>
        <w:t>il existait des raisons aux divergences entre l</w:t>
      </w:r>
      <w:r w:rsidR="0039277D" w:rsidRPr="0039277D">
        <w:rPr>
          <w:lang w:val="fr-FR"/>
        </w:rPr>
        <w:t>’</w:t>
      </w:r>
      <w:r w:rsidRPr="0039277D">
        <w:rPr>
          <w:lang w:val="fr-FR"/>
        </w:rPr>
        <w:t xml:space="preserve">anglais et le français, ou toute autre raison pouvant aider à régler le problème, mais cette démarche pourrait prendre un certain temps et ne pourrait pas être entreprise avant le prochain exercice biennal, surtout si cela impliquait de réexaminer certaines désignations officielles de transport en anglais ou en français. </w:t>
      </w:r>
    </w:p>
    <w:p w:rsidR="00D80597" w:rsidRPr="0039277D" w:rsidRDefault="00D80597" w:rsidP="00DF467B">
      <w:pPr>
        <w:pStyle w:val="H1G"/>
        <w:rPr>
          <w:lang w:val="fr-FR"/>
        </w:rPr>
      </w:pPr>
      <w:r w:rsidRPr="0039277D">
        <w:rPr>
          <w:lang w:val="fr-FR"/>
        </w:rPr>
        <w:tab/>
        <w:t>D.</w:t>
      </w:r>
      <w:r w:rsidRPr="0039277D">
        <w:rPr>
          <w:lang w:val="fr-FR"/>
        </w:rPr>
        <w:tab/>
        <w:t>Adoption d</w:t>
      </w:r>
      <w:r w:rsidR="0039277D" w:rsidRPr="0039277D">
        <w:rPr>
          <w:lang w:val="fr-FR"/>
        </w:rPr>
        <w:t>’</w:t>
      </w:r>
      <w:r w:rsidRPr="0039277D">
        <w:rPr>
          <w:lang w:val="fr-FR"/>
        </w:rPr>
        <w:t>amendements au Code IMDG</w:t>
      </w:r>
    </w:p>
    <w:p w:rsidR="00D80597" w:rsidRPr="0039277D" w:rsidRDefault="00D80597" w:rsidP="00855C98">
      <w:pPr>
        <w:keepNext/>
        <w:spacing w:after="120"/>
        <w:ind w:left="3119" w:hanging="1985"/>
        <w:rPr>
          <w:lang w:val="fr-FR"/>
        </w:rPr>
      </w:pPr>
      <w:r w:rsidRPr="0039277D">
        <w:rPr>
          <w:i/>
          <w:lang w:val="fr-FR"/>
        </w:rPr>
        <w:t>Document informel</w:t>
      </w:r>
      <w:r w:rsidR="0066043C">
        <w:rPr>
          <w:i/>
          <w:lang w:val="fr-FR"/>
        </w:rPr>
        <w:t> </w:t>
      </w:r>
      <w:r w:rsidR="0066043C" w:rsidRPr="000D7C82">
        <w:rPr>
          <w:lang w:val="fr-FR"/>
        </w:rPr>
        <w:t>:</w:t>
      </w:r>
      <w:r w:rsidR="0066043C">
        <w:rPr>
          <w:i/>
          <w:lang w:val="fr-FR"/>
        </w:rPr>
        <w:tab/>
      </w:r>
      <w:r w:rsidRPr="0039277D">
        <w:rPr>
          <w:lang w:val="fr-FR"/>
        </w:rPr>
        <w:t>INF.59 (IMO).</w:t>
      </w:r>
    </w:p>
    <w:p w:rsidR="00D80597" w:rsidRPr="0039277D" w:rsidRDefault="00D80597" w:rsidP="001F071F">
      <w:pPr>
        <w:pStyle w:val="ParNoG"/>
        <w:rPr>
          <w:lang w:val="fr-FR"/>
        </w:rPr>
      </w:pPr>
      <w:r w:rsidRPr="0039277D">
        <w:rPr>
          <w:lang w:val="fr-FR"/>
        </w:rPr>
        <w:t>Le Sous-Comité a noté que le Comité de la sécurité maritime de l</w:t>
      </w:r>
      <w:r w:rsidR="0039277D" w:rsidRPr="0039277D">
        <w:rPr>
          <w:lang w:val="fr-FR"/>
        </w:rPr>
        <w:t>’</w:t>
      </w:r>
      <w:r w:rsidRPr="0039277D">
        <w:rPr>
          <w:lang w:val="fr-FR"/>
        </w:rPr>
        <w:t>OMI avait adopté l</w:t>
      </w:r>
      <w:r w:rsidR="0039277D" w:rsidRPr="0039277D">
        <w:rPr>
          <w:lang w:val="fr-FR"/>
        </w:rPr>
        <w:t>’</w:t>
      </w:r>
      <w:r w:rsidR="00642433">
        <w:rPr>
          <w:lang w:val="fr-FR"/>
        </w:rPr>
        <w:t xml:space="preserve">amendement </w:t>
      </w:r>
      <w:r w:rsidRPr="0039277D">
        <w:rPr>
          <w:lang w:val="fr-FR"/>
        </w:rPr>
        <w:t>38</w:t>
      </w:r>
      <w:r w:rsidR="00642433">
        <w:rPr>
          <w:lang w:val="fr-FR"/>
        </w:rPr>
        <w:noBreakHyphen/>
      </w:r>
      <w:r w:rsidRPr="0039277D">
        <w:rPr>
          <w:lang w:val="fr-FR"/>
        </w:rPr>
        <w:t>16 au Code IMDG par sa résolution MSC.406</w:t>
      </w:r>
      <w:r w:rsidR="00642433">
        <w:rPr>
          <w:lang w:val="fr-FR"/>
        </w:rPr>
        <w:t> </w:t>
      </w:r>
      <w:r w:rsidRPr="0039277D">
        <w:rPr>
          <w:lang w:val="fr-FR"/>
        </w:rPr>
        <w:t>(96), qui serait publiée dans l</w:t>
      </w:r>
      <w:r w:rsidR="0039277D" w:rsidRPr="0039277D">
        <w:rPr>
          <w:lang w:val="fr-FR"/>
        </w:rPr>
        <w:t>’</w:t>
      </w:r>
      <w:r w:rsidRPr="0039277D">
        <w:rPr>
          <w:lang w:val="fr-FR"/>
        </w:rPr>
        <w:t>annexe 5 au document MSC96/25/Add.2. Sous réserve d</w:t>
      </w:r>
      <w:r w:rsidR="0039277D" w:rsidRPr="0039277D">
        <w:rPr>
          <w:lang w:val="fr-FR"/>
        </w:rPr>
        <w:t>’</w:t>
      </w:r>
      <w:r w:rsidRPr="0039277D">
        <w:rPr>
          <w:lang w:val="fr-FR"/>
        </w:rPr>
        <w:t>être accepté d</w:t>
      </w:r>
      <w:r w:rsidR="0039277D" w:rsidRPr="0039277D">
        <w:rPr>
          <w:lang w:val="fr-FR"/>
        </w:rPr>
        <w:t>’</w:t>
      </w:r>
      <w:r w:rsidRPr="0039277D">
        <w:rPr>
          <w:lang w:val="fr-FR"/>
        </w:rPr>
        <w:t>ici au 1</w:t>
      </w:r>
      <w:r w:rsidRPr="0039277D">
        <w:rPr>
          <w:vertAlign w:val="superscript"/>
          <w:lang w:val="fr-FR"/>
        </w:rPr>
        <w:t>er</w:t>
      </w:r>
      <w:r w:rsidRPr="0039277D">
        <w:rPr>
          <w:lang w:val="fr-FR"/>
        </w:rPr>
        <w:t> juillet 2017, l</w:t>
      </w:r>
      <w:r w:rsidR="0039277D" w:rsidRPr="0039277D">
        <w:rPr>
          <w:lang w:val="fr-FR"/>
        </w:rPr>
        <w:t>’</w:t>
      </w:r>
      <w:r w:rsidRPr="0039277D">
        <w:rPr>
          <w:lang w:val="fr-FR"/>
        </w:rPr>
        <w:t>amendement entrerait en vigueur le 1</w:t>
      </w:r>
      <w:r w:rsidRPr="0039277D">
        <w:rPr>
          <w:vertAlign w:val="superscript"/>
          <w:lang w:val="fr-FR"/>
        </w:rPr>
        <w:t>er</w:t>
      </w:r>
      <w:r w:rsidRPr="0039277D">
        <w:rPr>
          <w:lang w:val="fr-FR"/>
        </w:rPr>
        <w:t> janvier 2018 et les Parties contractantes à la Convention SOLAS seraient autorisées à l</w:t>
      </w:r>
      <w:r w:rsidR="0039277D" w:rsidRPr="0039277D">
        <w:rPr>
          <w:lang w:val="fr-FR"/>
        </w:rPr>
        <w:t>’</w:t>
      </w:r>
      <w:r w:rsidRPr="0039277D">
        <w:rPr>
          <w:lang w:val="fr-FR"/>
        </w:rPr>
        <w:t>appliquer dans son ensemble ou en partie, à titre volontaire, à compter du 1</w:t>
      </w:r>
      <w:r w:rsidRPr="0039277D">
        <w:rPr>
          <w:vertAlign w:val="superscript"/>
          <w:lang w:val="fr-FR"/>
        </w:rPr>
        <w:t>er</w:t>
      </w:r>
      <w:r w:rsidRPr="0039277D">
        <w:rPr>
          <w:lang w:val="fr-FR"/>
        </w:rPr>
        <w:t> janvier 2017. L</w:t>
      </w:r>
      <w:r w:rsidR="0039277D" w:rsidRPr="0039277D">
        <w:rPr>
          <w:lang w:val="fr-FR"/>
        </w:rPr>
        <w:t>’</w:t>
      </w:r>
      <w:r w:rsidRPr="0039277D">
        <w:rPr>
          <w:lang w:val="fr-FR"/>
        </w:rPr>
        <w:t xml:space="preserve">OMI avait également publié les documents MSC.1/Circ.1520 (Guidelines on </w:t>
      </w:r>
      <w:proofErr w:type="spellStart"/>
      <w:r w:rsidR="00CF3B8F" w:rsidRPr="0039277D">
        <w:rPr>
          <w:lang w:val="fr-FR"/>
        </w:rPr>
        <w:t>c</w:t>
      </w:r>
      <w:r w:rsidRPr="0039277D">
        <w:rPr>
          <w:lang w:val="fr-FR"/>
        </w:rPr>
        <w:t>onsolidated</w:t>
      </w:r>
      <w:proofErr w:type="spellEnd"/>
      <w:r w:rsidRPr="0039277D">
        <w:rPr>
          <w:lang w:val="fr-FR"/>
        </w:rPr>
        <w:t xml:space="preserve"> IMO </w:t>
      </w:r>
      <w:r w:rsidR="00CF3B8F" w:rsidRPr="0039277D">
        <w:rPr>
          <w:lang w:val="fr-FR"/>
        </w:rPr>
        <w:t>p</w:t>
      </w:r>
      <w:r w:rsidRPr="0039277D">
        <w:rPr>
          <w:lang w:val="fr-FR"/>
        </w:rPr>
        <w:t xml:space="preserve">rovisions for the </w:t>
      </w:r>
      <w:proofErr w:type="spellStart"/>
      <w:r w:rsidR="00CF3B8F" w:rsidRPr="0039277D">
        <w:rPr>
          <w:lang w:val="fr-FR"/>
        </w:rPr>
        <w:t>safe</w:t>
      </w:r>
      <w:proofErr w:type="spellEnd"/>
      <w:r w:rsidR="00CF3B8F" w:rsidRPr="0039277D">
        <w:rPr>
          <w:lang w:val="fr-FR"/>
        </w:rPr>
        <w:t xml:space="preserve"> </w:t>
      </w:r>
      <w:proofErr w:type="spellStart"/>
      <w:r w:rsidR="00CF3B8F" w:rsidRPr="0039277D">
        <w:rPr>
          <w:lang w:val="fr-FR"/>
        </w:rPr>
        <w:t>carriage</w:t>
      </w:r>
      <w:proofErr w:type="spellEnd"/>
      <w:r w:rsidR="00CF3B8F" w:rsidRPr="0039277D">
        <w:rPr>
          <w:lang w:val="fr-FR"/>
        </w:rPr>
        <w:t xml:space="preserve"> of </w:t>
      </w:r>
      <w:proofErr w:type="spellStart"/>
      <w:r w:rsidR="00CF3B8F" w:rsidRPr="0039277D">
        <w:rPr>
          <w:lang w:val="fr-FR"/>
        </w:rPr>
        <w:t>dangerous</w:t>
      </w:r>
      <w:proofErr w:type="spellEnd"/>
      <w:r w:rsidR="00CF3B8F" w:rsidRPr="0039277D">
        <w:rPr>
          <w:lang w:val="fr-FR"/>
        </w:rPr>
        <w:t xml:space="preserve"> </w:t>
      </w:r>
      <w:proofErr w:type="spellStart"/>
      <w:r w:rsidR="00CF3B8F" w:rsidRPr="0039277D">
        <w:rPr>
          <w:lang w:val="fr-FR"/>
        </w:rPr>
        <w:t>goods</w:t>
      </w:r>
      <w:proofErr w:type="spellEnd"/>
      <w:r w:rsidR="00CF3B8F" w:rsidRPr="0039277D">
        <w:rPr>
          <w:lang w:val="fr-FR"/>
        </w:rPr>
        <w:t xml:space="preserve"> in </w:t>
      </w:r>
      <w:proofErr w:type="spellStart"/>
      <w:r w:rsidR="00CF3B8F" w:rsidRPr="0039277D">
        <w:rPr>
          <w:lang w:val="fr-FR"/>
        </w:rPr>
        <w:t>packaged</w:t>
      </w:r>
      <w:proofErr w:type="spellEnd"/>
      <w:r w:rsidR="00CF3B8F" w:rsidRPr="0039277D">
        <w:rPr>
          <w:lang w:val="fr-FR"/>
        </w:rPr>
        <w:t xml:space="preserve"> </w:t>
      </w:r>
      <w:proofErr w:type="spellStart"/>
      <w:r w:rsidR="00CF3B8F" w:rsidRPr="0039277D">
        <w:rPr>
          <w:lang w:val="fr-FR"/>
        </w:rPr>
        <w:t>form</w:t>
      </w:r>
      <w:proofErr w:type="spellEnd"/>
      <w:r w:rsidR="00CF3B8F" w:rsidRPr="0039277D">
        <w:rPr>
          <w:lang w:val="fr-FR"/>
        </w:rPr>
        <w:t xml:space="preserve"> by </w:t>
      </w:r>
      <w:proofErr w:type="spellStart"/>
      <w:r w:rsidR="00CF3B8F" w:rsidRPr="0039277D">
        <w:rPr>
          <w:lang w:val="fr-FR"/>
        </w:rPr>
        <w:t>sea</w:t>
      </w:r>
      <w:proofErr w:type="spellEnd"/>
      <w:r w:rsidRPr="0039277D">
        <w:rPr>
          <w:lang w:val="fr-FR"/>
        </w:rPr>
        <w:t>), MSC.1/Circ.1521 (</w:t>
      </w:r>
      <w:proofErr w:type="spellStart"/>
      <w:r w:rsidRPr="0039277D">
        <w:rPr>
          <w:lang w:val="fr-FR"/>
        </w:rPr>
        <w:t>Amendments</w:t>
      </w:r>
      <w:proofErr w:type="spellEnd"/>
      <w:r w:rsidRPr="0039277D">
        <w:rPr>
          <w:lang w:val="fr-FR"/>
        </w:rPr>
        <w:t xml:space="preserve"> to the </w:t>
      </w:r>
      <w:r w:rsidR="00CF3B8F" w:rsidRPr="0039277D">
        <w:rPr>
          <w:lang w:val="fr-FR"/>
        </w:rPr>
        <w:t xml:space="preserve">inspection programmes for cargo transport </w:t>
      </w:r>
      <w:proofErr w:type="spellStart"/>
      <w:r w:rsidR="00CF3B8F" w:rsidRPr="0039277D">
        <w:rPr>
          <w:lang w:val="fr-FR"/>
        </w:rPr>
        <w:t>units</w:t>
      </w:r>
      <w:proofErr w:type="spellEnd"/>
      <w:r w:rsidR="00CF3B8F" w:rsidRPr="0039277D">
        <w:rPr>
          <w:lang w:val="fr-FR"/>
        </w:rPr>
        <w:t xml:space="preserve"> </w:t>
      </w:r>
      <w:proofErr w:type="spellStart"/>
      <w:r w:rsidR="00CF3B8F" w:rsidRPr="0039277D">
        <w:rPr>
          <w:lang w:val="fr-FR"/>
        </w:rPr>
        <w:t>carrying</w:t>
      </w:r>
      <w:proofErr w:type="spellEnd"/>
      <w:r w:rsidR="00CF3B8F" w:rsidRPr="0039277D">
        <w:rPr>
          <w:lang w:val="fr-FR"/>
        </w:rPr>
        <w:t xml:space="preserve"> </w:t>
      </w:r>
      <w:proofErr w:type="spellStart"/>
      <w:r w:rsidR="00CF3B8F" w:rsidRPr="0039277D">
        <w:rPr>
          <w:lang w:val="fr-FR"/>
        </w:rPr>
        <w:t>dangerous</w:t>
      </w:r>
      <w:proofErr w:type="spellEnd"/>
      <w:r w:rsidR="00CF3B8F" w:rsidRPr="0039277D">
        <w:rPr>
          <w:lang w:val="fr-FR"/>
        </w:rPr>
        <w:t xml:space="preserve"> </w:t>
      </w:r>
      <w:proofErr w:type="spellStart"/>
      <w:r w:rsidR="00CF3B8F" w:rsidRPr="0039277D">
        <w:rPr>
          <w:lang w:val="fr-FR"/>
        </w:rPr>
        <w:t>goods</w:t>
      </w:r>
      <w:proofErr w:type="spellEnd"/>
      <w:r w:rsidRPr="0039277D">
        <w:rPr>
          <w:lang w:val="fr-FR"/>
        </w:rPr>
        <w:t>) et MSC.1/Circ.1522 (</w:t>
      </w:r>
      <w:proofErr w:type="spellStart"/>
      <w:r w:rsidRPr="0039277D">
        <w:rPr>
          <w:lang w:val="fr-FR"/>
        </w:rPr>
        <w:t>Amendments</w:t>
      </w:r>
      <w:proofErr w:type="spellEnd"/>
      <w:r w:rsidRPr="0039277D">
        <w:rPr>
          <w:lang w:val="fr-FR"/>
        </w:rPr>
        <w:t xml:space="preserve"> to the Emergency </w:t>
      </w:r>
      <w:proofErr w:type="spellStart"/>
      <w:r w:rsidRPr="0039277D">
        <w:rPr>
          <w:lang w:val="fr-FR"/>
        </w:rPr>
        <w:t>Procedures</w:t>
      </w:r>
      <w:proofErr w:type="spellEnd"/>
      <w:r w:rsidRPr="0039277D">
        <w:rPr>
          <w:lang w:val="fr-FR"/>
        </w:rPr>
        <w:t xml:space="preserve"> for </w:t>
      </w:r>
      <w:proofErr w:type="spellStart"/>
      <w:r w:rsidR="00CF3B8F" w:rsidRPr="0039277D">
        <w:rPr>
          <w:lang w:val="fr-FR"/>
        </w:rPr>
        <w:t>ships</w:t>
      </w:r>
      <w:proofErr w:type="spellEnd"/>
      <w:r w:rsidR="00CF3B8F" w:rsidRPr="0039277D">
        <w:rPr>
          <w:lang w:val="fr-FR"/>
        </w:rPr>
        <w:t xml:space="preserve"> </w:t>
      </w:r>
      <w:proofErr w:type="spellStart"/>
      <w:r w:rsidR="00CF3B8F" w:rsidRPr="0039277D">
        <w:rPr>
          <w:lang w:val="fr-FR"/>
        </w:rPr>
        <w:t>carrying</w:t>
      </w:r>
      <w:proofErr w:type="spellEnd"/>
      <w:r w:rsidR="00CF3B8F" w:rsidRPr="0039277D">
        <w:rPr>
          <w:lang w:val="fr-FR"/>
        </w:rPr>
        <w:t xml:space="preserve"> </w:t>
      </w:r>
      <w:proofErr w:type="spellStart"/>
      <w:r w:rsidRPr="0039277D">
        <w:rPr>
          <w:lang w:val="fr-FR"/>
        </w:rPr>
        <w:t>Dangerous</w:t>
      </w:r>
      <w:proofErr w:type="spellEnd"/>
      <w:r w:rsidRPr="0039277D">
        <w:rPr>
          <w:lang w:val="fr-FR"/>
        </w:rPr>
        <w:t xml:space="preserve"> </w:t>
      </w:r>
      <w:proofErr w:type="spellStart"/>
      <w:r w:rsidRPr="0039277D">
        <w:rPr>
          <w:lang w:val="fr-FR"/>
        </w:rPr>
        <w:t>Goods</w:t>
      </w:r>
      <w:proofErr w:type="spellEnd"/>
      <w:r w:rsidRPr="0039277D">
        <w:rPr>
          <w:lang w:val="fr-FR"/>
        </w:rPr>
        <w:t xml:space="preserve"> (</w:t>
      </w:r>
      <w:proofErr w:type="spellStart"/>
      <w:r w:rsidRPr="0039277D">
        <w:rPr>
          <w:lang w:val="fr-FR"/>
        </w:rPr>
        <w:t>EmS</w:t>
      </w:r>
      <w:proofErr w:type="spellEnd"/>
      <w:r w:rsidRPr="0039277D">
        <w:rPr>
          <w:lang w:val="fr-FR"/>
        </w:rPr>
        <w:t>) Guide).</w:t>
      </w:r>
    </w:p>
    <w:p w:rsidR="00D80597" w:rsidRPr="0039277D" w:rsidRDefault="00D80597" w:rsidP="00DF467B">
      <w:pPr>
        <w:pStyle w:val="H1G"/>
        <w:rPr>
          <w:lang w:val="fr-FR"/>
        </w:rPr>
      </w:pPr>
      <w:r w:rsidRPr="0039277D">
        <w:rPr>
          <w:lang w:val="fr-FR"/>
        </w:rPr>
        <w:tab/>
        <w:t>E.</w:t>
      </w:r>
      <w:r w:rsidRPr="0039277D">
        <w:rPr>
          <w:lang w:val="fr-FR"/>
        </w:rPr>
        <w:tab/>
        <w:t>Résultats de la Réunion commune de la Commission d</w:t>
      </w:r>
      <w:r w:rsidR="0039277D" w:rsidRPr="0039277D">
        <w:rPr>
          <w:lang w:val="fr-FR"/>
        </w:rPr>
        <w:t>’</w:t>
      </w:r>
      <w:r w:rsidRPr="0039277D">
        <w:rPr>
          <w:lang w:val="fr-FR"/>
        </w:rPr>
        <w:t>experts du RID et du Groupe de travail des transports de marchandises dangereuses sur sa session de printemps de 2016</w:t>
      </w:r>
    </w:p>
    <w:p w:rsidR="00D80597" w:rsidRPr="0039277D" w:rsidRDefault="00D80597" w:rsidP="0066043C">
      <w:pPr>
        <w:keepNext/>
        <w:spacing w:after="120"/>
        <w:ind w:left="3119" w:hanging="1985"/>
        <w:rPr>
          <w:lang w:val="fr-FR"/>
        </w:rPr>
      </w:pPr>
      <w:r w:rsidRPr="0039277D">
        <w:rPr>
          <w:i/>
          <w:lang w:val="fr-FR"/>
        </w:rPr>
        <w:t>Document informel</w:t>
      </w:r>
      <w:r w:rsidR="0066043C">
        <w:rPr>
          <w:lang w:val="fr-FR"/>
        </w:rPr>
        <w:t> :</w:t>
      </w:r>
      <w:r w:rsidR="0066043C">
        <w:rPr>
          <w:lang w:val="fr-FR"/>
        </w:rPr>
        <w:tab/>
      </w:r>
      <w:r w:rsidRPr="0039277D">
        <w:rPr>
          <w:lang w:val="fr-FR"/>
        </w:rPr>
        <w:t>INF.61 (secrétariat).</w:t>
      </w:r>
    </w:p>
    <w:p w:rsidR="00D80597" w:rsidRPr="0039277D" w:rsidRDefault="00D80597" w:rsidP="001F071F">
      <w:pPr>
        <w:pStyle w:val="ParNoG"/>
        <w:rPr>
          <w:lang w:val="fr-FR"/>
        </w:rPr>
      </w:pPr>
      <w:r w:rsidRPr="0039277D">
        <w:rPr>
          <w:lang w:val="fr-FR"/>
        </w:rPr>
        <w:t>Le Sous-Comité a pris note des informations qui lui avaient été communiquées et a invité le secrétariat à lui soumettre les propositions d</w:t>
      </w:r>
      <w:r w:rsidR="0039277D" w:rsidRPr="0039277D">
        <w:rPr>
          <w:lang w:val="fr-FR"/>
        </w:rPr>
        <w:t>’</w:t>
      </w:r>
      <w:r w:rsidRPr="0039277D">
        <w:rPr>
          <w:lang w:val="fr-FR"/>
        </w:rPr>
        <w:t>amendements au Règlement type dans un document officiel à sa session suivante.</w:t>
      </w:r>
    </w:p>
    <w:p w:rsidR="00D80597" w:rsidRPr="0039277D" w:rsidRDefault="00D80597" w:rsidP="00DF467B">
      <w:pPr>
        <w:pStyle w:val="HChG"/>
        <w:rPr>
          <w:lang w:val="fr-FR"/>
        </w:rPr>
      </w:pPr>
      <w:r w:rsidRPr="0039277D">
        <w:rPr>
          <w:lang w:val="fr-FR"/>
        </w:rPr>
        <w:tab/>
        <w:t>IX.</w:t>
      </w:r>
      <w:r w:rsidRPr="0039277D">
        <w:rPr>
          <w:lang w:val="fr-FR"/>
        </w:rPr>
        <w:tab/>
        <w:t>Coopération avec l</w:t>
      </w:r>
      <w:r w:rsidR="0039277D" w:rsidRPr="0039277D">
        <w:rPr>
          <w:lang w:val="fr-FR"/>
        </w:rPr>
        <w:t>’</w:t>
      </w:r>
      <w:r w:rsidRPr="0039277D">
        <w:rPr>
          <w:lang w:val="fr-FR"/>
        </w:rPr>
        <w:t>Agence internationale de l</w:t>
      </w:r>
      <w:r w:rsidR="0039277D" w:rsidRPr="0039277D">
        <w:rPr>
          <w:lang w:val="fr-FR"/>
        </w:rPr>
        <w:t>’</w:t>
      </w:r>
      <w:r w:rsidRPr="0039277D">
        <w:rPr>
          <w:lang w:val="fr-FR"/>
        </w:rPr>
        <w:t>énergie atomique (point 8 de l</w:t>
      </w:r>
      <w:r w:rsidR="0039277D" w:rsidRPr="0039277D">
        <w:rPr>
          <w:lang w:val="fr-FR"/>
        </w:rPr>
        <w:t>’</w:t>
      </w:r>
      <w:r w:rsidRPr="0039277D">
        <w:rPr>
          <w:lang w:val="fr-FR"/>
        </w:rPr>
        <w:t>ordre du jour)</w:t>
      </w:r>
    </w:p>
    <w:p w:rsidR="00D80597" w:rsidRPr="0039277D" w:rsidRDefault="00D80597" w:rsidP="0066043C">
      <w:pPr>
        <w:keepNext/>
        <w:spacing w:after="120"/>
        <w:ind w:left="3119" w:hanging="1985"/>
        <w:rPr>
          <w:lang w:val="fr-FR"/>
        </w:rPr>
      </w:pPr>
      <w:r w:rsidRPr="0039277D">
        <w:rPr>
          <w:i/>
          <w:iCs/>
          <w:lang w:val="fr-FR"/>
        </w:rPr>
        <w:t>Document informel</w:t>
      </w:r>
      <w:r w:rsidR="0066043C">
        <w:rPr>
          <w:lang w:val="fr-FR"/>
        </w:rPr>
        <w:t> :</w:t>
      </w:r>
      <w:r w:rsidR="0066043C">
        <w:rPr>
          <w:lang w:val="fr-FR"/>
        </w:rPr>
        <w:tab/>
      </w:r>
      <w:r w:rsidRPr="0039277D">
        <w:rPr>
          <w:lang w:val="fr-FR"/>
        </w:rPr>
        <w:t>INF.46 (AIEA).</w:t>
      </w:r>
    </w:p>
    <w:p w:rsidR="00D80597" w:rsidRPr="0039277D" w:rsidRDefault="00D80597" w:rsidP="001F071F">
      <w:pPr>
        <w:pStyle w:val="ParNoG"/>
        <w:rPr>
          <w:lang w:val="fr-FR"/>
        </w:rPr>
      </w:pPr>
      <w:r w:rsidRPr="0039277D">
        <w:rPr>
          <w:lang w:val="fr-FR"/>
        </w:rPr>
        <w:t>Le Sous-Comité a pris note des informations qui lui avaient été fournies sur les résultats de la trente-deuxième session du Comité des normes de sûreté du transport de l</w:t>
      </w:r>
      <w:r w:rsidR="0039277D" w:rsidRPr="0039277D">
        <w:rPr>
          <w:lang w:val="fr-FR"/>
        </w:rPr>
        <w:t>’</w:t>
      </w:r>
      <w:r w:rsidRPr="0039277D">
        <w:rPr>
          <w:lang w:val="fr-FR"/>
        </w:rPr>
        <w:t>AIEA (TRANSSC 32), tenue à Vienne les 14 et 15</w:t>
      </w:r>
      <w:r w:rsidR="00642433">
        <w:rPr>
          <w:lang w:val="fr-FR"/>
        </w:rPr>
        <w:t> </w:t>
      </w:r>
      <w:r w:rsidRPr="0039277D">
        <w:rPr>
          <w:lang w:val="fr-FR"/>
        </w:rPr>
        <w:t>juin 2016.</w:t>
      </w:r>
    </w:p>
    <w:p w:rsidR="00D80597" w:rsidRPr="0039277D" w:rsidRDefault="00D80597" w:rsidP="00DF467B">
      <w:pPr>
        <w:pStyle w:val="HChG"/>
        <w:rPr>
          <w:lang w:val="fr-FR"/>
        </w:rPr>
      </w:pPr>
      <w:r w:rsidRPr="0039277D">
        <w:rPr>
          <w:lang w:val="fr-FR"/>
        </w:rPr>
        <w:tab/>
        <w:t>X.</w:t>
      </w:r>
      <w:r w:rsidRPr="0039277D">
        <w:rPr>
          <w:lang w:val="fr-FR"/>
        </w:rPr>
        <w:tab/>
        <w:t xml:space="preserve">Principes directeurs du Règlement type </w:t>
      </w:r>
      <w:r w:rsidRPr="0039277D">
        <w:rPr>
          <w:lang w:val="fr-FR"/>
        </w:rPr>
        <w:br/>
        <w:t>(point 9 de l</w:t>
      </w:r>
      <w:r w:rsidR="0039277D" w:rsidRPr="0039277D">
        <w:rPr>
          <w:lang w:val="fr-FR"/>
        </w:rPr>
        <w:t>’</w:t>
      </w:r>
      <w:r w:rsidRPr="0039277D">
        <w:rPr>
          <w:lang w:val="fr-FR"/>
        </w:rPr>
        <w:t>ordre du jour)</w:t>
      </w:r>
    </w:p>
    <w:p w:rsidR="00D80597" w:rsidRPr="0039277D" w:rsidRDefault="00D80597" w:rsidP="001F071F">
      <w:pPr>
        <w:pStyle w:val="ParNoG"/>
        <w:rPr>
          <w:lang w:val="fr-FR"/>
        </w:rPr>
      </w:pPr>
      <w:r w:rsidRPr="0039277D">
        <w:rPr>
          <w:lang w:val="fr-FR"/>
        </w:rPr>
        <w:t>Aucun document n</w:t>
      </w:r>
      <w:r w:rsidR="0039277D" w:rsidRPr="0039277D">
        <w:rPr>
          <w:lang w:val="fr-FR"/>
        </w:rPr>
        <w:t>’</w:t>
      </w:r>
      <w:r w:rsidRPr="0039277D">
        <w:rPr>
          <w:lang w:val="fr-FR"/>
        </w:rPr>
        <w:t>ayant été soumis au titre de ce point de l</w:t>
      </w:r>
      <w:r w:rsidR="0039277D" w:rsidRPr="0039277D">
        <w:rPr>
          <w:lang w:val="fr-FR"/>
        </w:rPr>
        <w:t>’</w:t>
      </w:r>
      <w:r w:rsidRPr="0039277D">
        <w:rPr>
          <w:lang w:val="fr-FR"/>
        </w:rPr>
        <w:t>ordre du jour, la question n</w:t>
      </w:r>
      <w:r w:rsidR="0039277D" w:rsidRPr="0039277D">
        <w:rPr>
          <w:lang w:val="fr-FR"/>
        </w:rPr>
        <w:t>’</w:t>
      </w:r>
      <w:r w:rsidRPr="0039277D">
        <w:rPr>
          <w:lang w:val="fr-FR"/>
        </w:rPr>
        <w:t>a pas été examinée.</w:t>
      </w:r>
    </w:p>
    <w:p w:rsidR="00D80597" w:rsidRPr="0039277D" w:rsidRDefault="00D80597" w:rsidP="00DF467B">
      <w:pPr>
        <w:pStyle w:val="HChG"/>
        <w:rPr>
          <w:lang w:val="fr-FR"/>
        </w:rPr>
      </w:pPr>
      <w:r w:rsidRPr="0039277D">
        <w:rPr>
          <w:lang w:val="fr-FR"/>
        </w:rPr>
        <w:tab/>
        <w:t>XI.</w:t>
      </w:r>
      <w:r w:rsidRPr="0039277D">
        <w:rPr>
          <w:lang w:val="fr-FR"/>
        </w:rPr>
        <w:tab/>
        <w:t>Questions relatives au Système général harmonisé de classification et d</w:t>
      </w:r>
      <w:r w:rsidR="0039277D" w:rsidRPr="0039277D">
        <w:rPr>
          <w:lang w:val="fr-FR"/>
        </w:rPr>
        <w:t>’</w:t>
      </w:r>
      <w:r w:rsidRPr="0039277D">
        <w:rPr>
          <w:lang w:val="fr-FR"/>
        </w:rPr>
        <w:t>étiquetage des produits chimiques (point 10 de l</w:t>
      </w:r>
      <w:r w:rsidR="0039277D" w:rsidRPr="0039277D">
        <w:rPr>
          <w:lang w:val="fr-FR"/>
        </w:rPr>
        <w:t>’</w:t>
      </w:r>
      <w:r w:rsidRPr="0039277D">
        <w:rPr>
          <w:lang w:val="fr-FR"/>
        </w:rPr>
        <w:t>ordre du jour)</w:t>
      </w:r>
    </w:p>
    <w:p w:rsidR="00D80597" w:rsidRPr="0039277D" w:rsidRDefault="00D80597" w:rsidP="001F071F">
      <w:pPr>
        <w:pStyle w:val="ParNoG"/>
        <w:rPr>
          <w:lang w:val="fr-FR"/>
        </w:rPr>
      </w:pPr>
      <w:r w:rsidRPr="0039277D">
        <w:rPr>
          <w:lang w:val="fr-FR"/>
        </w:rPr>
        <w:t>Certaines des questions abordées au titre de ce point de l</w:t>
      </w:r>
      <w:r w:rsidR="0039277D" w:rsidRPr="0039277D">
        <w:rPr>
          <w:lang w:val="fr-FR"/>
        </w:rPr>
        <w:t>’</w:t>
      </w:r>
      <w:r w:rsidRPr="0039277D">
        <w:rPr>
          <w:lang w:val="fr-FR"/>
        </w:rPr>
        <w:t>ordre du jour avaient été examinées conjointement avec le Sous-Comité SGH dans l</w:t>
      </w:r>
      <w:r w:rsidR="0039277D" w:rsidRPr="0039277D">
        <w:rPr>
          <w:lang w:val="fr-FR"/>
        </w:rPr>
        <w:t>’</w:t>
      </w:r>
      <w:r w:rsidRPr="0039277D">
        <w:rPr>
          <w:lang w:val="fr-FR"/>
        </w:rPr>
        <w:t>après-midi du 5 juillet 2016. Le rapport de la session commune figurait dans le rapport du Sous-Comité SGH sur les travaux de sa trente-septième session (voir le do</w:t>
      </w:r>
      <w:r w:rsidR="00642433">
        <w:rPr>
          <w:lang w:val="fr-FR"/>
        </w:rPr>
        <w:t>cument ST/SG/AC.10/C.4/62, par. </w:t>
      </w:r>
      <w:r w:rsidRPr="0039277D">
        <w:rPr>
          <w:lang w:val="fr-FR"/>
        </w:rPr>
        <w:t>8 et annexe II).</w:t>
      </w:r>
    </w:p>
    <w:p w:rsidR="00D80597" w:rsidRPr="0039277D" w:rsidRDefault="00D80597" w:rsidP="00DF467B">
      <w:pPr>
        <w:pStyle w:val="H1G"/>
        <w:rPr>
          <w:lang w:val="fr-FR"/>
        </w:rPr>
      </w:pPr>
      <w:r w:rsidRPr="0039277D">
        <w:rPr>
          <w:lang w:val="fr-FR"/>
        </w:rPr>
        <w:tab/>
        <w:t>A.</w:t>
      </w:r>
      <w:r w:rsidRPr="0039277D">
        <w:rPr>
          <w:lang w:val="fr-FR"/>
        </w:rPr>
        <w:tab/>
        <w:t>Critères relatifs à l</w:t>
      </w:r>
      <w:r w:rsidR="0039277D" w:rsidRPr="0039277D">
        <w:rPr>
          <w:lang w:val="fr-FR"/>
        </w:rPr>
        <w:t>’</w:t>
      </w:r>
      <w:r w:rsidRPr="0039277D">
        <w:rPr>
          <w:lang w:val="fr-FR"/>
        </w:rPr>
        <w:t>hydroréactivité</w:t>
      </w:r>
    </w:p>
    <w:p w:rsidR="00D80597" w:rsidRPr="0039277D" w:rsidRDefault="00D80597" w:rsidP="001F071F">
      <w:pPr>
        <w:pStyle w:val="ParNoG"/>
        <w:rPr>
          <w:lang w:val="fr-FR"/>
        </w:rPr>
      </w:pPr>
      <w:r w:rsidRPr="0039277D">
        <w:rPr>
          <w:lang w:val="fr-FR"/>
        </w:rPr>
        <w:t>Aucun document n</w:t>
      </w:r>
      <w:r w:rsidR="0039277D" w:rsidRPr="0039277D">
        <w:rPr>
          <w:lang w:val="fr-FR"/>
        </w:rPr>
        <w:t>’</w:t>
      </w:r>
      <w:r w:rsidRPr="0039277D">
        <w:rPr>
          <w:lang w:val="fr-FR"/>
        </w:rPr>
        <w:t>ayant été soumis au titre de ce point de l</w:t>
      </w:r>
      <w:r w:rsidR="0039277D" w:rsidRPr="0039277D">
        <w:rPr>
          <w:lang w:val="fr-FR"/>
        </w:rPr>
        <w:t>’</w:t>
      </w:r>
      <w:r w:rsidRPr="0039277D">
        <w:rPr>
          <w:lang w:val="fr-FR"/>
        </w:rPr>
        <w:t>ordre du jour, la question n</w:t>
      </w:r>
      <w:r w:rsidR="0039277D" w:rsidRPr="0039277D">
        <w:rPr>
          <w:lang w:val="fr-FR"/>
        </w:rPr>
        <w:t>’</w:t>
      </w:r>
      <w:r w:rsidRPr="0039277D">
        <w:rPr>
          <w:lang w:val="fr-FR"/>
        </w:rPr>
        <w:t xml:space="preserve">a pas été examinée. </w:t>
      </w:r>
    </w:p>
    <w:p w:rsidR="00D80597" w:rsidRPr="0039277D" w:rsidRDefault="00D80597" w:rsidP="00DF467B">
      <w:pPr>
        <w:pStyle w:val="H1G"/>
        <w:rPr>
          <w:lang w:val="fr-FR"/>
        </w:rPr>
      </w:pPr>
      <w:r w:rsidRPr="0039277D">
        <w:rPr>
          <w:lang w:val="fr-FR"/>
        </w:rPr>
        <w:tab/>
        <w:t>B.</w:t>
      </w:r>
      <w:r w:rsidRPr="0039277D">
        <w:rPr>
          <w:lang w:val="fr-FR"/>
        </w:rPr>
        <w:tab/>
        <w:t xml:space="preserve">Épreuves et critères relatifs aux matières liquides </w:t>
      </w:r>
      <w:r w:rsidR="00DF467B">
        <w:rPr>
          <w:lang w:val="fr-FR"/>
        </w:rPr>
        <w:br/>
      </w:r>
      <w:r w:rsidRPr="0039277D">
        <w:rPr>
          <w:lang w:val="fr-FR"/>
        </w:rPr>
        <w:t>et solides comburantes</w:t>
      </w:r>
    </w:p>
    <w:p w:rsidR="00D80597" w:rsidRPr="0039277D" w:rsidRDefault="000D7C82" w:rsidP="0066043C">
      <w:pPr>
        <w:keepNext/>
        <w:spacing w:after="120"/>
        <w:ind w:left="3119" w:hanging="1985"/>
        <w:rPr>
          <w:lang w:val="fr-FR"/>
        </w:rPr>
      </w:pPr>
      <w:r w:rsidRPr="0039277D">
        <w:rPr>
          <w:i/>
          <w:iCs/>
          <w:lang w:val="fr-FR"/>
        </w:rPr>
        <w:t>Document</w:t>
      </w:r>
      <w:r>
        <w:rPr>
          <w:lang w:val="fr-FR"/>
        </w:rPr>
        <w:t> :</w:t>
      </w:r>
      <w:r>
        <w:rPr>
          <w:lang w:val="fr-FR"/>
        </w:rPr>
        <w:tab/>
      </w:r>
      <w:r w:rsidRPr="0039277D">
        <w:rPr>
          <w:lang w:val="fr-FR"/>
        </w:rPr>
        <w:t>ST</w:t>
      </w:r>
      <w:r w:rsidR="00D80597" w:rsidRPr="0039277D">
        <w:rPr>
          <w:lang w:val="fr-FR"/>
        </w:rPr>
        <w:t>/SG/AC.10/C.3/2016/12 (France).</w:t>
      </w:r>
    </w:p>
    <w:p w:rsidR="00D80597" w:rsidRPr="0039277D" w:rsidRDefault="00D80597" w:rsidP="0066043C">
      <w:pPr>
        <w:keepNext/>
        <w:spacing w:after="120"/>
        <w:ind w:left="3119" w:hanging="1985"/>
        <w:rPr>
          <w:lang w:val="fr-FR"/>
        </w:rPr>
      </w:pPr>
      <w:r w:rsidRPr="0039277D">
        <w:rPr>
          <w:i/>
          <w:lang w:val="fr-FR"/>
        </w:rPr>
        <w:t>Document informel</w:t>
      </w:r>
      <w:r w:rsidR="0066043C">
        <w:rPr>
          <w:i/>
          <w:lang w:val="fr-FR"/>
        </w:rPr>
        <w:t> :</w:t>
      </w:r>
      <w:r w:rsidR="0066043C">
        <w:rPr>
          <w:i/>
          <w:lang w:val="fr-FR"/>
        </w:rPr>
        <w:tab/>
      </w:r>
      <w:r w:rsidRPr="0039277D">
        <w:rPr>
          <w:lang w:val="fr-FR"/>
        </w:rPr>
        <w:t>INF.47 (France).</w:t>
      </w:r>
    </w:p>
    <w:p w:rsidR="00D80597" w:rsidRPr="0039277D" w:rsidRDefault="00D80597" w:rsidP="001F071F">
      <w:pPr>
        <w:pStyle w:val="ParNoG"/>
        <w:rPr>
          <w:lang w:val="fr-FR"/>
        </w:rPr>
      </w:pPr>
      <w:r w:rsidRPr="0039277D">
        <w:rPr>
          <w:lang w:val="fr-FR"/>
        </w:rPr>
        <w:t>Ce point n</w:t>
      </w:r>
      <w:r w:rsidR="0039277D" w:rsidRPr="0039277D">
        <w:rPr>
          <w:lang w:val="fr-FR"/>
        </w:rPr>
        <w:t>’</w:t>
      </w:r>
      <w:r w:rsidRPr="0039277D">
        <w:rPr>
          <w:lang w:val="fr-FR"/>
        </w:rPr>
        <w:t>avait été examiné que lors de la session conjointe des sous-comités TMD et SGH (voir le document ST/SG/AC.10/C.4/62, annexe II, sect</w:t>
      </w:r>
      <w:r w:rsidR="000D7C82">
        <w:rPr>
          <w:lang w:val="fr-FR"/>
        </w:rPr>
        <w:t>. </w:t>
      </w:r>
      <w:r w:rsidRPr="0039277D">
        <w:rPr>
          <w:lang w:val="fr-FR"/>
        </w:rPr>
        <w:t>A, par.</w:t>
      </w:r>
      <w:r w:rsidR="000D7C82">
        <w:rPr>
          <w:lang w:val="fr-FR"/>
        </w:rPr>
        <w:t> </w:t>
      </w:r>
      <w:r w:rsidRPr="0039277D">
        <w:rPr>
          <w:lang w:val="fr-FR"/>
        </w:rPr>
        <w:t>2 et 3).</w:t>
      </w:r>
    </w:p>
    <w:p w:rsidR="00D80597" w:rsidRPr="0039277D" w:rsidRDefault="00D80597" w:rsidP="00DF467B">
      <w:pPr>
        <w:pStyle w:val="H1G"/>
        <w:rPr>
          <w:lang w:val="fr-FR"/>
        </w:rPr>
      </w:pPr>
      <w:r w:rsidRPr="0039277D">
        <w:rPr>
          <w:lang w:val="fr-FR"/>
        </w:rPr>
        <w:tab/>
        <w:t>C.</w:t>
      </w:r>
      <w:r w:rsidRPr="0039277D">
        <w:rPr>
          <w:lang w:val="fr-FR"/>
        </w:rPr>
        <w:tab/>
        <w:t>Critères de classification relatifs aux gaz inflammables</w:t>
      </w:r>
    </w:p>
    <w:p w:rsidR="00D80597" w:rsidRPr="0039277D" w:rsidRDefault="00D80597" w:rsidP="00642433">
      <w:pPr>
        <w:keepNext/>
        <w:spacing w:after="120"/>
        <w:ind w:left="3119" w:right="1134" w:hanging="1985"/>
        <w:rPr>
          <w:lang w:val="fr-FR"/>
        </w:rPr>
      </w:pPr>
      <w:r w:rsidRPr="0039277D">
        <w:rPr>
          <w:i/>
          <w:iCs/>
          <w:lang w:val="fr-FR"/>
        </w:rPr>
        <w:t>Documents</w:t>
      </w:r>
      <w:r w:rsidRPr="0039277D">
        <w:rPr>
          <w:lang w:val="fr-FR"/>
        </w:rPr>
        <w:t> :</w:t>
      </w:r>
      <w:r w:rsidRPr="0039277D">
        <w:rPr>
          <w:lang w:val="fr-FR"/>
        </w:rPr>
        <w:tab/>
        <w:t xml:space="preserve">ST/SG/AC.10/C.3/2016/17 (Belgique et Japon au nom </w:t>
      </w:r>
      <w:r w:rsidR="00642433">
        <w:rPr>
          <w:lang w:val="fr-FR"/>
        </w:rPr>
        <w:br/>
      </w:r>
      <w:r w:rsidRPr="0039277D">
        <w:rPr>
          <w:lang w:val="fr-FR"/>
        </w:rPr>
        <w:t xml:space="preserve">du groupe de travail informel des critères de classement </w:t>
      </w:r>
      <w:r w:rsidR="00642433">
        <w:rPr>
          <w:lang w:val="fr-FR"/>
        </w:rPr>
        <w:br/>
      </w:r>
      <w:r w:rsidRPr="0039277D">
        <w:rPr>
          <w:lang w:val="fr-FR"/>
        </w:rPr>
        <w:t xml:space="preserve">relatifs aux gaz inflammables) </w:t>
      </w:r>
      <w:r w:rsidRPr="0039277D">
        <w:rPr>
          <w:lang w:val="fr-FR"/>
        </w:rPr>
        <w:br/>
        <w:t>ST/SG/AC.10/C.3/2016/27 (Allemagne, CEFIC et EIGA).</w:t>
      </w:r>
    </w:p>
    <w:p w:rsidR="00D80597" w:rsidRPr="0039277D" w:rsidRDefault="00D80597" w:rsidP="0066043C">
      <w:pPr>
        <w:keepNext/>
        <w:spacing w:after="120"/>
        <w:ind w:left="3119" w:hanging="1985"/>
        <w:rPr>
          <w:lang w:val="fr-FR"/>
        </w:rPr>
      </w:pPr>
      <w:r w:rsidRPr="0039277D">
        <w:rPr>
          <w:i/>
          <w:iCs/>
          <w:lang w:val="fr-FR"/>
        </w:rPr>
        <w:t>Document informel</w:t>
      </w:r>
      <w:r w:rsidRPr="0039277D">
        <w:rPr>
          <w:lang w:val="fr-FR"/>
        </w:rPr>
        <w:t> :</w:t>
      </w:r>
      <w:r w:rsidRPr="0039277D">
        <w:rPr>
          <w:lang w:val="fr-FR"/>
        </w:rPr>
        <w:tab/>
        <w:t>INF.31 (Belgique et Japon).</w:t>
      </w:r>
    </w:p>
    <w:p w:rsidR="00D80597" w:rsidRPr="0039277D" w:rsidRDefault="00D80597" w:rsidP="001F071F">
      <w:pPr>
        <w:pStyle w:val="ParNoG"/>
        <w:rPr>
          <w:lang w:val="fr-FR"/>
        </w:rPr>
      </w:pPr>
      <w:r w:rsidRPr="0039277D">
        <w:rPr>
          <w:lang w:val="fr-FR"/>
        </w:rPr>
        <w:t>La majorité des experts ayant pris la parole n</w:t>
      </w:r>
      <w:r w:rsidR="0039277D" w:rsidRPr="0039277D">
        <w:rPr>
          <w:lang w:val="fr-FR"/>
        </w:rPr>
        <w:t>’</w:t>
      </w:r>
      <w:r w:rsidRPr="0039277D">
        <w:rPr>
          <w:lang w:val="fr-FR"/>
        </w:rPr>
        <w:t>ont pas appuyé les amendements au Règlement type proposés à l</w:t>
      </w:r>
      <w:r w:rsidR="0039277D" w:rsidRPr="0039277D">
        <w:rPr>
          <w:lang w:val="fr-FR"/>
        </w:rPr>
        <w:t>’</w:t>
      </w:r>
      <w:r w:rsidRPr="0039277D">
        <w:rPr>
          <w:lang w:val="fr-FR"/>
        </w:rPr>
        <w:t>annexe 5 du document ST/SG/AC.10/C.3/2016/27. Étant donné que l</w:t>
      </w:r>
      <w:r w:rsidR="0039277D" w:rsidRPr="0039277D">
        <w:rPr>
          <w:lang w:val="fr-FR"/>
        </w:rPr>
        <w:t>’</w:t>
      </w:r>
      <w:r w:rsidRPr="0039277D">
        <w:rPr>
          <w:lang w:val="fr-FR"/>
        </w:rPr>
        <w:t>approche adoptée dans ce document était différente de celle recommandée par le groupe de travail informel, le Sous-Comité a estimé qu</w:t>
      </w:r>
      <w:r w:rsidR="0039277D" w:rsidRPr="0039277D">
        <w:rPr>
          <w:lang w:val="fr-FR"/>
        </w:rPr>
        <w:t>’</w:t>
      </w:r>
      <w:r w:rsidRPr="0039277D">
        <w:rPr>
          <w:lang w:val="fr-FR"/>
        </w:rPr>
        <w:t>il fallait procéder en deux étapes. Il s</w:t>
      </w:r>
      <w:r w:rsidR="0039277D" w:rsidRPr="0039277D">
        <w:rPr>
          <w:lang w:val="fr-FR"/>
        </w:rPr>
        <w:t>’</w:t>
      </w:r>
      <w:r w:rsidRPr="0039277D">
        <w:rPr>
          <w:lang w:val="fr-FR"/>
        </w:rPr>
        <w:t>agirait dans un premier temps de mettre en œuvre l</w:t>
      </w:r>
      <w:r w:rsidR="0039277D" w:rsidRPr="0039277D">
        <w:rPr>
          <w:lang w:val="fr-FR"/>
        </w:rPr>
        <w:t>’</w:t>
      </w:r>
      <w:r w:rsidRPr="0039277D">
        <w:rPr>
          <w:lang w:val="fr-FR"/>
        </w:rPr>
        <w:t>approche recommandée par le groupe de travail, si elle était approuvée par le Sous-Comité SGH, puis de déterminer si l</w:t>
      </w:r>
      <w:r w:rsidR="0039277D" w:rsidRPr="0039277D">
        <w:rPr>
          <w:lang w:val="fr-FR"/>
        </w:rPr>
        <w:t>’</w:t>
      </w:r>
      <w:r w:rsidRPr="0039277D">
        <w:rPr>
          <w:lang w:val="fr-FR"/>
        </w:rPr>
        <w:t>approche proposée par l</w:t>
      </w:r>
      <w:r w:rsidR="0039277D" w:rsidRPr="0039277D">
        <w:rPr>
          <w:lang w:val="fr-FR"/>
        </w:rPr>
        <w:t>’</w:t>
      </w:r>
      <w:r w:rsidRPr="0039277D">
        <w:rPr>
          <w:lang w:val="fr-FR"/>
        </w:rPr>
        <w:t>Allemagne, le CEFIC et l</w:t>
      </w:r>
      <w:r w:rsidR="0039277D" w:rsidRPr="0039277D">
        <w:rPr>
          <w:lang w:val="fr-FR"/>
        </w:rPr>
        <w:t>’</w:t>
      </w:r>
      <w:r w:rsidRPr="0039277D">
        <w:rPr>
          <w:lang w:val="fr-FR"/>
        </w:rPr>
        <w:t>EIGA pouvait être mise en œuvre dans le secteur des transports de manière compatible avec le SGH.</w:t>
      </w:r>
    </w:p>
    <w:p w:rsidR="00D80597" w:rsidRPr="0039277D" w:rsidRDefault="00D80597" w:rsidP="001F071F">
      <w:pPr>
        <w:pStyle w:val="ParNoG"/>
        <w:rPr>
          <w:lang w:val="fr-FR"/>
        </w:rPr>
      </w:pPr>
      <w:r w:rsidRPr="0039277D">
        <w:rPr>
          <w:lang w:val="fr-FR"/>
        </w:rPr>
        <w:t>Le Sous-Comité a appuyé la création d</w:t>
      </w:r>
      <w:r w:rsidR="0039277D" w:rsidRPr="0039277D">
        <w:rPr>
          <w:lang w:val="fr-FR"/>
        </w:rPr>
        <w:t>’</w:t>
      </w:r>
      <w:r w:rsidRPr="0039277D">
        <w:rPr>
          <w:lang w:val="fr-FR"/>
        </w:rPr>
        <w:t>une nouvelle sous-catégorie pour les gaz à faible inflammabilité et de critères de faible limite d</w:t>
      </w:r>
      <w:r w:rsidR="0039277D" w:rsidRPr="0039277D">
        <w:rPr>
          <w:lang w:val="fr-FR"/>
        </w:rPr>
        <w:t>’</w:t>
      </w:r>
      <w:r w:rsidRPr="0039277D">
        <w:rPr>
          <w:lang w:val="fr-FR"/>
        </w:rPr>
        <w:t>inflammabilité supérieure à 6</w:t>
      </w:r>
      <w:r w:rsidR="00CF3B8F">
        <w:rPr>
          <w:lang w:val="fr-FR"/>
        </w:rPr>
        <w:t> </w:t>
      </w:r>
      <w:r w:rsidRPr="0039277D">
        <w:rPr>
          <w:lang w:val="fr-FR"/>
        </w:rPr>
        <w:t>% ou de limite de vitesse de combustion fondamentale inférieure à 10 cm/s, afin de différencier la nouvelle sous-catégorie au sein de l</w:t>
      </w:r>
      <w:r w:rsidR="0039277D" w:rsidRPr="0039277D">
        <w:rPr>
          <w:lang w:val="fr-FR"/>
        </w:rPr>
        <w:t>’</w:t>
      </w:r>
      <w:r w:rsidRPr="0039277D">
        <w:rPr>
          <w:lang w:val="fr-FR"/>
        </w:rPr>
        <w:t>actuelle catégorie 1. Il a été noté que le débat sur la communication des dangers devait être poursuivi au sein du Sous-Comité du SGH.</w:t>
      </w:r>
    </w:p>
    <w:p w:rsidR="00D80597" w:rsidRPr="0039277D" w:rsidRDefault="00D80597" w:rsidP="001F071F">
      <w:pPr>
        <w:pStyle w:val="ParNoG"/>
        <w:rPr>
          <w:lang w:val="fr-FR"/>
        </w:rPr>
      </w:pPr>
      <w:r w:rsidRPr="0039277D">
        <w:rPr>
          <w:lang w:val="fr-FR"/>
        </w:rPr>
        <w:t>Cette question a été examinée plus avant lors de la session conjointe des sous-comités TMD et SGH (voir le document ST/SG/AC.10/C.4/62, annexe II, sect</w:t>
      </w:r>
      <w:r w:rsidR="000D7C82">
        <w:rPr>
          <w:lang w:val="fr-FR"/>
        </w:rPr>
        <w:t>.</w:t>
      </w:r>
      <w:r w:rsidRPr="0039277D">
        <w:rPr>
          <w:lang w:val="fr-FR"/>
        </w:rPr>
        <w:t> B, par. 4 à 7).</w:t>
      </w:r>
    </w:p>
    <w:p w:rsidR="00D80597" w:rsidRPr="0039277D" w:rsidRDefault="00D80597" w:rsidP="00DF467B">
      <w:pPr>
        <w:pStyle w:val="H1G"/>
        <w:rPr>
          <w:lang w:val="fr-FR"/>
        </w:rPr>
      </w:pPr>
      <w:r w:rsidRPr="0039277D">
        <w:rPr>
          <w:lang w:val="fr-FR"/>
        </w:rPr>
        <w:tab/>
        <w:t>D.</w:t>
      </w:r>
      <w:r w:rsidRPr="0039277D">
        <w:rPr>
          <w:lang w:val="fr-FR"/>
        </w:rPr>
        <w:tab/>
        <w:t>Jugement d</w:t>
      </w:r>
      <w:r w:rsidR="0039277D" w:rsidRPr="0039277D">
        <w:rPr>
          <w:lang w:val="fr-FR"/>
        </w:rPr>
        <w:t>’</w:t>
      </w:r>
      <w:r w:rsidRPr="0039277D">
        <w:rPr>
          <w:lang w:val="fr-FR"/>
        </w:rPr>
        <w:t>experts et force probante des données</w:t>
      </w:r>
    </w:p>
    <w:p w:rsidR="00D80597" w:rsidRPr="0039277D" w:rsidRDefault="00D80597" w:rsidP="001F071F">
      <w:pPr>
        <w:pStyle w:val="ParNoG"/>
        <w:rPr>
          <w:lang w:val="fr-FR"/>
        </w:rPr>
      </w:pPr>
      <w:r w:rsidRPr="0039277D">
        <w:rPr>
          <w:lang w:val="fr-FR"/>
        </w:rPr>
        <w:t>Aucun document n</w:t>
      </w:r>
      <w:r w:rsidR="0039277D" w:rsidRPr="0039277D">
        <w:rPr>
          <w:lang w:val="fr-FR"/>
        </w:rPr>
        <w:t>’</w:t>
      </w:r>
      <w:r w:rsidRPr="0039277D">
        <w:rPr>
          <w:lang w:val="fr-FR"/>
        </w:rPr>
        <w:t>ayant été soumis au titre de ce point de l</w:t>
      </w:r>
      <w:r w:rsidR="0039277D" w:rsidRPr="0039277D">
        <w:rPr>
          <w:lang w:val="fr-FR"/>
        </w:rPr>
        <w:t>’</w:t>
      </w:r>
      <w:r w:rsidRPr="0039277D">
        <w:rPr>
          <w:lang w:val="fr-FR"/>
        </w:rPr>
        <w:t>ordre du jour, la question n</w:t>
      </w:r>
      <w:r w:rsidR="0039277D" w:rsidRPr="0039277D">
        <w:rPr>
          <w:lang w:val="fr-FR"/>
        </w:rPr>
        <w:t>’</w:t>
      </w:r>
      <w:r w:rsidRPr="0039277D">
        <w:rPr>
          <w:lang w:val="fr-FR"/>
        </w:rPr>
        <w:t>a pas été examinée.</w:t>
      </w:r>
    </w:p>
    <w:p w:rsidR="00D80597" w:rsidRPr="0039277D" w:rsidRDefault="00D80597" w:rsidP="00DF467B">
      <w:pPr>
        <w:pStyle w:val="H1G"/>
        <w:rPr>
          <w:lang w:val="fr-FR"/>
        </w:rPr>
      </w:pPr>
      <w:r w:rsidRPr="0039277D">
        <w:rPr>
          <w:lang w:val="fr-FR"/>
        </w:rPr>
        <w:tab/>
        <w:t>E.</w:t>
      </w:r>
      <w:r w:rsidRPr="0039277D">
        <w:rPr>
          <w:lang w:val="fr-FR"/>
        </w:rPr>
        <w:tab/>
        <w:t>Critères relatifs à la corrosivité</w:t>
      </w:r>
    </w:p>
    <w:p w:rsidR="00D80597" w:rsidRPr="0039277D" w:rsidRDefault="00D80597" w:rsidP="001F071F">
      <w:pPr>
        <w:pStyle w:val="ParNoG"/>
        <w:rPr>
          <w:lang w:val="fr-FR"/>
        </w:rPr>
      </w:pPr>
      <w:r w:rsidRPr="0039277D">
        <w:rPr>
          <w:lang w:val="fr-FR"/>
        </w:rPr>
        <w:t>Aucun document n</w:t>
      </w:r>
      <w:r w:rsidR="0039277D" w:rsidRPr="0039277D">
        <w:rPr>
          <w:lang w:val="fr-FR"/>
        </w:rPr>
        <w:t>’</w:t>
      </w:r>
      <w:r w:rsidRPr="0039277D">
        <w:rPr>
          <w:lang w:val="fr-FR"/>
        </w:rPr>
        <w:t>avait été soumis au titre de ce point de l</w:t>
      </w:r>
      <w:r w:rsidR="0039277D" w:rsidRPr="0039277D">
        <w:rPr>
          <w:lang w:val="fr-FR"/>
        </w:rPr>
        <w:t>’</w:t>
      </w:r>
      <w:r w:rsidRPr="0039277D">
        <w:rPr>
          <w:lang w:val="fr-FR"/>
        </w:rPr>
        <w:t>ordre du jour. La question de la révision du chapitre 2.8 du Règlement type a été examinée au titre du point</w:t>
      </w:r>
      <w:r w:rsidR="00642433">
        <w:rPr>
          <w:lang w:val="fr-FR"/>
        </w:rPr>
        <w:t> </w:t>
      </w:r>
      <w:r w:rsidRPr="0039277D">
        <w:rPr>
          <w:lang w:val="fr-FR"/>
        </w:rPr>
        <w:t>3 de l</w:t>
      </w:r>
      <w:r w:rsidR="0039277D" w:rsidRPr="0039277D">
        <w:rPr>
          <w:lang w:val="fr-FR"/>
        </w:rPr>
        <w:t>’</w:t>
      </w:r>
      <w:r w:rsidRPr="0039277D">
        <w:rPr>
          <w:lang w:val="fr-FR"/>
        </w:rPr>
        <w:t>ordre du jour (voir les paragraphes 46 à 48 du présent rapport).</w:t>
      </w:r>
    </w:p>
    <w:p w:rsidR="00D80597" w:rsidRPr="0039277D" w:rsidRDefault="00D80597" w:rsidP="00DF467B">
      <w:pPr>
        <w:pStyle w:val="H1G"/>
        <w:rPr>
          <w:lang w:val="fr-FR"/>
        </w:rPr>
      </w:pPr>
      <w:r w:rsidRPr="0039277D">
        <w:rPr>
          <w:lang w:val="fr-FR"/>
        </w:rPr>
        <w:tab/>
        <w:t>F.</w:t>
      </w:r>
      <w:r w:rsidRPr="0039277D">
        <w:rPr>
          <w:lang w:val="fr-FR"/>
        </w:rPr>
        <w:tab/>
        <w:t>Actualisation des références aux directives de l</w:t>
      </w:r>
      <w:r w:rsidR="0039277D" w:rsidRPr="0039277D">
        <w:rPr>
          <w:lang w:val="fr-FR"/>
        </w:rPr>
        <w:t>’</w:t>
      </w:r>
      <w:r w:rsidRPr="0039277D">
        <w:rPr>
          <w:lang w:val="fr-FR"/>
        </w:rPr>
        <w:t>OCDE</w:t>
      </w:r>
    </w:p>
    <w:p w:rsidR="00D80597" w:rsidRPr="0039277D" w:rsidRDefault="00D80597" w:rsidP="001F071F">
      <w:pPr>
        <w:pStyle w:val="ParNoG"/>
        <w:rPr>
          <w:lang w:val="fr-FR"/>
        </w:rPr>
      </w:pPr>
      <w:r w:rsidRPr="0039277D">
        <w:rPr>
          <w:lang w:val="fr-FR"/>
        </w:rPr>
        <w:t>Aucun document n</w:t>
      </w:r>
      <w:r w:rsidR="0039277D" w:rsidRPr="0039277D">
        <w:rPr>
          <w:lang w:val="fr-FR"/>
        </w:rPr>
        <w:t>’</w:t>
      </w:r>
      <w:r w:rsidRPr="0039277D">
        <w:rPr>
          <w:lang w:val="fr-FR"/>
        </w:rPr>
        <w:t>ayant été soumis au titre de ce point de l</w:t>
      </w:r>
      <w:r w:rsidR="0039277D" w:rsidRPr="0039277D">
        <w:rPr>
          <w:lang w:val="fr-FR"/>
        </w:rPr>
        <w:t>’</w:t>
      </w:r>
      <w:r w:rsidRPr="0039277D">
        <w:rPr>
          <w:lang w:val="fr-FR"/>
        </w:rPr>
        <w:t>ordre du jour, la question n</w:t>
      </w:r>
      <w:r w:rsidR="0039277D" w:rsidRPr="0039277D">
        <w:rPr>
          <w:lang w:val="fr-FR"/>
        </w:rPr>
        <w:t>’</w:t>
      </w:r>
      <w:r w:rsidRPr="0039277D">
        <w:rPr>
          <w:lang w:val="fr-FR"/>
        </w:rPr>
        <w:t>a pas été examinée.</w:t>
      </w:r>
    </w:p>
    <w:p w:rsidR="00D80597" w:rsidRPr="0039277D" w:rsidRDefault="00D80597" w:rsidP="00DF467B">
      <w:pPr>
        <w:pStyle w:val="H1G"/>
        <w:rPr>
          <w:lang w:val="fr-FR"/>
        </w:rPr>
      </w:pPr>
      <w:r w:rsidRPr="0039277D">
        <w:rPr>
          <w:lang w:val="fr-FR"/>
        </w:rPr>
        <w:tab/>
        <w:t>G.</w:t>
      </w:r>
      <w:r w:rsidRPr="0039277D">
        <w:rPr>
          <w:lang w:val="fr-FR"/>
        </w:rPr>
        <w:tab/>
        <w:t>Utilisation du Manuel d</w:t>
      </w:r>
      <w:r w:rsidR="0039277D" w:rsidRPr="0039277D">
        <w:rPr>
          <w:lang w:val="fr-FR"/>
        </w:rPr>
        <w:t>’</w:t>
      </w:r>
      <w:r w:rsidRPr="0039277D">
        <w:rPr>
          <w:lang w:val="fr-FR"/>
        </w:rPr>
        <w:t>épreuves et de critères dans le cadre du SGH</w:t>
      </w:r>
    </w:p>
    <w:p w:rsidR="00D80597" w:rsidRPr="0039277D" w:rsidRDefault="00D80597" w:rsidP="0066043C">
      <w:pPr>
        <w:keepNext/>
        <w:spacing w:after="120"/>
        <w:ind w:left="3119" w:hanging="1985"/>
        <w:rPr>
          <w:iCs/>
          <w:lang w:val="fr-FR"/>
        </w:rPr>
      </w:pPr>
      <w:r w:rsidRPr="0039277D">
        <w:rPr>
          <w:i/>
          <w:lang w:val="fr-FR"/>
        </w:rPr>
        <w:t>Documents informels</w:t>
      </w:r>
      <w:r w:rsidRPr="0039277D">
        <w:rPr>
          <w:lang w:val="fr-FR"/>
        </w:rPr>
        <w:t> :</w:t>
      </w:r>
      <w:r w:rsidRPr="0039277D">
        <w:rPr>
          <w:lang w:val="fr-FR"/>
        </w:rPr>
        <w:tab/>
        <w:t>INF.4 et Add.1</w:t>
      </w:r>
      <w:r w:rsidR="00CF3B8F">
        <w:rPr>
          <w:lang w:val="fr-FR"/>
        </w:rPr>
        <w:t xml:space="preserve"> à </w:t>
      </w:r>
      <w:r w:rsidRPr="0039277D">
        <w:rPr>
          <w:lang w:val="fr-FR"/>
        </w:rPr>
        <w:t>5 (</w:t>
      </w:r>
      <w:r w:rsidR="000D7C82">
        <w:rPr>
          <w:lang w:val="fr-FR"/>
        </w:rPr>
        <w:t xml:space="preserve">Président du Groupe de travail </w:t>
      </w:r>
      <w:r w:rsidRPr="0039277D">
        <w:rPr>
          <w:lang w:val="fr-FR"/>
        </w:rPr>
        <w:t>des explosifs)</w:t>
      </w:r>
      <w:r w:rsidRPr="0039277D">
        <w:rPr>
          <w:iCs/>
          <w:lang w:val="fr-FR"/>
        </w:rPr>
        <w:t xml:space="preserve"> </w:t>
      </w:r>
      <w:bookmarkStart w:id="1" w:name="inf46"/>
      <w:bookmarkStart w:id="2" w:name="inf47"/>
      <w:bookmarkEnd w:id="1"/>
      <w:bookmarkEnd w:id="2"/>
      <w:r w:rsidRPr="0039277D">
        <w:rPr>
          <w:iCs/>
          <w:lang w:val="fr-FR"/>
        </w:rPr>
        <w:br/>
        <w:t>INF.6 (Canada et FEA).</w:t>
      </w:r>
    </w:p>
    <w:p w:rsidR="00D80597" w:rsidRPr="0039277D" w:rsidRDefault="00D80597" w:rsidP="001F071F">
      <w:pPr>
        <w:pStyle w:val="ParNoG"/>
        <w:rPr>
          <w:lang w:val="fr-FR"/>
        </w:rPr>
      </w:pPr>
      <w:r w:rsidRPr="0039277D">
        <w:rPr>
          <w:lang w:val="fr-FR"/>
        </w:rPr>
        <w:t>Les documents susvisés avaient été renvoyés au Groupe de travail des explosifs pour examen (voir aussi le paragraphe 9 du présent rapport). Le Sous-Comité a pris note des résultats énoncés dans le rapport du Groupe de travail (document informel INF.66), comme suit :</w:t>
      </w:r>
    </w:p>
    <w:p w:rsidR="00D80597" w:rsidRPr="0039277D" w:rsidRDefault="00D80597" w:rsidP="000D7C82">
      <w:pPr>
        <w:pStyle w:val="SingleTxtG"/>
        <w:ind w:firstLine="567"/>
        <w:rPr>
          <w:u w:val="single"/>
          <w:lang w:val="fr-FR"/>
        </w:rPr>
      </w:pPr>
      <w:r w:rsidRPr="0039277D">
        <w:rPr>
          <w:lang w:val="fr-FR"/>
        </w:rPr>
        <w:t>a)</w:t>
      </w:r>
      <w:r w:rsidRPr="0039277D">
        <w:rPr>
          <w:lang w:val="fr-FR"/>
        </w:rPr>
        <w:tab/>
        <w:t>Le Groupe de travail avait passé beaucoup de temps à examiner le document informel INF.4 et la section 10 de son Add.1, et avait noté que plusieurs des modifications d</w:t>
      </w:r>
      <w:r w:rsidR="0039277D" w:rsidRPr="0039277D">
        <w:rPr>
          <w:lang w:val="fr-FR"/>
        </w:rPr>
        <w:t>’</w:t>
      </w:r>
      <w:r w:rsidRPr="0039277D">
        <w:rPr>
          <w:lang w:val="fr-FR"/>
        </w:rPr>
        <w:t xml:space="preserve">ordre général avaient conduit à une certaine confusion. Le Groupe avait recensé des solutions et son </w:t>
      </w:r>
      <w:r w:rsidR="00CF3B8F" w:rsidRPr="0039277D">
        <w:rPr>
          <w:lang w:val="fr-FR"/>
        </w:rPr>
        <w:t>p</w:t>
      </w:r>
      <w:r w:rsidRPr="0039277D">
        <w:rPr>
          <w:lang w:val="fr-FR"/>
        </w:rPr>
        <w:t>résident ferait de nouvelles propositions ;</w:t>
      </w:r>
    </w:p>
    <w:p w:rsidR="00D80597" w:rsidRPr="0039277D" w:rsidRDefault="00D80597" w:rsidP="000D7C82">
      <w:pPr>
        <w:pStyle w:val="SingleTxtG"/>
        <w:ind w:firstLine="567"/>
        <w:rPr>
          <w:lang w:val="fr-FR"/>
        </w:rPr>
      </w:pPr>
      <w:r w:rsidRPr="0039277D">
        <w:rPr>
          <w:lang w:val="fr-FR"/>
        </w:rPr>
        <w:t>b)</w:t>
      </w:r>
      <w:r w:rsidRPr="0039277D">
        <w:rPr>
          <w:lang w:val="fr-FR"/>
        </w:rPr>
        <w:tab/>
        <w:t>Il avait été décidé d</w:t>
      </w:r>
      <w:r w:rsidR="0039277D" w:rsidRPr="0039277D">
        <w:rPr>
          <w:lang w:val="fr-FR"/>
        </w:rPr>
        <w:t>’</w:t>
      </w:r>
      <w:r w:rsidRPr="0039277D">
        <w:rPr>
          <w:lang w:val="fr-FR"/>
        </w:rPr>
        <w:t>ajouter dans la première partie du Manuel un texte visant à préciser que la configuration d</w:t>
      </w:r>
      <w:r w:rsidR="0039277D" w:rsidRPr="0039277D">
        <w:rPr>
          <w:lang w:val="fr-FR"/>
        </w:rPr>
        <w:t>’</w:t>
      </w:r>
      <w:r w:rsidRPr="0039277D">
        <w:rPr>
          <w:lang w:val="fr-FR"/>
        </w:rPr>
        <w:t>épreuve était le plus souvent le colis de transport et qu</w:t>
      </w:r>
      <w:r w:rsidR="0039277D" w:rsidRPr="0039277D">
        <w:rPr>
          <w:lang w:val="fr-FR"/>
        </w:rPr>
        <w:t>’</w:t>
      </w:r>
      <w:r w:rsidRPr="0039277D">
        <w:rPr>
          <w:lang w:val="fr-FR"/>
        </w:rPr>
        <w:t>aucune épreuve supplémentaire n</w:t>
      </w:r>
      <w:r w:rsidR="0039277D" w:rsidRPr="0039277D">
        <w:rPr>
          <w:lang w:val="fr-FR"/>
        </w:rPr>
        <w:t>’</w:t>
      </w:r>
      <w:r w:rsidRPr="0039277D">
        <w:rPr>
          <w:lang w:val="fr-FR"/>
        </w:rPr>
        <w:t>était requise pour les autres secteurs ; et</w:t>
      </w:r>
    </w:p>
    <w:p w:rsidR="00D80597" w:rsidRPr="0039277D" w:rsidRDefault="00D80597" w:rsidP="000D7C82">
      <w:pPr>
        <w:pStyle w:val="SingleTxtG"/>
        <w:ind w:firstLine="567"/>
        <w:rPr>
          <w:lang w:val="fr-FR"/>
        </w:rPr>
      </w:pPr>
      <w:r w:rsidRPr="0039277D">
        <w:rPr>
          <w:lang w:val="fr-FR"/>
        </w:rPr>
        <w:t>c)</w:t>
      </w:r>
      <w:r w:rsidRPr="0039277D">
        <w:rPr>
          <w:lang w:val="fr-FR"/>
        </w:rPr>
        <w:tab/>
        <w:t>Les travaux se poursuivraient pendant la période intersessions, y compris la poursuite de l</w:t>
      </w:r>
      <w:r w:rsidR="0039277D" w:rsidRPr="0039277D">
        <w:rPr>
          <w:lang w:val="fr-FR"/>
        </w:rPr>
        <w:t>’</w:t>
      </w:r>
      <w:r w:rsidRPr="0039277D">
        <w:rPr>
          <w:lang w:val="fr-FR"/>
        </w:rPr>
        <w:t>examen du reste du document informel INF.4/Add.1 et des documents INF.4/Add.2 à 5 ainsi que l</w:t>
      </w:r>
      <w:r w:rsidR="0039277D" w:rsidRPr="0039277D">
        <w:rPr>
          <w:lang w:val="fr-FR"/>
        </w:rPr>
        <w:t>’</w:t>
      </w:r>
      <w:r w:rsidRPr="0039277D">
        <w:rPr>
          <w:lang w:val="fr-FR"/>
        </w:rPr>
        <w:t>élaboration d</w:t>
      </w:r>
      <w:r w:rsidR="0039277D" w:rsidRPr="0039277D">
        <w:rPr>
          <w:lang w:val="fr-FR"/>
        </w:rPr>
        <w:t>’</w:t>
      </w:r>
      <w:r w:rsidRPr="0039277D">
        <w:rPr>
          <w:lang w:val="fr-FR"/>
        </w:rPr>
        <w:t>un chapitre visant à décrire en termes généraux comment utiliser le Manuel dans le cadre des activités du SGH et à expliquer l</w:t>
      </w:r>
      <w:r w:rsidR="0039277D" w:rsidRPr="0039277D">
        <w:rPr>
          <w:lang w:val="fr-FR"/>
        </w:rPr>
        <w:t>’</w:t>
      </w:r>
      <w:r w:rsidRPr="0039277D">
        <w:rPr>
          <w:lang w:val="fr-FR"/>
        </w:rPr>
        <w:t>importance des emballages pour certaines classes de matières explosives.</w:t>
      </w:r>
    </w:p>
    <w:p w:rsidR="00D80597" w:rsidRPr="0039277D" w:rsidRDefault="00D80597" w:rsidP="00DF467B">
      <w:pPr>
        <w:pStyle w:val="H1G"/>
        <w:rPr>
          <w:lang w:val="fr-FR"/>
        </w:rPr>
      </w:pPr>
      <w:r w:rsidRPr="0039277D">
        <w:rPr>
          <w:lang w:val="fr-FR"/>
        </w:rPr>
        <w:tab/>
        <w:t>H.</w:t>
      </w:r>
      <w:r w:rsidRPr="0039277D">
        <w:rPr>
          <w:lang w:val="fr-FR"/>
        </w:rPr>
        <w:tab/>
        <w:t>Travaux à mener conjointement avec le Sous-Comité SGH</w:t>
      </w:r>
    </w:p>
    <w:p w:rsidR="00D80597" w:rsidRPr="0039277D" w:rsidRDefault="00D80597" w:rsidP="00DF467B">
      <w:pPr>
        <w:pStyle w:val="H23G"/>
        <w:rPr>
          <w:lang w:val="fr-FR"/>
        </w:rPr>
      </w:pPr>
      <w:r w:rsidRPr="0039277D">
        <w:rPr>
          <w:lang w:val="fr-FR"/>
        </w:rPr>
        <w:tab/>
        <w:t>1.</w:t>
      </w:r>
      <w:r w:rsidRPr="0039277D">
        <w:rPr>
          <w:lang w:val="fr-FR"/>
        </w:rPr>
        <w:tab/>
        <w:t>Examen du chapitre 2.1 du SGH</w:t>
      </w:r>
    </w:p>
    <w:p w:rsidR="00D80597" w:rsidRPr="0039277D" w:rsidRDefault="00D80597" w:rsidP="001F071F">
      <w:pPr>
        <w:pStyle w:val="ParNoG"/>
        <w:rPr>
          <w:lang w:val="fr-FR"/>
        </w:rPr>
      </w:pPr>
      <w:r w:rsidRPr="0039277D">
        <w:rPr>
          <w:lang w:val="fr-FR"/>
        </w:rPr>
        <w:t>Cette question avait été examinée au titre du point 2 de l</w:t>
      </w:r>
      <w:r w:rsidR="0039277D" w:rsidRPr="0039277D">
        <w:rPr>
          <w:lang w:val="fr-FR"/>
        </w:rPr>
        <w:t>’</w:t>
      </w:r>
      <w:r w:rsidRPr="0039277D">
        <w:rPr>
          <w:lang w:val="fr-FR"/>
        </w:rPr>
        <w:t>ordre du jour (voir le paragraphe 22 du présent rapport). Elle avait également été examinée lors de la session commune des sous-comités TMD et SGH (voir le document ST/S</w:t>
      </w:r>
      <w:r w:rsidR="00F76B8F">
        <w:rPr>
          <w:lang w:val="fr-FR"/>
        </w:rPr>
        <w:t>G/AC.10/C.4/62, annexe II, par. </w:t>
      </w:r>
      <w:r w:rsidRPr="0039277D">
        <w:rPr>
          <w:lang w:val="fr-FR"/>
        </w:rPr>
        <w:t>8 et 9).</w:t>
      </w:r>
    </w:p>
    <w:p w:rsidR="00D80597" w:rsidRPr="0039277D" w:rsidRDefault="00D80597" w:rsidP="00DF467B">
      <w:pPr>
        <w:pStyle w:val="H23G"/>
        <w:rPr>
          <w:lang w:val="fr-FR"/>
        </w:rPr>
      </w:pPr>
      <w:r w:rsidRPr="0039277D">
        <w:rPr>
          <w:lang w:val="fr-FR"/>
        </w:rPr>
        <w:tab/>
        <w:t>2.</w:t>
      </w:r>
      <w:r w:rsidRPr="0039277D">
        <w:rPr>
          <w:lang w:val="fr-FR"/>
        </w:rPr>
        <w:tab/>
        <w:t xml:space="preserve">Changements apportés à la sous-section 14.7 des directives du SGH </w:t>
      </w:r>
      <w:r w:rsidRPr="0039277D">
        <w:rPr>
          <w:lang w:val="fr-FR"/>
        </w:rPr>
        <w:br/>
        <w:t>pour la compilation d</w:t>
      </w:r>
      <w:r w:rsidR="0039277D" w:rsidRPr="0039277D">
        <w:rPr>
          <w:lang w:val="fr-FR"/>
        </w:rPr>
        <w:t>’</w:t>
      </w:r>
      <w:r w:rsidRPr="0039277D">
        <w:rPr>
          <w:lang w:val="fr-FR"/>
        </w:rPr>
        <w:t>une fiche de données de sécurité</w:t>
      </w:r>
    </w:p>
    <w:p w:rsidR="00D80597" w:rsidRPr="0039277D" w:rsidRDefault="00D80597" w:rsidP="0066043C">
      <w:pPr>
        <w:keepNext/>
        <w:spacing w:after="120"/>
        <w:ind w:left="3119" w:hanging="1985"/>
        <w:rPr>
          <w:lang w:val="fr-FR"/>
        </w:rPr>
      </w:pPr>
      <w:r w:rsidRPr="0039277D">
        <w:rPr>
          <w:i/>
          <w:lang w:val="fr-FR"/>
        </w:rPr>
        <w:t>Document informel</w:t>
      </w:r>
      <w:r w:rsidR="0066043C">
        <w:rPr>
          <w:i/>
          <w:lang w:val="fr-FR"/>
        </w:rPr>
        <w:t> </w:t>
      </w:r>
      <w:r w:rsidR="0066043C" w:rsidRPr="00F76B8F">
        <w:rPr>
          <w:lang w:val="fr-FR"/>
        </w:rPr>
        <w:t>:</w:t>
      </w:r>
      <w:r w:rsidR="0066043C">
        <w:rPr>
          <w:i/>
          <w:lang w:val="fr-FR"/>
        </w:rPr>
        <w:tab/>
      </w:r>
      <w:r w:rsidRPr="0039277D">
        <w:rPr>
          <w:lang w:val="fr-FR"/>
        </w:rPr>
        <w:t>INF.28 (ICMM).</w:t>
      </w:r>
    </w:p>
    <w:p w:rsidR="00D80597" w:rsidRPr="0039277D" w:rsidRDefault="00D80597" w:rsidP="001F071F">
      <w:pPr>
        <w:pStyle w:val="ParNoG"/>
        <w:rPr>
          <w:lang w:val="fr-FR"/>
        </w:rPr>
      </w:pPr>
      <w:r w:rsidRPr="0039277D">
        <w:rPr>
          <w:lang w:val="fr-FR"/>
        </w:rPr>
        <w:t>Cette question avait été examinée lors de la session commune des sous-comités TMD et SGH (voir le document ST/SG/AC.10/C.4/62, sect</w:t>
      </w:r>
      <w:r w:rsidR="00F76B8F">
        <w:rPr>
          <w:lang w:val="fr-FR"/>
        </w:rPr>
        <w:t>. </w:t>
      </w:r>
      <w:r w:rsidRPr="0039277D">
        <w:rPr>
          <w:lang w:val="fr-FR"/>
        </w:rPr>
        <w:t>E, par. 11).</w:t>
      </w:r>
    </w:p>
    <w:p w:rsidR="00D80597" w:rsidRPr="0039277D" w:rsidRDefault="00D80597" w:rsidP="00DF467B">
      <w:pPr>
        <w:pStyle w:val="H1G"/>
        <w:rPr>
          <w:lang w:val="fr-FR"/>
        </w:rPr>
      </w:pPr>
      <w:r w:rsidRPr="0039277D">
        <w:rPr>
          <w:lang w:val="fr-FR"/>
        </w:rPr>
        <w:tab/>
        <w:t>I.</w:t>
      </w:r>
      <w:r w:rsidRPr="0039277D">
        <w:rPr>
          <w:lang w:val="fr-FR"/>
        </w:rPr>
        <w:tab/>
        <w:t>Divers</w:t>
      </w:r>
    </w:p>
    <w:p w:rsidR="00D80597" w:rsidRPr="0039277D" w:rsidRDefault="00D80597" w:rsidP="00DF467B">
      <w:pPr>
        <w:pStyle w:val="H23G"/>
        <w:rPr>
          <w:lang w:val="fr-FR"/>
        </w:rPr>
      </w:pPr>
      <w:r w:rsidRPr="0039277D">
        <w:rPr>
          <w:lang w:val="fr-FR"/>
        </w:rPr>
        <w:tab/>
      </w:r>
      <w:r w:rsidRPr="0039277D">
        <w:rPr>
          <w:lang w:val="fr-FR"/>
        </w:rPr>
        <w:tab/>
        <w:t>Précisions concernant les critères de classement des explosifs flegmatisés dans le SGH</w:t>
      </w:r>
    </w:p>
    <w:p w:rsidR="00D80597" w:rsidRPr="0039277D" w:rsidRDefault="00D80597" w:rsidP="0066043C">
      <w:pPr>
        <w:keepNext/>
        <w:spacing w:after="120"/>
        <w:ind w:left="3119" w:hanging="1985"/>
        <w:rPr>
          <w:lang w:val="fr-FR"/>
        </w:rPr>
      </w:pPr>
      <w:r w:rsidRPr="0039277D">
        <w:rPr>
          <w:i/>
          <w:lang w:val="fr-FR"/>
        </w:rPr>
        <w:t>Document</w:t>
      </w:r>
      <w:r w:rsidR="0066043C">
        <w:rPr>
          <w:lang w:val="fr-FR"/>
        </w:rPr>
        <w:t> :</w:t>
      </w:r>
      <w:r w:rsidR="0066043C">
        <w:rPr>
          <w:lang w:val="fr-FR"/>
        </w:rPr>
        <w:tab/>
        <w:t>S</w:t>
      </w:r>
      <w:r w:rsidRPr="0039277D">
        <w:rPr>
          <w:lang w:val="fr-FR"/>
        </w:rPr>
        <w:t>T/SG/AC.10/C.3/2016/30 (AEISG, SAAMI).</w:t>
      </w:r>
    </w:p>
    <w:p w:rsidR="00D80597" w:rsidRPr="0039277D" w:rsidRDefault="00D80597" w:rsidP="0066043C">
      <w:pPr>
        <w:keepNext/>
        <w:spacing w:after="120"/>
        <w:ind w:left="3119" w:hanging="1985"/>
        <w:rPr>
          <w:lang w:val="fr-FR"/>
        </w:rPr>
      </w:pPr>
      <w:r w:rsidRPr="0039277D">
        <w:rPr>
          <w:i/>
          <w:lang w:val="fr-FR"/>
        </w:rPr>
        <w:t>Document informel</w:t>
      </w:r>
      <w:r w:rsidR="00F76B8F">
        <w:rPr>
          <w:lang w:val="fr-FR"/>
        </w:rPr>
        <w:t> </w:t>
      </w:r>
      <w:r w:rsidR="00F76B8F" w:rsidRPr="00F76B8F">
        <w:rPr>
          <w:lang w:val="fr-FR"/>
        </w:rPr>
        <w:t>:</w:t>
      </w:r>
      <w:r w:rsidRPr="0039277D">
        <w:rPr>
          <w:lang w:val="fr-FR"/>
        </w:rPr>
        <w:tab/>
        <w:t>INF.66 (rapport du Groupe de travail des explosifs).</w:t>
      </w:r>
    </w:p>
    <w:p w:rsidR="00D80597" w:rsidRPr="0039277D" w:rsidRDefault="00D80597" w:rsidP="001F071F">
      <w:pPr>
        <w:pStyle w:val="ParNoG"/>
        <w:rPr>
          <w:lang w:val="fr-FR"/>
        </w:rPr>
      </w:pPr>
      <w:r w:rsidRPr="0039277D">
        <w:rPr>
          <w:lang w:val="fr-FR"/>
        </w:rPr>
        <w:t>Le document susvisé avait été renvoyé au Groupe de travail des explosifs pour examen (voir le paragraphe 9 du présent rapport). Le Sous-Comité a entériné la décision du Groupe de travail tendant à accepter les propositions avec quelques modifications suggérées par le SAAMI (amendements au paragraphe 2.17.2.1 du SGH et amendement de conséquence au paragraphe 51.2.2 de la section 51 du Manuel), sous réserve de l</w:t>
      </w:r>
      <w:r w:rsidR="0039277D" w:rsidRPr="0039277D">
        <w:rPr>
          <w:lang w:val="fr-FR"/>
        </w:rPr>
        <w:t>’</w:t>
      </w:r>
      <w:r w:rsidRPr="0039277D">
        <w:rPr>
          <w:lang w:val="fr-FR"/>
        </w:rPr>
        <w:t>approbation du Sous-Comité SGH (voir annexes I et IV du présent rapport).</w:t>
      </w:r>
    </w:p>
    <w:p w:rsidR="00D80597" w:rsidRPr="0039277D" w:rsidRDefault="00D80597" w:rsidP="00DF467B">
      <w:pPr>
        <w:pStyle w:val="HChG"/>
        <w:rPr>
          <w:lang w:val="fr-FR"/>
        </w:rPr>
      </w:pPr>
      <w:r w:rsidRPr="0039277D">
        <w:rPr>
          <w:lang w:val="fr-FR"/>
        </w:rPr>
        <w:tab/>
        <w:t>XII.</w:t>
      </w:r>
      <w:r w:rsidRPr="0039277D">
        <w:rPr>
          <w:lang w:val="fr-FR"/>
        </w:rPr>
        <w:tab/>
        <w:t>Questions diverses (point 11 de l</w:t>
      </w:r>
      <w:r w:rsidR="0039277D" w:rsidRPr="0039277D">
        <w:rPr>
          <w:lang w:val="fr-FR"/>
        </w:rPr>
        <w:t>’</w:t>
      </w:r>
      <w:r w:rsidRPr="0039277D">
        <w:rPr>
          <w:lang w:val="fr-FR"/>
        </w:rPr>
        <w:t>ordre du jour)</w:t>
      </w:r>
    </w:p>
    <w:p w:rsidR="00D80597" w:rsidRPr="0039277D" w:rsidRDefault="00D80597" w:rsidP="00DF467B">
      <w:pPr>
        <w:pStyle w:val="H23G"/>
        <w:rPr>
          <w:lang w:val="fr-FR"/>
        </w:rPr>
      </w:pPr>
      <w:r w:rsidRPr="0039277D">
        <w:rPr>
          <w:lang w:val="fr-FR"/>
        </w:rPr>
        <w:tab/>
        <w:t>1.</w:t>
      </w:r>
      <w:r w:rsidRPr="0039277D">
        <w:rPr>
          <w:lang w:val="fr-FR"/>
        </w:rPr>
        <w:tab/>
        <w:t>Résolution 2015/7 du Conseil économique et social</w:t>
      </w:r>
    </w:p>
    <w:p w:rsidR="00D80597" w:rsidRPr="0039277D" w:rsidRDefault="00D80597" w:rsidP="0066043C">
      <w:pPr>
        <w:keepNext/>
        <w:spacing w:after="120"/>
        <w:ind w:left="3119" w:hanging="1985"/>
        <w:rPr>
          <w:lang w:val="fr-FR"/>
        </w:rPr>
      </w:pPr>
      <w:r w:rsidRPr="0039277D">
        <w:rPr>
          <w:i/>
          <w:lang w:val="fr-FR"/>
        </w:rPr>
        <w:t>Document informel</w:t>
      </w:r>
      <w:r w:rsidR="0066043C">
        <w:rPr>
          <w:i/>
          <w:lang w:val="fr-FR"/>
        </w:rPr>
        <w:t> </w:t>
      </w:r>
      <w:r w:rsidR="0066043C" w:rsidRPr="00F76B8F">
        <w:rPr>
          <w:lang w:val="fr-FR"/>
        </w:rPr>
        <w:t>:</w:t>
      </w:r>
      <w:r w:rsidR="0066043C">
        <w:rPr>
          <w:i/>
          <w:lang w:val="fr-FR"/>
        </w:rPr>
        <w:tab/>
      </w:r>
      <w:r w:rsidRPr="0039277D">
        <w:rPr>
          <w:lang w:val="fr-FR"/>
        </w:rPr>
        <w:t>INF.73 (secrétariat).</w:t>
      </w:r>
    </w:p>
    <w:p w:rsidR="00D80597" w:rsidRPr="0039277D" w:rsidRDefault="00D80597" w:rsidP="001F071F">
      <w:pPr>
        <w:pStyle w:val="ParNoG"/>
        <w:rPr>
          <w:lang w:val="fr-FR"/>
        </w:rPr>
      </w:pPr>
      <w:r w:rsidRPr="0039277D">
        <w:rPr>
          <w:lang w:val="fr-FR"/>
        </w:rPr>
        <w:t>Le Sous-Comité a invité les délégations qui ne l</w:t>
      </w:r>
      <w:r w:rsidR="0039277D" w:rsidRPr="0039277D">
        <w:rPr>
          <w:lang w:val="fr-FR"/>
        </w:rPr>
        <w:t>’</w:t>
      </w:r>
      <w:r w:rsidRPr="0039277D">
        <w:rPr>
          <w:lang w:val="fr-FR"/>
        </w:rPr>
        <w:t>avaient pas encore fait à communiquer, au moyen du formulaire fourni, les coordonnées de leurs différentes autorités compétentes.</w:t>
      </w:r>
    </w:p>
    <w:p w:rsidR="00D80597" w:rsidRPr="0039277D" w:rsidRDefault="00D80597" w:rsidP="00DF467B">
      <w:pPr>
        <w:pStyle w:val="H23G"/>
        <w:rPr>
          <w:lang w:val="fr-FR"/>
        </w:rPr>
      </w:pPr>
      <w:r w:rsidRPr="0039277D">
        <w:rPr>
          <w:lang w:val="fr-FR"/>
        </w:rPr>
        <w:tab/>
        <w:t>2.</w:t>
      </w:r>
      <w:r w:rsidRPr="0039277D">
        <w:rPr>
          <w:lang w:val="fr-FR"/>
        </w:rPr>
        <w:tab/>
        <w:t>Évaluation de l</w:t>
      </w:r>
      <w:r w:rsidR="0039277D" w:rsidRPr="0039277D">
        <w:rPr>
          <w:lang w:val="fr-FR"/>
        </w:rPr>
        <w:t>’</w:t>
      </w:r>
      <w:r w:rsidRPr="0039277D">
        <w:rPr>
          <w:lang w:val="fr-FR"/>
        </w:rPr>
        <w:t>incidence à l</w:t>
      </w:r>
      <w:r w:rsidR="0039277D" w:rsidRPr="0039277D">
        <w:rPr>
          <w:lang w:val="fr-FR"/>
        </w:rPr>
        <w:t>’</w:t>
      </w:r>
      <w:r w:rsidRPr="0039277D">
        <w:rPr>
          <w:lang w:val="fr-FR"/>
        </w:rPr>
        <w:t>échelle mondiale et régionale des règlements de la CEE et des Recommandations de l</w:t>
      </w:r>
      <w:r w:rsidR="0039277D" w:rsidRPr="0039277D">
        <w:rPr>
          <w:lang w:val="fr-FR"/>
        </w:rPr>
        <w:t>’</w:t>
      </w:r>
      <w:r w:rsidRPr="0039277D">
        <w:rPr>
          <w:lang w:val="fr-FR"/>
        </w:rPr>
        <w:t>ONU relatives au transport des marchandises dangereuses (2005-2014) : résultats du questionnaire</w:t>
      </w:r>
    </w:p>
    <w:p w:rsidR="00D80597" w:rsidRPr="0039277D" w:rsidRDefault="00D80597" w:rsidP="0066043C">
      <w:pPr>
        <w:keepNext/>
        <w:spacing w:after="120"/>
        <w:ind w:left="3119" w:hanging="1985"/>
        <w:rPr>
          <w:lang w:val="fr-FR"/>
        </w:rPr>
      </w:pPr>
      <w:r w:rsidRPr="0039277D">
        <w:rPr>
          <w:i/>
          <w:lang w:val="fr-FR"/>
        </w:rPr>
        <w:t>Document informel</w:t>
      </w:r>
      <w:r w:rsidR="0066043C">
        <w:rPr>
          <w:i/>
          <w:lang w:val="fr-FR"/>
        </w:rPr>
        <w:t> </w:t>
      </w:r>
      <w:r w:rsidR="0066043C" w:rsidRPr="00F76B8F">
        <w:rPr>
          <w:lang w:val="fr-FR"/>
        </w:rPr>
        <w:t>:</w:t>
      </w:r>
      <w:r w:rsidR="0066043C">
        <w:rPr>
          <w:i/>
          <w:lang w:val="fr-FR"/>
        </w:rPr>
        <w:tab/>
      </w:r>
      <w:r w:rsidRPr="0039277D">
        <w:rPr>
          <w:lang w:val="fr-FR"/>
        </w:rPr>
        <w:t>INF.74 (secrétariat).</w:t>
      </w:r>
    </w:p>
    <w:p w:rsidR="00D80597" w:rsidRPr="0039277D" w:rsidRDefault="00D80597" w:rsidP="001F071F">
      <w:pPr>
        <w:pStyle w:val="ParNoG"/>
        <w:rPr>
          <w:lang w:val="fr-FR"/>
        </w:rPr>
      </w:pPr>
      <w:r w:rsidRPr="0039277D">
        <w:rPr>
          <w:lang w:val="fr-FR"/>
        </w:rPr>
        <w:t>Le Sous-Comité a noté que le secrétariat avait publié un document faisant la synthèse de toutes les réponses au questionnaire qui avait été distribué, dans lequel était proposées une analyse des résultats ainsi que des observations. Le rapport d</w:t>
      </w:r>
      <w:r w:rsidR="0039277D" w:rsidRPr="0039277D">
        <w:rPr>
          <w:lang w:val="fr-FR"/>
        </w:rPr>
        <w:t>’</w:t>
      </w:r>
      <w:r w:rsidRPr="0039277D">
        <w:rPr>
          <w:lang w:val="fr-FR"/>
        </w:rPr>
        <w:t>évaluation lui-même serait publié séparément à un stade ultérieur.</w:t>
      </w:r>
    </w:p>
    <w:p w:rsidR="00D80597" w:rsidRPr="0039277D" w:rsidRDefault="00D80597" w:rsidP="00DF467B">
      <w:pPr>
        <w:pStyle w:val="H23G"/>
        <w:rPr>
          <w:lang w:val="fr-FR"/>
        </w:rPr>
      </w:pPr>
      <w:r w:rsidRPr="0039277D">
        <w:rPr>
          <w:lang w:val="fr-FR"/>
        </w:rPr>
        <w:tab/>
        <w:t>3.</w:t>
      </w:r>
      <w:r w:rsidRPr="0039277D">
        <w:rPr>
          <w:lang w:val="fr-FR"/>
        </w:rPr>
        <w:tab/>
        <w:t>Confirmation des amendements et corrections adoptés à titre provisoire</w:t>
      </w:r>
      <w:r w:rsidRPr="0039277D">
        <w:rPr>
          <w:lang w:val="fr-FR"/>
        </w:rPr>
        <w:br/>
        <w:t>à la session précédente</w:t>
      </w:r>
    </w:p>
    <w:p w:rsidR="00D80597" w:rsidRPr="0039277D" w:rsidRDefault="00F76B8F" w:rsidP="0066043C">
      <w:pPr>
        <w:keepNext/>
        <w:spacing w:after="120"/>
        <w:ind w:left="3119" w:hanging="1985"/>
        <w:rPr>
          <w:lang w:val="fr-FR"/>
        </w:rPr>
      </w:pPr>
      <w:r w:rsidRPr="0039277D">
        <w:rPr>
          <w:i/>
          <w:iCs/>
          <w:lang w:val="fr-FR"/>
        </w:rPr>
        <w:t>Document</w:t>
      </w:r>
      <w:r>
        <w:rPr>
          <w:lang w:val="fr-FR"/>
        </w:rPr>
        <w:t> :</w:t>
      </w:r>
      <w:r>
        <w:rPr>
          <w:lang w:val="fr-FR"/>
        </w:rPr>
        <w:tab/>
      </w:r>
      <w:r w:rsidRPr="0039277D">
        <w:rPr>
          <w:lang w:val="fr-FR"/>
        </w:rPr>
        <w:t>ST</w:t>
      </w:r>
      <w:r w:rsidR="00D80597" w:rsidRPr="0039277D">
        <w:rPr>
          <w:lang w:val="fr-FR"/>
        </w:rPr>
        <w:t>/SG/AC.10/C.3/96/Add.1</w:t>
      </w:r>
      <w:r w:rsidR="0066043C">
        <w:rPr>
          <w:lang w:val="fr-FR"/>
        </w:rPr>
        <w:t>.</w:t>
      </w:r>
    </w:p>
    <w:p w:rsidR="00D80597" w:rsidRPr="0039277D" w:rsidRDefault="00D80597" w:rsidP="001F071F">
      <w:pPr>
        <w:pStyle w:val="ParNoG"/>
        <w:rPr>
          <w:lang w:val="fr-FR"/>
        </w:rPr>
      </w:pPr>
      <w:r w:rsidRPr="0039277D">
        <w:rPr>
          <w:lang w:val="fr-FR"/>
        </w:rPr>
        <w:t>Le Sous-Comité a examiné tous les projets d</w:t>
      </w:r>
      <w:r w:rsidR="0039277D" w:rsidRPr="0039277D">
        <w:rPr>
          <w:lang w:val="fr-FR"/>
        </w:rPr>
        <w:t>’</w:t>
      </w:r>
      <w:r w:rsidRPr="0039277D">
        <w:rPr>
          <w:lang w:val="fr-FR"/>
        </w:rPr>
        <w:t>amendements et de corrections placés entre crochets lors de la dernière session et a confirmé que les crochets pouvaient être supprimés, à l</w:t>
      </w:r>
      <w:r w:rsidR="0039277D" w:rsidRPr="0039277D">
        <w:rPr>
          <w:lang w:val="fr-FR"/>
        </w:rPr>
        <w:t>’</w:t>
      </w:r>
      <w:r w:rsidRPr="0039277D">
        <w:rPr>
          <w:lang w:val="fr-FR"/>
        </w:rPr>
        <w:t>exception de ceux autour du paragraphe 5.4.1.5.5. En outre, il a convenu que les décisions prises à la présente session concernant l</w:t>
      </w:r>
      <w:r w:rsidR="0039277D" w:rsidRPr="0039277D">
        <w:rPr>
          <w:lang w:val="fr-FR"/>
        </w:rPr>
        <w:t>’</w:t>
      </w:r>
      <w:r w:rsidRPr="0039277D">
        <w:rPr>
          <w:lang w:val="fr-FR"/>
        </w:rPr>
        <w:t>alinéa f) du paragraphe 2.9.4 et la disposition spéciale 387 prenaient le pas sur les libellés provisoires adoptés à la session précédente.</w:t>
      </w:r>
    </w:p>
    <w:p w:rsidR="00D80597" w:rsidRPr="0039277D" w:rsidRDefault="00D80597" w:rsidP="001F071F">
      <w:pPr>
        <w:pStyle w:val="HChG"/>
        <w:rPr>
          <w:lang w:val="fr-FR"/>
        </w:rPr>
      </w:pPr>
      <w:r w:rsidRPr="0039277D">
        <w:rPr>
          <w:lang w:val="fr-FR"/>
        </w:rPr>
        <w:tab/>
        <w:t>XIII.</w:t>
      </w:r>
      <w:r w:rsidRPr="0039277D">
        <w:rPr>
          <w:lang w:val="fr-FR"/>
        </w:rPr>
        <w:tab/>
        <w:t>Adoption du rapport (point 12 de l</w:t>
      </w:r>
      <w:r w:rsidR="0039277D" w:rsidRPr="0039277D">
        <w:rPr>
          <w:lang w:val="fr-FR"/>
        </w:rPr>
        <w:t>’</w:t>
      </w:r>
      <w:r w:rsidRPr="0039277D">
        <w:rPr>
          <w:lang w:val="fr-FR"/>
        </w:rPr>
        <w:t>ordre du jour)</w:t>
      </w:r>
    </w:p>
    <w:p w:rsidR="00D80597" w:rsidRPr="0039277D" w:rsidRDefault="00D80597" w:rsidP="001F071F">
      <w:pPr>
        <w:pStyle w:val="ParNoG"/>
        <w:rPr>
          <w:lang w:val="fr-FR"/>
        </w:rPr>
      </w:pPr>
      <w:r w:rsidRPr="0039277D">
        <w:rPr>
          <w:lang w:val="fr-FR"/>
        </w:rPr>
        <w:t>Le Sous-Comité a adopté le rapport de sa quarante-neuvième session et ses annexes en se fondant sur un projet établi par le secrétariat.</w:t>
      </w:r>
    </w:p>
    <w:p w:rsidR="00D80597" w:rsidRPr="0039277D" w:rsidRDefault="00D80597" w:rsidP="0039277D">
      <w:pPr>
        <w:pStyle w:val="SingleTxtG"/>
        <w:rPr>
          <w:lang w:val="fr-FR"/>
        </w:rPr>
      </w:pPr>
    </w:p>
    <w:p w:rsidR="00D80597" w:rsidRPr="0039277D" w:rsidRDefault="00D80597" w:rsidP="00DF467B">
      <w:pPr>
        <w:pStyle w:val="HChG"/>
        <w:rPr>
          <w:lang w:val="fr-FR"/>
        </w:rPr>
      </w:pPr>
      <w:r w:rsidRPr="0039277D">
        <w:rPr>
          <w:lang w:val="fr-FR"/>
        </w:rPr>
        <w:br w:type="page"/>
        <w:t>Annexe I</w:t>
      </w:r>
    </w:p>
    <w:p w:rsidR="00D80597" w:rsidRPr="0039277D" w:rsidRDefault="00D80597" w:rsidP="00DF467B">
      <w:pPr>
        <w:pStyle w:val="HChG"/>
        <w:rPr>
          <w:lang w:val="fr-FR"/>
        </w:rPr>
      </w:pPr>
      <w:r w:rsidRPr="0039277D">
        <w:rPr>
          <w:lang w:val="fr-FR"/>
        </w:rPr>
        <w:tab/>
      </w:r>
      <w:r w:rsidRPr="0039277D">
        <w:rPr>
          <w:lang w:val="fr-FR"/>
        </w:rPr>
        <w:tab/>
        <w:t>Projets d</w:t>
      </w:r>
      <w:r w:rsidR="0039277D" w:rsidRPr="0039277D">
        <w:rPr>
          <w:lang w:val="fr-FR"/>
        </w:rPr>
        <w:t>’</w:t>
      </w:r>
      <w:r w:rsidRPr="0039277D">
        <w:rPr>
          <w:lang w:val="fr-FR"/>
        </w:rPr>
        <w:t>amendements à la sixième édition révisée des Recommandations relatives au transport des marchandises dangereuses, Manuel d</w:t>
      </w:r>
      <w:r w:rsidR="0039277D" w:rsidRPr="0039277D">
        <w:rPr>
          <w:lang w:val="fr-FR"/>
        </w:rPr>
        <w:t>’</w:t>
      </w:r>
      <w:r w:rsidRPr="0039277D">
        <w:rPr>
          <w:lang w:val="fr-FR"/>
        </w:rPr>
        <w:t>épreuves et de critères (ST/SG/AC.10/11/Rev.6)</w:t>
      </w:r>
    </w:p>
    <w:p w:rsidR="00D80597" w:rsidRPr="0039277D" w:rsidRDefault="00D80597" w:rsidP="00DF467B">
      <w:pPr>
        <w:pStyle w:val="H1G"/>
        <w:rPr>
          <w:lang w:val="fr-FR"/>
        </w:rPr>
      </w:pPr>
      <w:r w:rsidRPr="0039277D">
        <w:rPr>
          <w:lang w:val="fr-FR"/>
        </w:rPr>
        <w:tab/>
      </w:r>
      <w:r w:rsidRPr="0039277D">
        <w:rPr>
          <w:lang w:val="fr-FR"/>
        </w:rPr>
        <w:tab/>
        <w:t>(Voir le document ST/SG/AC.10/C.3/98/Add.1)</w:t>
      </w:r>
    </w:p>
    <w:p w:rsidR="00D80597" w:rsidRPr="0039277D" w:rsidRDefault="00D80597" w:rsidP="00DF467B">
      <w:pPr>
        <w:pStyle w:val="HChG"/>
        <w:rPr>
          <w:lang w:val="fr-FR"/>
        </w:rPr>
      </w:pPr>
      <w:r w:rsidRPr="0039277D">
        <w:rPr>
          <w:lang w:val="fr-FR"/>
        </w:rPr>
        <w:t>Annexe II</w:t>
      </w:r>
    </w:p>
    <w:p w:rsidR="00D80597" w:rsidRPr="0039277D" w:rsidRDefault="00D80597" w:rsidP="00CF3B8F">
      <w:pPr>
        <w:pStyle w:val="HChG"/>
        <w:rPr>
          <w:lang w:val="fr-FR"/>
        </w:rPr>
      </w:pPr>
      <w:r w:rsidRPr="0039277D">
        <w:rPr>
          <w:lang w:val="fr-FR"/>
        </w:rPr>
        <w:tab/>
      </w:r>
      <w:r w:rsidRPr="0039277D">
        <w:rPr>
          <w:lang w:val="fr-FR"/>
        </w:rPr>
        <w:tab/>
        <w:t>Projets d</w:t>
      </w:r>
      <w:r w:rsidR="0039277D" w:rsidRPr="0039277D">
        <w:rPr>
          <w:lang w:val="fr-FR"/>
        </w:rPr>
        <w:t>’</w:t>
      </w:r>
      <w:r w:rsidRPr="0039277D">
        <w:rPr>
          <w:lang w:val="fr-FR"/>
        </w:rPr>
        <w:t>amendements à la dix-neuvième édition révisée des Recommandations relatives au transport des marchandises dangereuses, Règlement type (ST/SG/AC.10/1/Rev.19)</w:t>
      </w:r>
    </w:p>
    <w:p w:rsidR="00D80597" w:rsidRPr="0039277D" w:rsidRDefault="00D80597" w:rsidP="00DF467B">
      <w:pPr>
        <w:pStyle w:val="H1G"/>
        <w:rPr>
          <w:lang w:val="fr-FR"/>
        </w:rPr>
      </w:pPr>
      <w:r w:rsidRPr="0039277D">
        <w:rPr>
          <w:lang w:val="fr-FR"/>
        </w:rPr>
        <w:tab/>
      </w:r>
      <w:r w:rsidRPr="0039277D">
        <w:rPr>
          <w:lang w:val="fr-FR"/>
        </w:rPr>
        <w:tab/>
        <w:t>(Voir le document ST/SG/AC.10/C.3/98/Add.1)</w:t>
      </w:r>
    </w:p>
    <w:p w:rsidR="00D80597" w:rsidRPr="0039277D" w:rsidRDefault="00D80597" w:rsidP="0039277D">
      <w:pPr>
        <w:pStyle w:val="SingleTxtG"/>
        <w:rPr>
          <w:lang w:val="fr-FR"/>
        </w:rPr>
      </w:pPr>
    </w:p>
    <w:p w:rsidR="00D80597" w:rsidRPr="0039277D" w:rsidRDefault="00D80597" w:rsidP="00DF467B">
      <w:pPr>
        <w:pStyle w:val="HChG"/>
        <w:rPr>
          <w:lang w:val="fr-FR"/>
        </w:rPr>
      </w:pPr>
      <w:r w:rsidRPr="0039277D">
        <w:rPr>
          <w:lang w:val="fr-FR"/>
        </w:rPr>
        <w:br w:type="page"/>
        <w:t>Annexe III</w:t>
      </w:r>
    </w:p>
    <w:p w:rsidR="00D80597" w:rsidRPr="0039277D" w:rsidRDefault="00D80597" w:rsidP="00DF467B">
      <w:pPr>
        <w:pStyle w:val="HChG"/>
        <w:rPr>
          <w:lang w:val="fr-FR"/>
        </w:rPr>
      </w:pPr>
      <w:r w:rsidRPr="0039277D">
        <w:rPr>
          <w:lang w:val="fr-FR"/>
        </w:rPr>
        <w:tab/>
      </w:r>
      <w:r w:rsidRPr="0039277D">
        <w:rPr>
          <w:lang w:val="fr-FR"/>
        </w:rPr>
        <w:tab/>
        <w:t>Résumé des points convenus par le groupe de travail de pause déjeuner concernant les travaux sur le transport de déchets de la Division 6.2 de la catégorie A</w:t>
      </w:r>
    </w:p>
    <w:p w:rsidR="00D80597" w:rsidRPr="001F071F" w:rsidRDefault="00D80597" w:rsidP="001F071F">
      <w:pPr>
        <w:pStyle w:val="SingleTxtG"/>
      </w:pPr>
      <w:r w:rsidRPr="0039277D">
        <w:rPr>
          <w:lang w:val="fr-FR"/>
        </w:rPr>
        <w:t>1.</w:t>
      </w:r>
      <w:r w:rsidRPr="0039277D">
        <w:rPr>
          <w:lang w:val="fr-FR"/>
        </w:rPr>
        <w:tab/>
        <w:t>La situation actuelle n</w:t>
      </w:r>
      <w:r w:rsidR="0039277D" w:rsidRPr="0039277D">
        <w:rPr>
          <w:lang w:val="fr-FR"/>
        </w:rPr>
        <w:t>’</w:t>
      </w:r>
      <w:r w:rsidRPr="0039277D">
        <w:rPr>
          <w:lang w:val="fr-FR"/>
        </w:rPr>
        <w:t>était pas satisfaisante.</w:t>
      </w:r>
    </w:p>
    <w:p w:rsidR="00D80597" w:rsidRPr="0039277D" w:rsidRDefault="00D80597" w:rsidP="001F071F">
      <w:pPr>
        <w:pStyle w:val="SingleTxtG"/>
        <w:ind w:left="1701"/>
      </w:pPr>
      <w:r w:rsidRPr="0039277D">
        <w:rPr>
          <w:lang w:val="fr-FR"/>
        </w:rPr>
        <w:t>Théoriquement, un emballage de grande taille pouvait être fabriqué conformément aux dispositions de la section 6.3, mais cela avait suscité des difficultés dans la pratique.</w:t>
      </w:r>
    </w:p>
    <w:p w:rsidR="00D80597" w:rsidRPr="0039277D" w:rsidRDefault="00D80597" w:rsidP="001F071F">
      <w:pPr>
        <w:pStyle w:val="SingleTxtG"/>
        <w:ind w:left="1701"/>
      </w:pPr>
      <w:r w:rsidRPr="0039277D">
        <w:rPr>
          <w:lang w:val="fr-FR"/>
        </w:rPr>
        <w:t>Cela ne permettait pas de répondre à une crise telle que l</w:t>
      </w:r>
      <w:r w:rsidR="0039277D" w:rsidRPr="0039277D">
        <w:rPr>
          <w:lang w:val="fr-FR"/>
        </w:rPr>
        <w:t>’</w:t>
      </w:r>
      <w:r w:rsidRPr="0039277D">
        <w:rPr>
          <w:lang w:val="fr-FR"/>
        </w:rPr>
        <w:t>épidémie d</w:t>
      </w:r>
      <w:r w:rsidR="0039277D" w:rsidRPr="0039277D">
        <w:rPr>
          <w:lang w:val="fr-FR"/>
        </w:rPr>
        <w:t>’</w:t>
      </w:r>
      <w:r w:rsidRPr="0039277D">
        <w:rPr>
          <w:lang w:val="fr-FR"/>
        </w:rPr>
        <w:t>Ébola, lors de laquelle un grand nombre de colis devaient être mis à disposition en peu de temps en dehors du marché habituel, ce qui n</w:t>
      </w:r>
      <w:r w:rsidR="0039277D" w:rsidRPr="0039277D">
        <w:rPr>
          <w:lang w:val="fr-FR"/>
        </w:rPr>
        <w:t>’</w:t>
      </w:r>
      <w:r w:rsidRPr="0039277D">
        <w:rPr>
          <w:lang w:val="fr-FR"/>
        </w:rPr>
        <w:t>était pas possible dans ces conditions.</w:t>
      </w:r>
    </w:p>
    <w:p w:rsidR="00D80597" w:rsidRPr="0039277D" w:rsidRDefault="00D80597" w:rsidP="0039277D">
      <w:pPr>
        <w:pStyle w:val="SingleTxtG"/>
      </w:pPr>
      <w:r w:rsidRPr="0039277D">
        <w:rPr>
          <w:lang w:val="fr-FR"/>
        </w:rPr>
        <w:t>2.</w:t>
      </w:r>
      <w:r w:rsidRPr="0039277D">
        <w:rPr>
          <w:lang w:val="fr-FR"/>
        </w:rPr>
        <w:tab/>
        <w:t>Des prescriptions propres à ce genre de cas devaient être définies.</w:t>
      </w:r>
    </w:p>
    <w:p w:rsidR="00D80597" w:rsidRPr="0039277D" w:rsidRDefault="00D80597" w:rsidP="001F071F">
      <w:pPr>
        <w:pStyle w:val="SingleTxtG"/>
        <w:ind w:left="1701"/>
      </w:pPr>
      <w:r w:rsidRPr="0039277D">
        <w:rPr>
          <w:lang w:val="fr-FR"/>
        </w:rPr>
        <w:t>L</w:t>
      </w:r>
      <w:r w:rsidR="0039277D" w:rsidRPr="0039277D">
        <w:rPr>
          <w:lang w:val="fr-FR"/>
        </w:rPr>
        <w:t>’</w:t>
      </w:r>
      <w:r w:rsidRPr="0039277D">
        <w:rPr>
          <w:lang w:val="fr-FR"/>
        </w:rPr>
        <w:t>élaboration d</w:t>
      </w:r>
      <w:r w:rsidR="0039277D" w:rsidRPr="0039277D">
        <w:rPr>
          <w:lang w:val="fr-FR"/>
        </w:rPr>
        <w:t>’</w:t>
      </w:r>
      <w:r w:rsidRPr="0039277D">
        <w:rPr>
          <w:lang w:val="fr-FR"/>
        </w:rPr>
        <w:t>une solution pour le transport de ces déchets d</w:t>
      </w:r>
      <w:r w:rsidR="0039277D" w:rsidRPr="0039277D">
        <w:rPr>
          <w:lang w:val="fr-FR"/>
        </w:rPr>
        <w:t>’</w:t>
      </w:r>
      <w:r w:rsidRPr="0039277D">
        <w:rPr>
          <w:lang w:val="fr-FR"/>
        </w:rPr>
        <w:t>hôpital de la catégorie A ne devait pas entraver l</w:t>
      </w:r>
      <w:r w:rsidR="0039277D" w:rsidRPr="0039277D">
        <w:rPr>
          <w:lang w:val="fr-FR"/>
        </w:rPr>
        <w:t>’</w:t>
      </w:r>
      <w:r w:rsidRPr="0039277D">
        <w:rPr>
          <w:lang w:val="fr-FR"/>
        </w:rPr>
        <w:t>application des prescriptions habituelles de transport pour la division 6.2 de la catégorie A, qui ne posaient actuellement aucun problème.</w:t>
      </w:r>
    </w:p>
    <w:p w:rsidR="00D80597" w:rsidRPr="0039277D" w:rsidRDefault="00D80597" w:rsidP="001F071F">
      <w:pPr>
        <w:pStyle w:val="SingleTxtG"/>
        <w:ind w:left="1701"/>
      </w:pPr>
      <w:r w:rsidRPr="0039277D">
        <w:rPr>
          <w:lang w:val="fr-FR"/>
        </w:rPr>
        <w:t>En particulier, une instruction d</w:t>
      </w:r>
      <w:r w:rsidR="0039277D" w:rsidRPr="0039277D">
        <w:rPr>
          <w:lang w:val="fr-FR"/>
        </w:rPr>
        <w:t>’</w:t>
      </w:r>
      <w:r w:rsidRPr="0039277D">
        <w:rPr>
          <w:lang w:val="fr-FR"/>
        </w:rPr>
        <w:t>emballage spécifique pouvait être définie.</w:t>
      </w:r>
    </w:p>
    <w:p w:rsidR="00D80597" w:rsidRPr="0039277D" w:rsidRDefault="00D80597" w:rsidP="0039277D">
      <w:pPr>
        <w:pStyle w:val="SingleTxtG"/>
      </w:pPr>
      <w:r w:rsidRPr="0039277D">
        <w:rPr>
          <w:lang w:val="fr-FR"/>
        </w:rPr>
        <w:t>3.</w:t>
      </w:r>
      <w:r w:rsidRPr="0039277D">
        <w:rPr>
          <w:lang w:val="fr-FR"/>
        </w:rPr>
        <w:tab/>
        <w:t>Il fallait essayer d</w:t>
      </w:r>
      <w:r w:rsidR="0039277D" w:rsidRPr="0039277D">
        <w:rPr>
          <w:lang w:val="fr-FR"/>
        </w:rPr>
        <w:t>’</w:t>
      </w:r>
      <w:r w:rsidRPr="0039277D">
        <w:rPr>
          <w:lang w:val="fr-FR"/>
        </w:rPr>
        <w:t>approcher le haut niveau de sécurité offert par le chapitre 6.3 en se référant à son niveau d</w:t>
      </w:r>
      <w:r w:rsidR="0039277D" w:rsidRPr="0039277D">
        <w:rPr>
          <w:lang w:val="fr-FR"/>
        </w:rPr>
        <w:t>’</w:t>
      </w:r>
      <w:r w:rsidRPr="0039277D">
        <w:rPr>
          <w:lang w:val="fr-FR"/>
        </w:rPr>
        <w:t>efficacité et à ses prescriptions en matière de conception lorsque cela était possible.</w:t>
      </w:r>
    </w:p>
    <w:p w:rsidR="00D80597" w:rsidRPr="0039277D" w:rsidRDefault="00D80597" w:rsidP="00855C98">
      <w:pPr>
        <w:pStyle w:val="SingleTxtG"/>
        <w:ind w:left="2268" w:hanging="567"/>
      </w:pPr>
      <w:r w:rsidRPr="0039277D">
        <w:rPr>
          <w:lang w:val="fr-FR"/>
        </w:rPr>
        <w:t>a)</w:t>
      </w:r>
      <w:r w:rsidRPr="0039277D">
        <w:rPr>
          <w:lang w:val="fr-FR"/>
        </w:rPr>
        <w:tab/>
        <w:t>Un large consensus s</w:t>
      </w:r>
      <w:r w:rsidR="0039277D" w:rsidRPr="0039277D">
        <w:rPr>
          <w:lang w:val="fr-FR"/>
        </w:rPr>
        <w:t>’</w:t>
      </w:r>
      <w:r w:rsidRPr="0039277D">
        <w:rPr>
          <w:lang w:val="fr-FR"/>
        </w:rPr>
        <w:t>est dégagé en faveur des prescriptions concernant :</w:t>
      </w:r>
    </w:p>
    <w:p w:rsidR="00D80597" w:rsidRPr="0039277D" w:rsidRDefault="00F76B8F" w:rsidP="00855C98">
      <w:pPr>
        <w:pStyle w:val="SingleTxtG"/>
        <w:ind w:left="2835" w:hanging="567"/>
      </w:pPr>
      <w:r>
        <w:rPr>
          <w:lang w:val="fr-FR"/>
        </w:rPr>
        <w:t>−</w:t>
      </w:r>
      <w:r w:rsidR="00D80597" w:rsidRPr="0039277D">
        <w:rPr>
          <w:lang w:val="fr-FR"/>
        </w:rPr>
        <w:tab/>
        <w:t>Le triple emballage tel que décrit dans l</w:t>
      </w:r>
      <w:r w:rsidR="0039277D" w:rsidRPr="0039277D">
        <w:rPr>
          <w:lang w:val="fr-FR"/>
        </w:rPr>
        <w:t>’</w:t>
      </w:r>
      <w:r w:rsidR="00D80597" w:rsidRPr="0039277D">
        <w:rPr>
          <w:lang w:val="fr-FR"/>
        </w:rPr>
        <w:t>instruction d</w:t>
      </w:r>
      <w:r w:rsidR="0039277D" w:rsidRPr="0039277D">
        <w:rPr>
          <w:lang w:val="fr-FR"/>
        </w:rPr>
        <w:t>’</w:t>
      </w:r>
      <w:r w:rsidR="00D80597" w:rsidRPr="0039277D">
        <w:rPr>
          <w:lang w:val="fr-FR"/>
        </w:rPr>
        <w:t>emballage P620 ;</w:t>
      </w:r>
    </w:p>
    <w:p w:rsidR="00D80597" w:rsidRPr="0039277D" w:rsidRDefault="00F76B8F" w:rsidP="00855C98">
      <w:pPr>
        <w:pStyle w:val="SingleTxtG"/>
        <w:ind w:left="2835" w:hanging="567"/>
      </w:pPr>
      <w:r>
        <w:rPr>
          <w:lang w:val="fr-FR"/>
        </w:rPr>
        <w:t>−</w:t>
      </w:r>
      <w:r w:rsidR="00D80597" w:rsidRPr="0039277D">
        <w:rPr>
          <w:lang w:val="fr-FR"/>
        </w:rPr>
        <w:tab/>
        <w:t>La possibilité d</w:t>
      </w:r>
      <w:r w:rsidR="0039277D" w:rsidRPr="0039277D">
        <w:rPr>
          <w:lang w:val="fr-FR"/>
        </w:rPr>
        <w:t>’</w:t>
      </w:r>
      <w:r w:rsidR="00D80597" w:rsidRPr="0039277D">
        <w:rPr>
          <w:lang w:val="fr-FR"/>
        </w:rPr>
        <w:t>emballer les matières infectieuses avec un matériau absorbant afin qu</w:t>
      </w:r>
      <w:r w:rsidR="0039277D" w:rsidRPr="0039277D">
        <w:rPr>
          <w:lang w:val="fr-FR"/>
        </w:rPr>
        <w:t>’</w:t>
      </w:r>
      <w:r w:rsidR="00D80597" w:rsidRPr="0039277D">
        <w:rPr>
          <w:lang w:val="fr-FR"/>
        </w:rPr>
        <w:t>elles soient considérée</w:t>
      </w:r>
      <w:r w:rsidR="00E12FEC">
        <w:rPr>
          <w:lang w:val="fr-FR"/>
        </w:rPr>
        <w:t xml:space="preserve">s comme des matières </w:t>
      </w:r>
      <w:r w:rsidR="00D80597" w:rsidRPr="0039277D">
        <w:rPr>
          <w:lang w:val="fr-FR"/>
        </w:rPr>
        <w:t>solides ;</w:t>
      </w:r>
    </w:p>
    <w:p w:rsidR="00D80597" w:rsidRPr="0039277D" w:rsidRDefault="00F76B8F" w:rsidP="00855C98">
      <w:pPr>
        <w:pStyle w:val="SingleTxtG"/>
        <w:ind w:left="2835" w:hanging="567"/>
      </w:pPr>
      <w:r>
        <w:rPr>
          <w:lang w:val="fr-FR"/>
        </w:rPr>
        <w:t>−</w:t>
      </w:r>
      <w:r w:rsidR="00D80597" w:rsidRPr="0039277D">
        <w:rPr>
          <w:lang w:val="fr-FR"/>
        </w:rPr>
        <w:tab/>
        <w:t>La mise en place de procédures de nettoyage ou de désinfection des emballages intérieurs avant leur placement dans l</w:t>
      </w:r>
      <w:r w:rsidR="0039277D" w:rsidRPr="0039277D">
        <w:rPr>
          <w:lang w:val="fr-FR"/>
        </w:rPr>
        <w:t>’</w:t>
      </w:r>
      <w:r w:rsidR="00D80597" w:rsidRPr="0039277D">
        <w:rPr>
          <w:lang w:val="fr-FR"/>
        </w:rPr>
        <w:t>emballage extérieur ou intermédiaire.</w:t>
      </w:r>
    </w:p>
    <w:p w:rsidR="00D80597" w:rsidRPr="0039277D" w:rsidRDefault="00D80597" w:rsidP="00855C98">
      <w:pPr>
        <w:pStyle w:val="SingleTxtG"/>
        <w:ind w:left="2268" w:hanging="567"/>
      </w:pPr>
      <w:r w:rsidRPr="0039277D">
        <w:rPr>
          <w:lang w:val="fr-FR"/>
        </w:rPr>
        <w:t>b)</w:t>
      </w:r>
      <w:r w:rsidRPr="0039277D">
        <w:rPr>
          <w:lang w:val="fr-FR"/>
        </w:rPr>
        <w:tab/>
        <w:t>Un certain consensus s</w:t>
      </w:r>
      <w:r w:rsidR="0039277D" w:rsidRPr="0039277D">
        <w:rPr>
          <w:lang w:val="fr-FR"/>
        </w:rPr>
        <w:t>’</w:t>
      </w:r>
      <w:r w:rsidRPr="0039277D">
        <w:rPr>
          <w:lang w:val="fr-FR"/>
        </w:rPr>
        <w:t>est dégagé en faveur de la proposition de définir pour l</w:t>
      </w:r>
      <w:r w:rsidR="0039277D" w:rsidRPr="0039277D">
        <w:rPr>
          <w:lang w:val="fr-FR"/>
        </w:rPr>
        <w:t>’</w:t>
      </w:r>
      <w:r w:rsidRPr="0039277D">
        <w:rPr>
          <w:lang w:val="fr-FR"/>
        </w:rPr>
        <w:t>épreuve de chute un niveau d</w:t>
      </w:r>
      <w:r w:rsidR="0039277D" w:rsidRPr="0039277D">
        <w:rPr>
          <w:lang w:val="fr-FR"/>
        </w:rPr>
        <w:t>’</w:t>
      </w:r>
      <w:r w:rsidRPr="0039277D">
        <w:rPr>
          <w:lang w:val="fr-FR"/>
        </w:rPr>
        <w:t>efficacité équivalant à une chute de 9 m, mais des vues divergentes se sont exprimées concernant son évaluation :</w:t>
      </w:r>
    </w:p>
    <w:p w:rsidR="00D80597" w:rsidRPr="0039277D" w:rsidRDefault="00F76B8F" w:rsidP="00855C98">
      <w:pPr>
        <w:pStyle w:val="SingleTxtG"/>
        <w:ind w:left="2835" w:hanging="567"/>
      </w:pPr>
      <w:r>
        <w:rPr>
          <w:lang w:val="fr-FR"/>
        </w:rPr>
        <w:t>−</w:t>
      </w:r>
      <w:r w:rsidR="00D80597" w:rsidRPr="0039277D">
        <w:rPr>
          <w:lang w:val="fr-FR"/>
        </w:rPr>
        <w:tab/>
        <w:t>En procédant à une épreuve de chute de 9 m ; ou</w:t>
      </w:r>
    </w:p>
    <w:p w:rsidR="00D80597" w:rsidRPr="0039277D" w:rsidRDefault="00F76B8F" w:rsidP="00855C98">
      <w:pPr>
        <w:pStyle w:val="SingleTxtG"/>
        <w:ind w:left="2835" w:hanging="567"/>
      </w:pPr>
      <w:r>
        <w:rPr>
          <w:lang w:val="fr-FR"/>
        </w:rPr>
        <w:t>−</w:t>
      </w:r>
      <w:r w:rsidR="00D80597" w:rsidRPr="0039277D">
        <w:rPr>
          <w:lang w:val="fr-FR"/>
        </w:rPr>
        <w:tab/>
        <w:t>Par un calcul du rapport entre la masse de l</w:t>
      </w:r>
      <w:r w:rsidR="0039277D" w:rsidRPr="0039277D">
        <w:rPr>
          <w:lang w:val="fr-FR"/>
        </w:rPr>
        <w:t>’</w:t>
      </w:r>
      <w:r w:rsidR="00D80597" w:rsidRPr="0039277D">
        <w:rPr>
          <w:lang w:val="fr-FR"/>
        </w:rPr>
        <w:t>échantillon et la hauteur de chute (une chute de 1,8 m avec une masse supérieure équivaudrait à une chute de 9 m pour une masse inférieure). Les données à l</w:t>
      </w:r>
      <w:r w:rsidR="0039277D" w:rsidRPr="0039277D">
        <w:rPr>
          <w:lang w:val="fr-FR"/>
        </w:rPr>
        <w:t>’</w:t>
      </w:r>
      <w:r w:rsidR="00D80597" w:rsidRPr="0039277D">
        <w:rPr>
          <w:lang w:val="fr-FR"/>
        </w:rPr>
        <w:t>appui d</w:t>
      </w:r>
      <w:r w:rsidR="0039277D" w:rsidRPr="0039277D">
        <w:rPr>
          <w:lang w:val="fr-FR"/>
        </w:rPr>
        <w:t>’</w:t>
      </w:r>
      <w:r w:rsidR="00D80597" w:rsidRPr="0039277D">
        <w:rPr>
          <w:lang w:val="fr-FR"/>
        </w:rPr>
        <w:t>un tel calcul restaient à fournir.</w:t>
      </w:r>
    </w:p>
    <w:p w:rsidR="00D80597" w:rsidRPr="0039277D" w:rsidRDefault="00D80597" w:rsidP="00855C98">
      <w:pPr>
        <w:pStyle w:val="SingleTxtG"/>
        <w:ind w:left="2268" w:hanging="567"/>
      </w:pPr>
      <w:r w:rsidRPr="0039277D">
        <w:rPr>
          <w:lang w:val="fr-FR"/>
        </w:rPr>
        <w:t>c)</w:t>
      </w:r>
      <w:r w:rsidRPr="0039277D">
        <w:rPr>
          <w:lang w:val="fr-FR"/>
        </w:rPr>
        <w:tab/>
        <w:t>Points qui devaient être étudiés plus avant</w:t>
      </w:r>
      <w:r w:rsidR="00CF3B8F">
        <w:rPr>
          <w:lang w:val="fr-FR"/>
        </w:rPr>
        <w:t> :</w:t>
      </w:r>
    </w:p>
    <w:p w:rsidR="00D80597" w:rsidRPr="0039277D" w:rsidRDefault="00F76B8F" w:rsidP="00855C98">
      <w:pPr>
        <w:pStyle w:val="SingleTxtG"/>
        <w:ind w:left="2835" w:hanging="567"/>
      </w:pPr>
      <w:r>
        <w:rPr>
          <w:lang w:val="fr-FR"/>
        </w:rPr>
        <w:t>−</w:t>
      </w:r>
      <w:r w:rsidR="00D80597" w:rsidRPr="0039277D">
        <w:rPr>
          <w:lang w:val="fr-FR"/>
        </w:rPr>
        <w:tab/>
        <w:t>Succès/échec ;</w:t>
      </w:r>
    </w:p>
    <w:p w:rsidR="00D80597" w:rsidRPr="0039277D" w:rsidRDefault="00F76B8F" w:rsidP="00855C98">
      <w:pPr>
        <w:pStyle w:val="SingleTxtG"/>
        <w:ind w:left="2835" w:hanging="567"/>
      </w:pPr>
      <w:r>
        <w:rPr>
          <w:lang w:val="fr-FR"/>
        </w:rPr>
        <w:t>−</w:t>
      </w:r>
      <w:r w:rsidR="00D80597" w:rsidRPr="0039277D">
        <w:rPr>
          <w:lang w:val="fr-FR"/>
        </w:rPr>
        <w:tab/>
        <w:t>Essai de crevaison.</w:t>
      </w:r>
    </w:p>
    <w:p w:rsidR="00D80597" w:rsidRPr="0039277D" w:rsidRDefault="00D80597" w:rsidP="00DF467B">
      <w:pPr>
        <w:pStyle w:val="HChG"/>
        <w:rPr>
          <w:lang w:val="fr-FR"/>
        </w:rPr>
      </w:pPr>
      <w:r w:rsidRPr="0039277D">
        <w:rPr>
          <w:lang w:val="fr-FR"/>
        </w:rPr>
        <w:br w:type="page"/>
        <w:t>Annexe IV</w:t>
      </w:r>
    </w:p>
    <w:p w:rsidR="00D80597" w:rsidRPr="0039277D" w:rsidRDefault="00D80597" w:rsidP="00DF467B">
      <w:pPr>
        <w:pStyle w:val="HChG"/>
        <w:rPr>
          <w:lang w:val="fr-FR"/>
        </w:rPr>
      </w:pPr>
      <w:r w:rsidRPr="0039277D">
        <w:rPr>
          <w:lang w:val="fr-FR"/>
        </w:rPr>
        <w:tab/>
      </w:r>
      <w:r w:rsidRPr="0039277D">
        <w:rPr>
          <w:lang w:val="fr-FR"/>
        </w:rPr>
        <w:tab/>
        <w:t xml:space="preserve">Corrections à la sixième édition révisée des Recommandations relatives au transport </w:t>
      </w:r>
      <w:r w:rsidR="00CF3B8F">
        <w:rPr>
          <w:lang w:val="fr-FR"/>
        </w:rPr>
        <w:br/>
      </w:r>
      <w:r w:rsidRPr="0039277D">
        <w:rPr>
          <w:lang w:val="fr-FR"/>
        </w:rPr>
        <w:t xml:space="preserve">des marchandises dangereuses, </w:t>
      </w:r>
      <w:r w:rsidR="00CF3B8F">
        <w:rPr>
          <w:lang w:val="fr-FR"/>
        </w:rPr>
        <w:br/>
      </w:r>
      <w:r w:rsidRPr="0039277D">
        <w:rPr>
          <w:lang w:val="fr-FR"/>
        </w:rPr>
        <w:t>Manuel d</w:t>
      </w:r>
      <w:r w:rsidR="0039277D" w:rsidRPr="0039277D">
        <w:rPr>
          <w:lang w:val="fr-FR"/>
        </w:rPr>
        <w:t>’</w:t>
      </w:r>
      <w:r w:rsidRPr="0039277D">
        <w:rPr>
          <w:lang w:val="fr-FR"/>
        </w:rPr>
        <w:t xml:space="preserve">épreuves et de critères </w:t>
      </w:r>
      <w:r w:rsidR="00CF3B8F">
        <w:rPr>
          <w:lang w:val="fr-FR"/>
        </w:rPr>
        <w:br/>
      </w:r>
      <w:r w:rsidRPr="0039277D">
        <w:rPr>
          <w:lang w:val="fr-FR"/>
        </w:rPr>
        <w:t>(ST/SG/AC.10/11/Rev.6)</w:t>
      </w:r>
    </w:p>
    <w:p w:rsidR="00D80597" w:rsidRPr="0039277D" w:rsidRDefault="00D80597" w:rsidP="00DF467B">
      <w:pPr>
        <w:pStyle w:val="H1G"/>
        <w:rPr>
          <w:lang w:val="fr-FR"/>
        </w:rPr>
      </w:pPr>
      <w:r w:rsidRPr="0039277D">
        <w:rPr>
          <w:lang w:val="fr-FR"/>
        </w:rPr>
        <w:tab/>
      </w:r>
      <w:r w:rsidRPr="0039277D">
        <w:rPr>
          <w:lang w:val="fr-FR"/>
        </w:rPr>
        <w:tab/>
        <w:t>(Voir le document ST/SG/AC.10/C.3/98/Add.1)</w:t>
      </w:r>
    </w:p>
    <w:p w:rsidR="00D80597" w:rsidRPr="0039277D" w:rsidRDefault="00D80597" w:rsidP="00DF467B">
      <w:pPr>
        <w:pStyle w:val="HChG"/>
        <w:rPr>
          <w:lang w:val="fr-FR"/>
        </w:rPr>
      </w:pPr>
      <w:r w:rsidRPr="0039277D">
        <w:rPr>
          <w:lang w:val="fr-FR"/>
        </w:rPr>
        <w:t>Annexe V</w:t>
      </w:r>
    </w:p>
    <w:p w:rsidR="00D80597" w:rsidRPr="0039277D" w:rsidRDefault="00D80597" w:rsidP="00DF467B">
      <w:pPr>
        <w:pStyle w:val="HChG"/>
        <w:rPr>
          <w:lang w:val="fr-FR"/>
        </w:rPr>
      </w:pPr>
      <w:r w:rsidRPr="0039277D">
        <w:rPr>
          <w:lang w:val="fr-FR"/>
        </w:rPr>
        <w:tab/>
      </w:r>
      <w:r w:rsidRPr="0039277D">
        <w:rPr>
          <w:lang w:val="fr-FR"/>
        </w:rPr>
        <w:tab/>
        <w:t xml:space="preserve">Corrections à la dix-neuvième édition révisée </w:t>
      </w:r>
      <w:r w:rsidR="00CF3B8F">
        <w:rPr>
          <w:lang w:val="fr-FR"/>
        </w:rPr>
        <w:br/>
      </w:r>
      <w:r w:rsidRPr="0039277D">
        <w:rPr>
          <w:lang w:val="fr-FR"/>
        </w:rPr>
        <w:t xml:space="preserve">des Recommandations relatives au transport </w:t>
      </w:r>
      <w:r w:rsidR="00CF3B8F">
        <w:rPr>
          <w:lang w:val="fr-FR"/>
        </w:rPr>
        <w:br/>
      </w:r>
      <w:r w:rsidRPr="0039277D">
        <w:rPr>
          <w:lang w:val="fr-FR"/>
        </w:rPr>
        <w:t xml:space="preserve">des marchandises dangereuses, </w:t>
      </w:r>
      <w:r w:rsidR="00CF3B8F">
        <w:rPr>
          <w:lang w:val="fr-FR"/>
        </w:rPr>
        <w:br/>
      </w:r>
      <w:r w:rsidRPr="0039277D">
        <w:rPr>
          <w:lang w:val="fr-FR"/>
        </w:rPr>
        <w:t>Règlement type (ST/SG/AC.10/1/Rev.19)</w:t>
      </w:r>
    </w:p>
    <w:p w:rsidR="00D80597" w:rsidRPr="0039277D" w:rsidRDefault="00D80597" w:rsidP="00DF467B">
      <w:pPr>
        <w:pStyle w:val="H1G"/>
        <w:rPr>
          <w:lang w:val="fr-FR"/>
        </w:rPr>
      </w:pPr>
      <w:r w:rsidRPr="0039277D">
        <w:rPr>
          <w:lang w:val="fr-FR"/>
        </w:rPr>
        <w:tab/>
      </w:r>
      <w:r w:rsidRPr="0039277D">
        <w:rPr>
          <w:lang w:val="fr-FR"/>
        </w:rPr>
        <w:tab/>
        <w:t>(Voir le document ST/SG/AC.10/C.3/98/Add.1)</w:t>
      </w:r>
    </w:p>
    <w:p w:rsidR="00D80597" w:rsidRPr="0039277D" w:rsidRDefault="00D80597" w:rsidP="00DF467B">
      <w:pPr>
        <w:pStyle w:val="HChG"/>
        <w:rPr>
          <w:lang w:val="fr-FR"/>
        </w:rPr>
      </w:pPr>
      <w:r w:rsidRPr="0039277D">
        <w:rPr>
          <w:lang w:val="fr-FR"/>
        </w:rPr>
        <w:t>Annexe VI</w:t>
      </w:r>
    </w:p>
    <w:p w:rsidR="00D80597" w:rsidRPr="0039277D" w:rsidRDefault="00D80597" w:rsidP="00DF467B">
      <w:pPr>
        <w:pStyle w:val="HChG"/>
        <w:rPr>
          <w:lang w:val="fr-FR"/>
        </w:rPr>
      </w:pPr>
      <w:r w:rsidRPr="0039277D">
        <w:rPr>
          <w:lang w:val="fr-FR"/>
        </w:rPr>
        <w:tab/>
      </w:r>
      <w:r w:rsidRPr="0039277D">
        <w:rPr>
          <w:lang w:val="fr-FR"/>
        </w:rPr>
        <w:tab/>
        <w:t>Proposition d</w:t>
      </w:r>
      <w:r w:rsidR="0039277D" w:rsidRPr="0039277D">
        <w:rPr>
          <w:lang w:val="fr-FR"/>
        </w:rPr>
        <w:t>’</w:t>
      </w:r>
      <w:r w:rsidRPr="0039277D">
        <w:rPr>
          <w:lang w:val="fr-FR"/>
        </w:rPr>
        <w:t>amendements à la sixième édition révisée du Système général harmonisé de classification et d</w:t>
      </w:r>
      <w:r w:rsidR="0039277D" w:rsidRPr="0039277D">
        <w:rPr>
          <w:lang w:val="fr-FR"/>
        </w:rPr>
        <w:t>’</w:t>
      </w:r>
      <w:r w:rsidRPr="0039277D">
        <w:rPr>
          <w:lang w:val="fr-FR"/>
        </w:rPr>
        <w:t>étiquetage des produits chimiques (SGH) (ST/SG/AC.10/30/Rev.6)</w:t>
      </w:r>
    </w:p>
    <w:p w:rsidR="00D80597" w:rsidRPr="0039277D" w:rsidRDefault="00D80597" w:rsidP="00DF467B">
      <w:pPr>
        <w:pStyle w:val="H1G"/>
        <w:rPr>
          <w:lang w:val="fr-FR"/>
        </w:rPr>
      </w:pPr>
      <w:r w:rsidRPr="0039277D">
        <w:rPr>
          <w:lang w:val="fr-FR"/>
        </w:rPr>
        <w:tab/>
      </w:r>
      <w:r w:rsidRPr="0039277D">
        <w:rPr>
          <w:lang w:val="fr-FR"/>
        </w:rPr>
        <w:tab/>
        <w:t>(Voir le document ST/SG/AC.10/C.3/98/Add.1)</w:t>
      </w:r>
    </w:p>
    <w:p w:rsidR="00446FE5" w:rsidRPr="00DF467B" w:rsidRDefault="00DF467B" w:rsidP="00DF467B">
      <w:pPr>
        <w:pStyle w:val="SingleTxtG"/>
        <w:spacing w:before="240" w:after="0"/>
        <w:jc w:val="center"/>
        <w:rPr>
          <w:u w:val="single"/>
        </w:rPr>
      </w:pPr>
      <w:r>
        <w:rPr>
          <w:u w:val="single"/>
        </w:rPr>
        <w:tab/>
      </w:r>
      <w:r>
        <w:rPr>
          <w:u w:val="single"/>
        </w:rPr>
        <w:tab/>
      </w:r>
      <w:r>
        <w:rPr>
          <w:u w:val="single"/>
        </w:rPr>
        <w:tab/>
      </w:r>
    </w:p>
    <w:sectPr w:rsidR="00446FE5" w:rsidRPr="00DF467B" w:rsidSect="0039277D">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015" w:rsidRDefault="00C90015" w:rsidP="00F95C08">
      <w:pPr>
        <w:spacing w:line="240" w:lineRule="auto"/>
      </w:pPr>
    </w:p>
  </w:endnote>
  <w:endnote w:type="continuationSeparator" w:id="0">
    <w:p w:rsidR="00C90015" w:rsidRPr="00AC3823" w:rsidRDefault="00C90015" w:rsidP="00AC3823">
      <w:pPr>
        <w:pStyle w:val="Footer"/>
      </w:pPr>
    </w:p>
  </w:endnote>
  <w:endnote w:type="continuationNotice" w:id="1">
    <w:p w:rsidR="00C90015" w:rsidRDefault="00C900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15" w:rsidRPr="0039277D" w:rsidRDefault="00C90015" w:rsidP="0039277D">
    <w:pPr>
      <w:pStyle w:val="Footer"/>
      <w:tabs>
        <w:tab w:val="right" w:pos="9638"/>
      </w:tabs>
    </w:pPr>
    <w:r w:rsidRPr="0039277D">
      <w:rPr>
        <w:b/>
        <w:sz w:val="18"/>
      </w:rPr>
      <w:fldChar w:fldCharType="begin"/>
    </w:r>
    <w:r w:rsidRPr="0039277D">
      <w:rPr>
        <w:b/>
        <w:sz w:val="18"/>
      </w:rPr>
      <w:instrText xml:space="preserve"> PAGE  \* MERGEFORMAT </w:instrText>
    </w:r>
    <w:r w:rsidRPr="0039277D">
      <w:rPr>
        <w:b/>
        <w:sz w:val="18"/>
      </w:rPr>
      <w:fldChar w:fldCharType="separate"/>
    </w:r>
    <w:r w:rsidR="00BD5E46">
      <w:rPr>
        <w:b/>
        <w:noProof/>
        <w:sz w:val="18"/>
      </w:rPr>
      <w:t>34</w:t>
    </w:r>
    <w:r w:rsidRPr="0039277D">
      <w:rPr>
        <w:b/>
        <w:sz w:val="18"/>
      </w:rPr>
      <w:fldChar w:fldCharType="end"/>
    </w:r>
    <w:r>
      <w:rPr>
        <w:b/>
        <w:sz w:val="18"/>
      </w:rPr>
      <w:tab/>
    </w:r>
    <w:r>
      <w:t>GE.16-12631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15" w:rsidRPr="0039277D" w:rsidRDefault="00C90015" w:rsidP="0039277D">
    <w:pPr>
      <w:pStyle w:val="Footer"/>
      <w:tabs>
        <w:tab w:val="right" w:pos="9638"/>
      </w:tabs>
      <w:rPr>
        <w:b/>
        <w:sz w:val="18"/>
      </w:rPr>
    </w:pPr>
    <w:r>
      <w:t>GE.16-12631</w:t>
    </w:r>
    <w:r>
      <w:tab/>
    </w:r>
    <w:r w:rsidRPr="0039277D">
      <w:rPr>
        <w:b/>
        <w:sz w:val="18"/>
      </w:rPr>
      <w:fldChar w:fldCharType="begin"/>
    </w:r>
    <w:r w:rsidRPr="0039277D">
      <w:rPr>
        <w:b/>
        <w:sz w:val="18"/>
      </w:rPr>
      <w:instrText xml:space="preserve"> PAGE  \* MERGEFORMAT </w:instrText>
    </w:r>
    <w:r w:rsidRPr="0039277D">
      <w:rPr>
        <w:b/>
        <w:sz w:val="18"/>
      </w:rPr>
      <w:fldChar w:fldCharType="separate"/>
    </w:r>
    <w:r w:rsidR="00BD5E46">
      <w:rPr>
        <w:b/>
        <w:noProof/>
        <w:sz w:val="18"/>
      </w:rPr>
      <w:t>35</w:t>
    </w:r>
    <w:r w:rsidRPr="0039277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15" w:rsidRPr="0039277D" w:rsidRDefault="00C90015" w:rsidP="0039277D">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46830270" wp14:editId="2B017002">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16-12631  (F)    210217    240217</w:t>
    </w:r>
    <w:r>
      <w:rPr>
        <w:sz w:val="20"/>
      </w:rPr>
      <w:br/>
    </w:r>
    <w:r w:rsidRPr="0039277D">
      <w:rPr>
        <w:rFonts w:ascii="C39T30Lfz" w:hAnsi="C39T30Lfz"/>
        <w:sz w:val="56"/>
      </w:rPr>
      <w:t></w:t>
    </w:r>
    <w:r w:rsidRPr="0039277D">
      <w:rPr>
        <w:rFonts w:ascii="C39T30Lfz" w:hAnsi="C39T30Lfz"/>
        <w:sz w:val="56"/>
      </w:rPr>
      <w:t></w:t>
    </w:r>
    <w:r w:rsidRPr="0039277D">
      <w:rPr>
        <w:rFonts w:ascii="C39T30Lfz" w:hAnsi="C39T30Lfz"/>
        <w:sz w:val="56"/>
      </w:rPr>
      <w:t></w:t>
    </w:r>
    <w:r w:rsidRPr="0039277D">
      <w:rPr>
        <w:rFonts w:ascii="C39T30Lfz" w:hAnsi="C39T30Lfz"/>
        <w:sz w:val="56"/>
      </w:rPr>
      <w:t></w:t>
    </w:r>
    <w:r w:rsidRPr="0039277D">
      <w:rPr>
        <w:rFonts w:ascii="C39T30Lfz" w:hAnsi="C39T30Lfz"/>
        <w:sz w:val="56"/>
      </w:rPr>
      <w:t></w:t>
    </w:r>
    <w:r w:rsidRPr="0039277D">
      <w:rPr>
        <w:rFonts w:ascii="C39T30Lfz" w:hAnsi="C39T30Lfz"/>
        <w:sz w:val="56"/>
      </w:rPr>
      <w:t></w:t>
    </w:r>
    <w:r w:rsidRPr="0039277D">
      <w:rPr>
        <w:rFonts w:ascii="C39T30Lfz" w:hAnsi="C39T30Lfz"/>
        <w:sz w:val="56"/>
      </w:rPr>
      <w:t></w:t>
    </w:r>
    <w:r w:rsidRPr="0039277D">
      <w:rPr>
        <w:rFonts w:ascii="C39T30Lfz" w:hAnsi="C39T30Lfz"/>
        <w:sz w:val="56"/>
      </w:rPr>
      <w:t></w:t>
    </w:r>
    <w:r w:rsidRPr="0039277D">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9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9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015" w:rsidRPr="00AC3823" w:rsidRDefault="00C90015" w:rsidP="00AC3823">
      <w:pPr>
        <w:pStyle w:val="Footer"/>
        <w:tabs>
          <w:tab w:val="right" w:pos="2155"/>
        </w:tabs>
        <w:spacing w:after="80" w:line="240" w:lineRule="atLeast"/>
        <w:ind w:left="680"/>
        <w:rPr>
          <w:u w:val="single"/>
        </w:rPr>
      </w:pPr>
      <w:r>
        <w:rPr>
          <w:u w:val="single"/>
        </w:rPr>
        <w:tab/>
      </w:r>
    </w:p>
  </w:footnote>
  <w:footnote w:type="continuationSeparator" w:id="0">
    <w:p w:rsidR="00C90015" w:rsidRPr="00AC3823" w:rsidRDefault="00C90015" w:rsidP="00AC3823">
      <w:pPr>
        <w:pStyle w:val="Footer"/>
        <w:tabs>
          <w:tab w:val="right" w:pos="2155"/>
        </w:tabs>
        <w:spacing w:after="80" w:line="240" w:lineRule="atLeast"/>
        <w:ind w:left="680"/>
        <w:rPr>
          <w:u w:val="single"/>
        </w:rPr>
      </w:pPr>
      <w:r>
        <w:rPr>
          <w:u w:val="single"/>
        </w:rPr>
        <w:tab/>
      </w:r>
    </w:p>
  </w:footnote>
  <w:footnote w:type="continuationNotice" w:id="1">
    <w:p w:rsidR="00C90015" w:rsidRPr="00AC3823" w:rsidRDefault="00C90015">
      <w:pPr>
        <w:spacing w:line="240" w:lineRule="auto"/>
        <w:rPr>
          <w:sz w:val="2"/>
          <w:szCs w:val="2"/>
        </w:rPr>
      </w:pPr>
    </w:p>
  </w:footnote>
  <w:footnote w:id="2">
    <w:p w:rsidR="00C90015" w:rsidRDefault="00C90015">
      <w:pPr>
        <w:pStyle w:val="FootnoteText"/>
      </w:pPr>
      <w:r>
        <w:tab/>
      </w:r>
      <w:r>
        <w:rPr>
          <w:rStyle w:val="FootnoteReference"/>
        </w:rPr>
        <w:footnoteRef/>
      </w:r>
      <w:r>
        <w:tab/>
      </w:r>
      <w:r>
        <w:rPr>
          <w:lang w:val="fr-FR"/>
        </w:rPr>
        <w:t>Pour des raisons pratiques, cette annexe a été publiée dans un additif sous la cote ST/SG/AC.10/C.3/98/Add.1.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15" w:rsidRPr="0039277D" w:rsidRDefault="00C90015">
    <w:pPr>
      <w:pStyle w:val="Header"/>
    </w:pPr>
    <w:r>
      <w:t>ST/SG/AC.10/C.3/98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15" w:rsidRPr="0039277D" w:rsidRDefault="00C90015" w:rsidP="0039277D">
    <w:pPr>
      <w:pStyle w:val="Header"/>
      <w:jc w:val="right"/>
    </w:pPr>
    <w:r>
      <w:t>ST/SG/AC.10/C.3/98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76"/>
    <w:rsid w:val="00013A28"/>
    <w:rsid w:val="00017F94"/>
    <w:rsid w:val="00023842"/>
    <w:rsid w:val="000305D3"/>
    <w:rsid w:val="000334F9"/>
    <w:rsid w:val="0007796D"/>
    <w:rsid w:val="000B7790"/>
    <w:rsid w:val="000C6A76"/>
    <w:rsid w:val="000D7C82"/>
    <w:rsid w:val="000E0F45"/>
    <w:rsid w:val="00111F2F"/>
    <w:rsid w:val="00132EA9"/>
    <w:rsid w:val="0014365E"/>
    <w:rsid w:val="00176178"/>
    <w:rsid w:val="001F071F"/>
    <w:rsid w:val="001F525A"/>
    <w:rsid w:val="00223272"/>
    <w:rsid w:val="0024779E"/>
    <w:rsid w:val="00283190"/>
    <w:rsid w:val="002832AC"/>
    <w:rsid w:val="002D7C93"/>
    <w:rsid w:val="0039277D"/>
    <w:rsid w:val="00435345"/>
    <w:rsid w:val="00441C3B"/>
    <w:rsid w:val="00446FE5"/>
    <w:rsid w:val="00452396"/>
    <w:rsid w:val="00482ACA"/>
    <w:rsid w:val="004B0CB3"/>
    <w:rsid w:val="004C3157"/>
    <w:rsid w:val="004C6102"/>
    <w:rsid w:val="004E468C"/>
    <w:rsid w:val="005505B7"/>
    <w:rsid w:val="00573BE5"/>
    <w:rsid w:val="00586ED3"/>
    <w:rsid w:val="00595A1C"/>
    <w:rsid w:val="00596AA9"/>
    <w:rsid w:val="00642433"/>
    <w:rsid w:val="0066043C"/>
    <w:rsid w:val="006608EB"/>
    <w:rsid w:val="006757F9"/>
    <w:rsid w:val="0068456F"/>
    <w:rsid w:val="006E05DE"/>
    <w:rsid w:val="006E33BB"/>
    <w:rsid w:val="006F11CE"/>
    <w:rsid w:val="0071601D"/>
    <w:rsid w:val="007340F5"/>
    <w:rsid w:val="007A62E6"/>
    <w:rsid w:val="007B23D1"/>
    <w:rsid w:val="0080684C"/>
    <w:rsid w:val="00816DE6"/>
    <w:rsid w:val="00837FAE"/>
    <w:rsid w:val="00855C98"/>
    <w:rsid w:val="00871C75"/>
    <w:rsid w:val="008776DC"/>
    <w:rsid w:val="008813A0"/>
    <w:rsid w:val="0089481E"/>
    <w:rsid w:val="00895BBA"/>
    <w:rsid w:val="008B3C58"/>
    <w:rsid w:val="008D1FF7"/>
    <w:rsid w:val="008D29BC"/>
    <w:rsid w:val="009705C8"/>
    <w:rsid w:val="009C1CF4"/>
    <w:rsid w:val="00A1358D"/>
    <w:rsid w:val="00A30353"/>
    <w:rsid w:val="00A62F92"/>
    <w:rsid w:val="00AC3823"/>
    <w:rsid w:val="00AE323C"/>
    <w:rsid w:val="00B00181"/>
    <w:rsid w:val="00B00B0D"/>
    <w:rsid w:val="00B1297F"/>
    <w:rsid w:val="00B765F7"/>
    <w:rsid w:val="00BA0CA9"/>
    <w:rsid w:val="00BD5E46"/>
    <w:rsid w:val="00C02897"/>
    <w:rsid w:val="00C418D8"/>
    <w:rsid w:val="00C90015"/>
    <w:rsid w:val="00CD7394"/>
    <w:rsid w:val="00CF3B8F"/>
    <w:rsid w:val="00D308D8"/>
    <w:rsid w:val="00D3439C"/>
    <w:rsid w:val="00D6104D"/>
    <w:rsid w:val="00D80597"/>
    <w:rsid w:val="00DB1831"/>
    <w:rsid w:val="00DD3BFD"/>
    <w:rsid w:val="00DF467B"/>
    <w:rsid w:val="00DF6678"/>
    <w:rsid w:val="00E12FEC"/>
    <w:rsid w:val="00EF2E22"/>
    <w:rsid w:val="00F660DF"/>
    <w:rsid w:val="00F730C8"/>
    <w:rsid w:val="00F76B8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table" w:styleId="Table3Deffects1">
    <w:name w:val="Table 3D effects 1"/>
    <w:basedOn w:val="TableNormal"/>
    <w:rsid w:val="0039277D"/>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9277D"/>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9277D"/>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9277D"/>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9277D"/>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9277D"/>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9277D"/>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9277D"/>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9277D"/>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9277D"/>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9277D"/>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9277D"/>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9277D"/>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9277D"/>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9277D"/>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9277D"/>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9277D"/>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9277D"/>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9277D"/>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9277D"/>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9277D"/>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9277D"/>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9277D"/>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9277D"/>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9277D"/>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9277D"/>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table" w:styleId="Table3Deffects1">
    <w:name w:val="Table 3D effects 1"/>
    <w:basedOn w:val="TableNormal"/>
    <w:rsid w:val="0039277D"/>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9277D"/>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9277D"/>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9277D"/>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9277D"/>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9277D"/>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9277D"/>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9277D"/>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9277D"/>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9277D"/>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9277D"/>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9277D"/>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9277D"/>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9277D"/>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9277D"/>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9277D"/>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9277D"/>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9277D"/>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9277D"/>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9277D"/>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9277D"/>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9277D"/>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9277D"/>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9277D"/>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9277D"/>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9277D"/>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9277D"/>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597B1-2EB5-40C4-B834-7FA45BF6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12501</Words>
  <Characters>71260</Characters>
  <Application>Microsoft Office Word</Application>
  <DocSecurity>0</DocSecurity>
  <Lines>593</Lines>
  <Paragraphs>167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ST/SG/AC.10/C.3/98</vt:lpstr>
      <vt:lpstr>ST/SG/AC.10/C.3/98</vt:lpstr>
    </vt:vector>
  </TitlesOfParts>
  <Company>DCM</Company>
  <LinksUpToDate>false</LinksUpToDate>
  <CharactersWithSpaces>83594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ST/SG/AC.10/C.3/98</dc:title>
  <dc:subject>Final</dc:subject>
  <dc:creator>Moret</dc:creator>
  <cp:lastModifiedBy>Laurence Berthet</cp:lastModifiedBy>
  <cp:revision>2</cp:revision>
  <cp:lastPrinted>2017-02-24T09:41:00Z</cp:lastPrinted>
  <dcterms:created xsi:type="dcterms:W3CDTF">2017-07-10T10:38:00Z</dcterms:created>
  <dcterms:modified xsi:type="dcterms:W3CDTF">2017-07-10T10:38:00Z</dcterms:modified>
</cp:coreProperties>
</file>