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3F534776" w:rsidR="0048539B" w:rsidRPr="006500BA" w:rsidRDefault="0048539B" w:rsidP="00FB0119">
            <w:pPr>
              <w:jc w:val="right"/>
            </w:pPr>
            <w:r w:rsidRPr="00FE646C">
              <w:rPr>
                <w:sz w:val="40"/>
              </w:rPr>
              <w:t>ST</w:t>
            </w:r>
            <w:r>
              <w:t>/SG/AC.10/C.3/</w:t>
            </w:r>
            <w:r w:rsidR="00FB0119">
              <w:t>2018</w:t>
            </w:r>
            <w:r>
              <w:t>/</w:t>
            </w:r>
            <w:r w:rsidR="0000176C">
              <w:t>6</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588AA5BD" w:rsidR="0048539B" w:rsidRPr="00BC53AB" w:rsidRDefault="00E4094C" w:rsidP="00E4094C">
            <w:pPr>
              <w:spacing w:before="240" w:line="240" w:lineRule="exact"/>
            </w:pPr>
            <w:r>
              <w:t>Distr.: General</w:t>
            </w:r>
            <w:r w:rsidR="00934214">
              <w:br/>
            </w:r>
            <w:r w:rsidR="00BC53AB" w:rsidRPr="00BC53AB">
              <w:t>6 March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546BC2A6"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Item 2 (j</w:t>
      </w:r>
      <w:r w:rsidR="009D3AC0" w:rsidRPr="009D3AC0">
        <w:t>) of the provisional agenda</w:t>
      </w:r>
    </w:p>
    <w:p w14:paraId="5ADC3DE7" w14:textId="28369296" w:rsidR="009D1575" w:rsidRPr="00E73F7D" w:rsidRDefault="00A45011" w:rsidP="00A616D6">
      <w:pPr>
        <w:pStyle w:val="HChG"/>
        <w:spacing w:before="0" w:line="240" w:lineRule="auto"/>
        <w:ind w:left="0" w:firstLine="0"/>
        <w:rPr>
          <w:szCs w:val="28"/>
        </w:rPr>
      </w:pPr>
      <w:r w:rsidRPr="00A45011">
        <w:rPr>
          <w:sz w:val="20"/>
        </w:rPr>
        <w:t>E</w:t>
      </w:r>
      <w:r>
        <w:rPr>
          <w:sz w:val="20"/>
        </w:rPr>
        <w:t>xplosives and related matters</w:t>
      </w:r>
      <w:r w:rsidRPr="00A45011">
        <w:rPr>
          <w:sz w:val="20"/>
        </w:rPr>
        <w:t>:</w:t>
      </w:r>
      <w:r w:rsidR="00A616D6">
        <w:rPr>
          <w:sz w:val="20"/>
        </w:rPr>
        <w:br/>
      </w:r>
      <w:r>
        <w:rPr>
          <w:sz w:val="20"/>
        </w:rPr>
        <w:t>Miscellaneous</w:t>
      </w:r>
    </w:p>
    <w:p w14:paraId="4E3FA2DB" w14:textId="14A03057" w:rsidR="009D3AC0" w:rsidRPr="003C5896" w:rsidRDefault="009D1575" w:rsidP="003C5896">
      <w:pPr>
        <w:pStyle w:val="HChG"/>
      </w:pPr>
      <w:r w:rsidRPr="003C5896">
        <w:tab/>
      </w:r>
      <w:r w:rsidRPr="003C5896">
        <w:tab/>
      </w:r>
      <w:r w:rsidR="00A45011" w:rsidRPr="00A45011">
        <w:t xml:space="preserve">Update of </w:t>
      </w:r>
      <w:r w:rsidR="007C21B2">
        <w:t xml:space="preserve">the </w:t>
      </w:r>
      <w:r w:rsidR="00A45011" w:rsidRPr="00A45011">
        <w:t xml:space="preserve">reference to ISO </w:t>
      </w:r>
      <w:r w:rsidR="00F5428E">
        <w:t>12097</w:t>
      </w:r>
      <w:r w:rsidR="00A45011" w:rsidRPr="00A45011">
        <w:t xml:space="preserve"> in </w:t>
      </w:r>
      <w:r w:rsidR="007C21B2">
        <w:t xml:space="preserve">section 2.1.3.6.4 of </w:t>
      </w:r>
      <w:r w:rsidR="00A45011" w:rsidRPr="00A45011">
        <w:t>the Model Regulations</w:t>
      </w:r>
    </w:p>
    <w:p w14:paraId="7A578086" w14:textId="1FC15F31" w:rsidR="00D938D5" w:rsidRPr="003C5896" w:rsidRDefault="009D3AC0" w:rsidP="003C5896">
      <w:pPr>
        <w:pStyle w:val="H1G"/>
      </w:pPr>
      <w:r w:rsidRPr="003C5896">
        <w:tab/>
      </w:r>
      <w:r w:rsidRPr="003C5896">
        <w:tab/>
      </w:r>
      <w:r w:rsidR="00D938D5" w:rsidRPr="003C5896">
        <w:t xml:space="preserve">Transmitted by the expert from the </w:t>
      </w:r>
      <w:r w:rsidR="00A45011">
        <w:t>Germany</w:t>
      </w:r>
      <w:r w:rsidR="003606EC" w:rsidRPr="003C5896">
        <w:rPr>
          <w:rStyle w:val="FootnoteReference"/>
          <w:sz w:val="24"/>
          <w:vertAlign w:val="baseline"/>
        </w:rPr>
        <w:footnoteReference w:id="2"/>
      </w:r>
    </w:p>
    <w:p w14:paraId="09EA9423" w14:textId="77777777" w:rsidR="00D938D5" w:rsidRPr="003C5896" w:rsidRDefault="00D938D5" w:rsidP="003C5896">
      <w:pPr>
        <w:pStyle w:val="HChG"/>
      </w:pPr>
      <w:r w:rsidRPr="003C5896">
        <w:tab/>
      </w:r>
      <w:r w:rsidRPr="003C5896">
        <w:tab/>
        <w:t>Introduction</w:t>
      </w:r>
      <w:r w:rsidR="009905DF" w:rsidRPr="003C5896">
        <w:t xml:space="preserve"> </w:t>
      </w:r>
    </w:p>
    <w:p w14:paraId="042E41EC" w14:textId="296BA15C" w:rsidR="00F5428E" w:rsidRDefault="00F5428E" w:rsidP="00F5428E">
      <w:pPr>
        <w:pStyle w:val="SingleTxtG"/>
      </w:pPr>
      <w:r>
        <w:t>1.</w:t>
      </w:r>
      <w:r>
        <w:tab/>
        <w:t>The standard  ISO 12097 is mentioned in the Model Regulations in section 2.1.3.6.4</w:t>
      </w:r>
      <w:r w:rsidR="00F730FE">
        <w:t> </w:t>
      </w:r>
      <w:r>
        <w:t xml:space="preserve">(b) and is referenced as an example, how to perform a fire test on a single </w:t>
      </w:r>
      <w:r w:rsidR="00362C66">
        <w:t xml:space="preserve">explosive </w:t>
      </w:r>
      <w:r>
        <w:t>article being candidate for exclusion from class 1.</w:t>
      </w:r>
    </w:p>
    <w:p w14:paraId="15FA5D92" w14:textId="1F43F853" w:rsidR="009905DF" w:rsidRPr="003C5896" w:rsidRDefault="005725E1" w:rsidP="00F5428E">
      <w:pPr>
        <w:pStyle w:val="SingleTxtG"/>
      </w:pPr>
      <w:r w:rsidRPr="003C5896">
        <w:t>2.</w:t>
      </w:r>
      <w:r w:rsidRPr="003C5896">
        <w:tab/>
      </w:r>
      <w:r w:rsidR="00F5428E">
        <w:t>According to section 2.1.3.6.4</w:t>
      </w:r>
      <w:r w:rsidR="00985142">
        <w:t>,</w:t>
      </w:r>
      <w:r w:rsidR="00F5428E">
        <w:t xml:space="preserve"> </w:t>
      </w:r>
      <w:r w:rsidR="00985142">
        <w:t xml:space="preserve">one of the criteria for the exclusion from class 1 of </w:t>
      </w:r>
      <w:r w:rsidR="00F5428E">
        <w:t xml:space="preserve">an explosive article </w:t>
      </w:r>
      <w:r w:rsidR="00985142">
        <w:t xml:space="preserve">is to test on </w:t>
      </w:r>
      <w:r w:rsidR="00F5428E">
        <w:t xml:space="preserve">“… </w:t>
      </w:r>
      <w:r w:rsidR="00F5428E" w:rsidRPr="00F730FE">
        <w:rPr>
          <w:i/>
        </w:rPr>
        <w:t>no rupture or fragmentation of the external casing</w:t>
      </w:r>
      <w:r w:rsidR="00743AD6">
        <w:t xml:space="preserve"> </w:t>
      </w:r>
      <w:r w:rsidR="00F5428E">
        <w:t xml:space="preserve">…” </w:t>
      </w:r>
      <w:r w:rsidR="00985142">
        <w:t>when operated as designed or comes to functioning by an external fire.</w:t>
      </w:r>
    </w:p>
    <w:p w14:paraId="40E47112" w14:textId="20AD3D88" w:rsidR="00D9479A" w:rsidRPr="003C5896" w:rsidRDefault="005725E1" w:rsidP="003C5896">
      <w:pPr>
        <w:pStyle w:val="SingleTxtG"/>
      </w:pPr>
      <w:r w:rsidRPr="003C5896">
        <w:t>3.</w:t>
      </w:r>
      <w:r w:rsidRPr="003C5896">
        <w:tab/>
      </w:r>
      <w:r w:rsidR="00DF37FD">
        <w:t xml:space="preserve">During the </w:t>
      </w:r>
      <w:r w:rsidR="0000176C">
        <w:t>fifty-second</w:t>
      </w:r>
      <w:r w:rsidR="00DF37FD">
        <w:t xml:space="preserve"> </w:t>
      </w:r>
      <w:r w:rsidR="00362C66">
        <w:t xml:space="preserve">session </w:t>
      </w:r>
      <w:r w:rsidR="002E04D4">
        <w:t>the update</w:t>
      </w:r>
      <w:r w:rsidR="00DF37FD">
        <w:t xml:space="preserve"> of the reference to the more current </w:t>
      </w:r>
      <w:r w:rsidR="00362C66">
        <w:t xml:space="preserve">and more suitable </w:t>
      </w:r>
      <w:r w:rsidR="00DF37FD">
        <w:t>standard ISO 14451</w:t>
      </w:r>
      <w:r w:rsidR="00362C66">
        <w:t xml:space="preserve"> </w:t>
      </w:r>
      <w:r w:rsidR="00DF37FD">
        <w:t>was discussed</w:t>
      </w:r>
      <w:r w:rsidR="007A5CB6">
        <w:t xml:space="preserve"> </w:t>
      </w:r>
      <w:proofErr w:type="gramStart"/>
      <w:r w:rsidR="007A5CB6">
        <w:t>on the basis of</w:t>
      </w:r>
      <w:proofErr w:type="gramEnd"/>
      <w:r w:rsidR="007A5CB6">
        <w:t xml:space="preserve"> informal document </w:t>
      </w:r>
      <w:r w:rsidR="0000176C">
        <w:t>INF.</w:t>
      </w:r>
      <w:r w:rsidR="007A5CB6">
        <w:t>10</w:t>
      </w:r>
      <w:r w:rsidR="00DF37FD">
        <w:t>. The conclusion was general support for the sugges</w:t>
      </w:r>
      <w:r w:rsidR="00362C66">
        <w:t>ted replacement of the reference</w:t>
      </w:r>
      <w:r w:rsidR="00DF37FD">
        <w:t xml:space="preserve">. </w:t>
      </w:r>
      <w:r w:rsidR="00362C66">
        <w:t xml:space="preserve">The report of the “Working group on Explosives” (see </w:t>
      </w:r>
      <w:r w:rsidR="0000176C">
        <w:t xml:space="preserve">informal </w:t>
      </w:r>
      <w:r w:rsidR="00362C66">
        <w:t xml:space="preserve">document </w:t>
      </w:r>
      <w:r w:rsidR="00362C66" w:rsidRPr="00DF37FD">
        <w:t>INF.53</w:t>
      </w:r>
      <w:r w:rsidR="0000176C">
        <w:t xml:space="preserve"> (52</w:t>
      </w:r>
      <w:r w:rsidR="0000176C" w:rsidRPr="0000176C">
        <w:rPr>
          <w:vertAlign w:val="superscript"/>
        </w:rPr>
        <w:t>nd</w:t>
      </w:r>
      <w:r w:rsidR="0000176C">
        <w:t xml:space="preserve"> session)</w:t>
      </w:r>
      <w:r w:rsidR="00362C66">
        <w:t>)</w:t>
      </w:r>
      <w:r w:rsidR="00362C66" w:rsidRPr="003C5896">
        <w:t xml:space="preserve"> </w:t>
      </w:r>
      <w:r w:rsidR="00362C66">
        <w:t>indicated that Germany would come forward with a formal proposal.</w:t>
      </w:r>
      <w:r w:rsidR="00362C66" w:rsidRPr="00362C66">
        <w:t xml:space="preserve"> </w:t>
      </w:r>
      <w:r w:rsidR="00362C66">
        <w:t>The proposal in this paper offers the amended wording as it resulted from the discussion in the working group.</w:t>
      </w:r>
    </w:p>
    <w:p w14:paraId="16D2A0E0" w14:textId="77777777" w:rsidR="009905DF" w:rsidRDefault="009905DF" w:rsidP="003368A3">
      <w:pPr>
        <w:pStyle w:val="HChG"/>
        <w:ind w:left="1080" w:firstLine="0"/>
      </w:pPr>
      <w:r w:rsidRPr="009905DF">
        <w:t>Background</w:t>
      </w:r>
      <w:r>
        <w:t xml:space="preserve"> </w:t>
      </w:r>
    </w:p>
    <w:p w14:paraId="5BC235E4" w14:textId="74B2553C" w:rsidR="00F730FE" w:rsidRDefault="005725E1" w:rsidP="00F730FE">
      <w:pPr>
        <w:pStyle w:val="SingleTxtG"/>
      </w:pPr>
      <w:r>
        <w:t>4.</w:t>
      </w:r>
      <w:r>
        <w:tab/>
      </w:r>
      <w:r w:rsidR="00A53F09">
        <w:t>The standard ISO 12097</w:t>
      </w:r>
      <w:r w:rsidR="00B916AF">
        <w:t xml:space="preserve"> </w:t>
      </w:r>
      <w:r w:rsidR="00A53F09">
        <w:t xml:space="preserve">was </w:t>
      </w:r>
      <w:r w:rsidR="00B916AF">
        <w:t>first published in 2002</w:t>
      </w:r>
      <w:r w:rsidR="00362C66">
        <w:t xml:space="preserve"> with the scope being</w:t>
      </w:r>
      <w:r w:rsidR="00B916AF">
        <w:t xml:space="preserve"> airbag components and inflators</w:t>
      </w:r>
      <w:r w:rsidR="00A53F09">
        <w:t xml:space="preserve">. During the time after the standard </w:t>
      </w:r>
      <w:r w:rsidR="00B916AF">
        <w:t>had been</w:t>
      </w:r>
      <w:r w:rsidR="00A53F09">
        <w:t xml:space="preserve"> published, </w:t>
      </w:r>
      <w:r w:rsidR="00B916AF">
        <w:t xml:space="preserve">experts began to narrow down the specifications of </w:t>
      </w:r>
      <w:r w:rsidR="00A53F09">
        <w:t>the f</w:t>
      </w:r>
      <w:r w:rsidR="00B916AF">
        <w:t>ire test described in section 7.4</w:t>
      </w:r>
      <w:r w:rsidR="00A53F09">
        <w:t xml:space="preserve"> of part 3 of this</w:t>
      </w:r>
      <w:r w:rsidR="00B916AF">
        <w:t xml:space="preserve"> standard, in order to guarantee more reproducible and comparable</w:t>
      </w:r>
      <w:r w:rsidR="00362C66">
        <w:t xml:space="preserve"> test</w:t>
      </w:r>
      <w:r w:rsidR="00B916AF">
        <w:t xml:space="preserve"> results. The </w:t>
      </w:r>
      <w:r w:rsidR="00362C66">
        <w:lastRenderedPageBreak/>
        <w:t>improved specifications</w:t>
      </w:r>
      <w:r w:rsidR="00B916AF">
        <w:t xml:space="preserve"> entered the text of </w:t>
      </w:r>
      <w:r w:rsidR="00A53F09">
        <w:t>the more recent standard ISO 14451</w:t>
      </w:r>
      <w:r w:rsidR="00362C66">
        <w:t>, which in addition has a wider scope being</w:t>
      </w:r>
      <w:r w:rsidR="00B916AF">
        <w:t xml:space="preserve"> </w:t>
      </w:r>
      <w:r w:rsidR="00362C66">
        <w:t>“</w:t>
      </w:r>
      <w:r w:rsidR="00B916AF">
        <w:t>pyrotechnic articles for vehicles</w:t>
      </w:r>
      <w:r w:rsidR="00362C66">
        <w:t>”</w:t>
      </w:r>
      <w:r w:rsidR="00B916AF">
        <w:t xml:space="preserve"> in general.</w:t>
      </w:r>
    </w:p>
    <w:p w14:paraId="0D453806" w14:textId="7F5968F1" w:rsidR="00F730FE" w:rsidRDefault="00F730FE" w:rsidP="00F730FE">
      <w:pPr>
        <w:pStyle w:val="SingleTxtG"/>
      </w:pPr>
      <w:r>
        <w:t>5.</w:t>
      </w:r>
      <w:r>
        <w:tab/>
        <w:t xml:space="preserve">Therefore, the fire test described in part 3 of ISO 14451 is </w:t>
      </w:r>
      <w:r w:rsidR="00362C66">
        <w:t xml:space="preserve">technically </w:t>
      </w:r>
      <w:r>
        <w:t>a direct replacement of the fire test currently referenced in the Model Regulations, the only difference being improved specifications enabling better application of the test. And, since criteria and test description have been separated in the ISO 14451 series, the heating rate of 80 K/min to be applied in the test</w:t>
      </w:r>
      <w:r w:rsidR="00362C66">
        <w:t>,</w:t>
      </w:r>
      <w:r>
        <w:t xml:space="preserve"> now needs to be mentione</w:t>
      </w:r>
      <w:r w:rsidR="00362C66">
        <w:t>d explicitly</w:t>
      </w:r>
      <w:r>
        <w:t xml:space="preserve"> to be consistent with the previous prescriptions. The background repeated</w:t>
      </w:r>
      <w:r w:rsidR="00362C66" w:rsidRPr="00362C66">
        <w:t xml:space="preserve"> </w:t>
      </w:r>
      <w:r w:rsidR="00362C66">
        <w:t>in brief</w:t>
      </w:r>
      <w:r>
        <w:t xml:space="preserve"> here</w:t>
      </w:r>
      <w:r w:rsidR="00362C66">
        <w:t>,</w:t>
      </w:r>
      <w:r>
        <w:t xml:space="preserve"> </w:t>
      </w:r>
      <w:r w:rsidR="00362C66">
        <w:t>had already been</w:t>
      </w:r>
      <w:r>
        <w:t xml:space="preserve"> appreciated by the </w:t>
      </w:r>
      <w:r w:rsidR="00362C66">
        <w:t>“</w:t>
      </w:r>
      <w:r>
        <w:t>Working Group on Explosives</w:t>
      </w:r>
      <w:r w:rsidR="00362C66">
        <w:t>”</w:t>
      </w:r>
      <w:r>
        <w:t xml:space="preserve"> during the last session.</w:t>
      </w:r>
    </w:p>
    <w:p w14:paraId="244BF41A" w14:textId="77777777" w:rsidR="00353734" w:rsidRDefault="00353734" w:rsidP="001A356B">
      <w:pPr>
        <w:pStyle w:val="HChG"/>
        <w:spacing w:before="240" w:after="120"/>
        <w:ind w:left="1077" w:firstLine="0"/>
      </w:pPr>
      <w:r w:rsidRPr="005D5D6B">
        <w:t>P</w:t>
      </w:r>
      <w:r>
        <w:t>roposal</w:t>
      </w:r>
    </w:p>
    <w:p w14:paraId="2729BDD3" w14:textId="665CF44A" w:rsidR="00B9329E" w:rsidRDefault="005725E1" w:rsidP="00F730FE">
      <w:pPr>
        <w:pStyle w:val="SingleTxtG"/>
      </w:pPr>
      <w:r>
        <w:t>6.</w:t>
      </w:r>
      <w:r>
        <w:tab/>
      </w:r>
      <w:r w:rsidR="00F730FE">
        <w:t xml:space="preserve">Replace in section 2.1.3.6.4 of the Model Regulations the reference to ISO 12097-3 by the corresponding reference to ISO 14451-2 </w:t>
      </w:r>
      <w:r w:rsidR="005C3EC6">
        <w:t>explicitly mentioning the heating rate of 80 K/min, as indicated below.</w:t>
      </w:r>
    </w:p>
    <w:p w14:paraId="61D487AF" w14:textId="385E32B3" w:rsidR="00A25B13" w:rsidRDefault="005C3EC6" w:rsidP="00A25B13">
      <w:pPr>
        <w:pStyle w:val="SingleTxtG"/>
      </w:pPr>
      <w:r>
        <w:t>7.</w:t>
      </w:r>
      <w:r>
        <w:tab/>
      </w:r>
      <w:bookmarkStart w:id="0" w:name="_GoBack"/>
      <w:bookmarkEnd w:id="0"/>
      <w:r w:rsidR="00A25B13">
        <w:t>Amend the Note in 2.1.3.6.4 (b) to read as follows</w:t>
      </w:r>
      <w:r w:rsidR="007C21B2">
        <w:t xml:space="preserve"> (amendment underlined)</w:t>
      </w:r>
      <w:r w:rsidR="00A25B13">
        <w:t>:</w:t>
      </w:r>
    </w:p>
    <w:p w14:paraId="1970EBAF" w14:textId="786E9792" w:rsidR="00B9329E" w:rsidRPr="00581EFE" w:rsidRDefault="00A25B13" w:rsidP="007C21B2">
      <w:pPr>
        <w:pStyle w:val="SingleTxtG"/>
        <w:ind w:left="1701"/>
      </w:pPr>
      <w:r>
        <w:t>“</w:t>
      </w:r>
      <w:r w:rsidRPr="007C21B2">
        <w:rPr>
          <w:b/>
          <w:i/>
        </w:rPr>
        <w:t>NOTE:</w:t>
      </w:r>
      <w:r w:rsidRPr="007C21B2">
        <w:rPr>
          <w:i/>
        </w:rPr>
        <w:t xml:space="preserve"> Where the integrity of the article may be affected in the event of an external fire, these criteria shall be examined by a fire test such as described in ISO </w:t>
      </w:r>
      <w:r w:rsidRPr="007C21B2">
        <w:rPr>
          <w:i/>
          <w:u w:val="single"/>
        </w:rPr>
        <w:t>14451-2</w:t>
      </w:r>
      <w:r w:rsidR="007C21B2" w:rsidRPr="007C21B2">
        <w:rPr>
          <w:i/>
          <w:u w:val="single"/>
        </w:rPr>
        <w:t xml:space="preserve"> </w:t>
      </w:r>
      <w:r w:rsidR="007C21B2">
        <w:rPr>
          <w:i/>
          <w:u w:val="single"/>
        </w:rPr>
        <w:t>while using a</w:t>
      </w:r>
      <w:r w:rsidRPr="007C21B2">
        <w:rPr>
          <w:i/>
          <w:u w:val="single"/>
        </w:rPr>
        <w:t xml:space="preserve"> heating rate </w:t>
      </w:r>
      <w:r w:rsidR="007C21B2">
        <w:rPr>
          <w:i/>
          <w:u w:val="single"/>
        </w:rPr>
        <w:t>of</w:t>
      </w:r>
      <w:r w:rsidRPr="007C21B2">
        <w:rPr>
          <w:i/>
          <w:u w:val="single"/>
        </w:rPr>
        <w:t xml:space="preserve"> 80 K/min</w:t>
      </w:r>
      <w:r w:rsidRPr="007C21B2">
        <w:rPr>
          <w:i/>
        </w:rPr>
        <w:t>.</w:t>
      </w:r>
      <w:r>
        <w:t>”</w:t>
      </w:r>
    </w:p>
    <w:p w14:paraId="7E430120" w14:textId="777CFCA5" w:rsidR="00DE7C34" w:rsidRPr="00DE7C34" w:rsidRDefault="00DE7C34" w:rsidP="00DE7C34">
      <w:pPr>
        <w:pStyle w:val="SingleTxtG"/>
        <w:spacing w:before="240" w:after="0"/>
        <w:jc w:val="center"/>
        <w:rPr>
          <w:u w:val="single"/>
        </w:rPr>
      </w:pPr>
      <w:r>
        <w:rPr>
          <w:u w:val="single"/>
        </w:rPr>
        <w:tab/>
      </w:r>
      <w:r>
        <w:rPr>
          <w:u w:val="single"/>
        </w:rPr>
        <w:tab/>
      </w:r>
      <w:r>
        <w:rPr>
          <w:u w:val="single"/>
        </w:rPr>
        <w:tab/>
      </w:r>
    </w:p>
    <w:sectPr w:rsidR="00DE7C34" w:rsidRPr="00DE7C34"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21652F3E"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7C17FB">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57ED0AD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DA4D3F">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484AB772" w14:textId="4846D53D" w:rsidR="003606EC" w:rsidRPr="003606EC" w:rsidRDefault="003606EC" w:rsidP="003606EC">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54C0B45B" w:rsidR="009D3AC0" w:rsidRPr="006C6A56" w:rsidRDefault="0020121B" w:rsidP="006C6A56">
    <w:pPr>
      <w:pStyle w:val="Header"/>
    </w:pPr>
    <w:r>
      <w:t>ST/SG/AC.10/C.3/</w:t>
    </w:r>
    <w:r w:rsidR="003C5896">
      <w:t>2018</w:t>
    </w:r>
    <w:r w:rsidR="0000176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478A4BD2"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5"/>
  </w:num>
  <w:num w:numId="6">
    <w:abstractNumId w:val="3"/>
  </w:num>
  <w:num w:numId="7">
    <w:abstractNumId w:val="2"/>
  </w:num>
  <w:num w:numId="8">
    <w:abstractNumId w:val="8"/>
  </w:num>
  <w:num w:numId="9">
    <w:abstractNumId w:val="7"/>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176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675E"/>
    <w:rsid w:val="005B793F"/>
    <w:rsid w:val="005C2712"/>
    <w:rsid w:val="005C3EC6"/>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43AD6"/>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17FB"/>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3628"/>
    <w:rsid w:val="00A37036"/>
    <w:rsid w:val="00A37B8D"/>
    <w:rsid w:val="00A41E7E"/>
    <w:rsid w:val="00A4329A"/>
    <w:rsid w:val="00A4390F"/>
    <w:rsid w:val="00A45011"/>
    <w:rsid w:val="00A45273"/>
    <w:rsid w:val="00A47FEB"/>
    <w:rsid w:val="00A51BA2"/>
    <w:rsid w:val="00A53F09"/>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108E"/>
    <w:rsid w:val="00B65789"/>
    <w:rsid w:val="00B712CD"/>
    <w:rsid w:val="00B72447"/>
    <w:rsid w:val="00B73980"/>
    <w:rsid w:val="00B73E97"/>
    <w:rsid w:val="00B77DD4"/>
    <w:rsid w:val="00B81E12"/>
    <w:rsid w:val="00B84F89"/>
    <w:rsid w:val="00B87468"/>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02E8"/>
    <w:rsid w:val="00D4272F"/>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B5D0F"/>
    <w:rsid w:val="00DC1254"/>
    <w:rsid w:val="00DC1A84"/>
    <w:rsid w:val="00DC3242"/>
    <w:rsid w:val="00DC5FDF"/>
    <w:rsid w:val="00DD0C65"/>
    <w:rsid w:val="00DD0EA3"/>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5690"/>
    <w:rsid w:val="00EB31E8"/>
    <w:rsid w:val="00EB3CF7"/>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106B09"/>
  <w15:docId w15:val="{75C31F4B-9573-4DC7-8B0A-B1C31C8B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3B00-4468-4696-8BA3-39B0BD09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2</Pages>
  <Words>520</Words>
  <Characters>2705</Characters>
  <Application>Microsoft Office Word</Application>
  <DocSecurity>0</DocSecurity>
  <Lines>57</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2018-03-06T14:48:00Z</cp:lastPrinted>
  <dcterms:created xsi:type="dcterms:W3CDTF">2018-03-06T13:30:00Z</dcterms:created>
  <dcterms:modified xsi:type="dcterms:W3CDTF">2018-03-06T14:49:00Z</dcterms:modified>
</cp:coreProperties>
</file>