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161F8D">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161F8D" w:rsidP="00161F8D">
            <w:pPr>
              <w:jc w:val="right"/>
            </w:pPr>
            <w:r w:rsidRPr="00161F8D">
              <w:rPr>
                <w:sz w:val="40"/>
              </w:rPr>
              <w:t>ST</w:t>
            </w:r>
            <w:r>
              <w:t>/SG/AC.10/C.3/2017/42</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val="en-GB" w:eastAsia="en-GB"/>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161F8D" w:rsidP="00F01738">
            <w:pPr>
              <w:spacing w:before="240"/>
            </w:pPr>
            <w:proofErr w:type="spellStart"/>
            <w:r>
              <w:t>Distr</w:t>
            </w:r>
            <w:proofErr w:type="spellEnd"/>
            <w:r>
              <w:t>. générale</w:t>
            </w:r>
          </w:p>
          <w:p w:rsidR="00161F8D" w:rsidRDefault="00161F8D" w:rsidP="00161F8D">
            <w:pPr>
              <w:spacing w:line="240" w:lineRule="exact"/>
            </w:pPr>
            <w:r>
              <w:t>4 septembre 2017</w:t>
            </w:r>
          </w:p>
          <w:p w:rsidR="00161F8D" w:rsidRDefault="00161F8D" w:rsidP="00161F8D">
            <w:pPr>
              <w:spacing w:line="240" w:lineRule="exact"/>
            </w:pPr>
            <w:r>
              <w:t>Français</w:t>
            </w:r>
          </w:p>
          <w:p w:rsidR="00161F8D" w:rsidRPr="00DB58B5" w:rsidRDefault="00161F8D" w:rsidP="00161F8D">
            <w:pPr>
              <w:spacing w:line="240" w:lineRule="exact"/>
            </w:pPr>
            <w:r>
              <w:t>Original : anglais</w:t>
            </w:r>
          </w:p>
        </w:tc>
      </w:tr>
    </w:tbl>
    <w:p w:rsidR="00961404" w:rsidRPr="00CA0680" w:rsidRDefault="00961404"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961404" w:rsidRPr="00CA0680" w:rsidRDefault="00961404" w:rsidP="000305D3">
      <w:pPr>
        <w:spacing w:before="120"/>
        <w:rPr>
          <w:b/>
        </w:rPr>
      </w:pPr>
      <w:r w:rsidRPr="00CA0680">
        <w:rPr>
          <w:b/>
        </w:rPr>
        <w:t>Sous</w:t>
      </w:r>
      <w:r>
        <w:rPr>
          <w:b/>
        </w:rPr>
        <w:t>-</w:t>
      </w:r>
      <w:r w:rsidRPr="00CA0680">
        <w:rPr>
          <w:b/>
        </w:rPr>
        <w:t>Comité d’experts du transport des marchandises dangereuses</w:t>
      </w:r>
    </w:p>
    <w:p w:rsidR="00961404" w:rsidRDefault="0075633E" w:rsidP="000305D3">
      <w:pPr>
        <w:spacing w:before="120"/>
        <w:rPr>
          <w:b/>
        </w:rPr>
      </w:pPr>
      <w:r w:rsidRPr="00961404">
        <w:rPr>
          <w:b/>
          <w:lang w:val="fr-FR"/>
        </w:rPr>
        <w:t>Cinquante</w:t>
      </w:r>
      <w:r w:rsidR="00961404">
        <w:rPr>
          <w:b/>
          <w:lang w:val="fr-FR"/>
        </w:rPr>
        <w:noBreakHyphen/>
      </w:r>
      <w:r w:rsidRPr="00961404">
        <w:rPr>
          <w:b/>
          <w:lang w:val="fr-FR"/>
        </w:rPr>
        <w:t>deuxième</w:t>
      </w:r>
      <w:r w:rsidR="00961404">
        <w:rPr>
          <w:b/>
        </w:rPr>
        <w:t> </w:t>
      </w:r>
      <w:r w:rsidR="00961404" w:rsidRPr="00CA0680">
        <w:rPr>
          <w:b/>
        </w:rPr>
        <w:t>session</w:t>
      </w:r>
    </w:p>
    <w:p w:rsidR="00961404" w:rsidRDefault="00961404" w:rsidP="000305D3">
      <w:r>
        <w:t xml:space="preserve">Genève, </w:t>
      </w:r>
      <w:r w:rsidR="00C40361">
        <w:rPr>
          <w:lang w:val="fr-FR"/>
        </w:rPr>
        <w:t>27 novembre</w:t>
      </w:r>
      <w:r w:rsidR="00C40361">
        <w:rPr>
          <w:lang w:val="fr-FR"/>
        </w:rPr>
        <w:noBreakHyphen/>
        <w:t>6 décembre 2017</w:t>
      </w:r>
    </w:p>
    <w:p w:rsidR="00961404" w:rsidRDefault="00E33102" w:rsidP="000305D3">
      <w:r>
        <w:t>Point 3</w:t>
      </w:r>
      <w:r w:rsidR="00961404">
        <w:t xml:space="preserve"> de l’ordre du jour provisoire</w:t>
      </w:r>
    </w:p>
    <w:p w:rsidR="00161F8D" w:rsidRDefault="0075633E" w:rsidP="00AC3823">
      <w:r w:rsidRPr="00E33102">
        <w:rPr>
          <w:b/>
          <w:lang w:val="fr-FR"/>
        </w:rPr>
        <w:t>Inscription, classement et emballage</w:t>
      </w:r>
    </w:p>
    <w:p w:rsidR="00446FE5" w:rsidRDefault="00E33102" w:rsidP="00E33102">
      <w:pPr>
        <w:pStyle w:val="HChG"/>
        <w:rPr>
          <w:lang w:val="fr-FR"/>
        </w:rPr>
      </w:pPr>
      <w:r>
        <w:rPr>
          <w:lang w:val="fr-FR"/>
        </w:rPr>
        <w:tab/>
      </w:r>
      <w:r>
        <w:rPr>
          <w:lang w:val="fr-FR"/>
        </w:rPr>
        <w:tab/>
        <w:t>Affectation aux groupes d’emballage de la classe 6.2 (Matières infectieuses)</w:t>
      </w:r>
    </w:p>
    <w:p w:rsidR="00E33102" w:rsidRDefault="00E33102" w:rsidP="00E33102">
      <w:pPr>
        <w:pStyle w:val="H1G"/>
        <w:rPr>
          <w:b w:val="0"/>
          <w:sz w:val="20"/>
        </w:rPr>
      </w:pPr>
      <w:r>
        <w:rPr>
          <w:lang w:val="fr-FR"/>
        </w:rPr>
        <w:tab/>
      </w:r>
      <w:r>
        <w:rPr>
          <w:lang w:val="fr-FR"/>
        </w:rPr>
        <w:tab/>
        <w:t>Communication de l’expert du Canada</w:t>
      </w:r>
      <w:r w:rsidRPr="006A75D5">
        <w:rPr>
          <w:rStyle w:val="FootnoteReference"/>
          <w:b w:val="0"/>
          <w:sz w:val="20"/>
          <w:vertAlign w:val="baseline"/>
        </w:rPr>
        <w:footnoteReference w:customMarkFollows="1" w:id="2"/>
        <w:t>*</w:t>
      </w:r>
    </w:p>
    <w:p w:rsidR="00787D49" w:rsidRDefault="00787D49" w:rsidP="00787D49">
      <w:pPr>
        <w:pStyle w:val="HChG"/>
        <w:rPr>
          <w:lang w:val="fr-FR"/>
        </w:rPr>
      </w:pPr>
      <w:r>
        <w:rPr>
          <w:lang w:val="fr-FR"/>
        </w:rPr>
        <w:tab/>
      </w:r>
      <w:r>
        <w:rPr>
          <w:lang w:val="fr-FR"/>
        </w:rPr>
        <w:tab/>
        <w:t>Objectif</w:t>
      </w:r>
    </w:p>
    <w:p w:rsidR="005D54C1" w:rsidRPr="00787D49" w:rsidRDefault="0075633E" w:rsidP="00787D49">
      <w:pPr>
        <w:pStyle w:val="SingleTxtG"/>
      </w:pPr>
      <w:r w:rsidRPr="00787D49">
        <w:rPr>
          <w:lang w:val="fr-FR"/>
        </w:rPr>
        <w:t>1.</w:t>
      </w:r>
      <w:r w:rsidRPr="00787D49">
        <w:rPr>
          <w:lang w:val="fr-FR"/>
        </w:rPr>
        <w:tab/>
        <w:t>Supprimer le groupe d’emballage affecté au N</w:t>
      </w:r>
      <w:r w:rsidRPr="00787D49">
        <w:rPr>
          <w:vertAlign w:val="superscript"/>
          <w:lang w:val="fr-FR"/>
        </w:rPr>
        <w:t>o</w:t>
      </w:r>
      <w:r w:rsidRPr="00787D49">
        <w:rPr>
          <w:lang w:val="fr-FR"/>
        </w:rPr>
        <w:t xml:space="preserve"> ONU 3291 (DÉCHET D’HÔPITAL NON SPÉCIFIÉ, NSA ou DÉCHET (BIO) MÉDICAL, NSA ou DÉCHET MÉDICAL RÉGLEMENTÉ, NSA) du tableau A du chapitre 3.2 (Liste des marchandises dangereuses) du Règlement type. </w:t>
      </w:r>
    </w:p>
    <w:p w:rsidR="005D54C1" w:rsidRPr="00787D49" w:rsidRDefault="0075633E" w:rsidP="00787D49">
      <w:pPr>
        <w:pStyle w:val="SingleTxtG"/>
      </w:pPr>
      <w:r w:rsidRPr="00787D49">
        <w:rPr>
          <w:lang w:val="fr-FR"/>
        </w:rPr>
        <w:t>2.</w:t>
      </w:r>
      <w:r w:rsidRPr="00787D49">
        <w:rPr>
          <w:lang w:val="fr-FR"/>
        </w:rPr>
        <w:tab/>
        <w:t xml:space="preserve">Cette correction est proposée pour résoudre la contradiction entre le principe général énoncé au </w:t>
      </w:r>
      <w:r w:rsidR="00B11F26">
        <w:rPr>
          <w:lang w:val="fr-FR"/>
        </w:rPr>
        <w:t>paragraphe </w:t>
      </w:r>
      <w:r w:rsidRPr="00787D49">
        <w:rPr>
          <w:lang w:val="fr-FR"/>
        </w:rPr>
        <w:t>2.0.1.3 et la rubrique du N</w:t>
      </w:r>
      <w:r w:rsidRPr="00787D49">
        <w:rPr>
          <w:vertAlign w:val="superscript"/>
          <w:lang w:val="fr-FR"/>
        </w:rPr>
        <w:t>o</w:t>
      </w:r>
      <w:r w:rsidRPr="00787D49">
        <w:rPr>
          <w:lang w:val="fr-FR"/>
        </w:rPr>
        <w:t> </w:t>
      </w:r>
      <w:r w:rsidR="005920A8">
        <w:rPr>
          <w:lang w:val="fr-FR"/>
        </w:rPr>
        <w:t>ONU </w:t>
      </w:r>
      <w:r w:rsidRPr="00787D49">
        <w:rPr>
          <w:lang w:val="fr-FR"/>
        </w:rPr>
        <w:t>3291 dans la Liste des marchandises dangereuses.</w:t>
      </w:r>
    </w:p>
    <w:p w:rsidR="005D54C1" w:rsidRPr="00787D49" w:rsidRDefault="0075633E" w:rsidP="00787D49">
      <w:pPr>
        <w:pStyle w:val="HChG"/>
      </w:pPr>
      <w:r w:rsidRPr="00787D49">
        <w:rPr>
          <w:lang w:val="fr-FR"/>
        </w:rPr>
        <w:tab/>
      </w:r>
      <w:r w:rsidRPr="00787D49">
        <w:rPr>
          <w:lang w:val="fr-FR"/>
        </w:rPr>
        <w:tab/>
        <w:t>Introduction</w:t>
      </w:r>
    </w:p>
    <w:p w:rsidR="005D54C1" w:rsidRPr="00787D49" w:rsidRDefault="0075633E" w:rsidP="00787D49">
      <w:pPr>
        <w:pStyle w:val="SingleTxtG"/>
      </w:pPr>
      <w:r w:rsidRPr="00787D49">
        <w:rPr>
          <w:lang w:val="fr-FR"/>
        </w:rPr>
        <w:t>3.</w:t>
      </w:r>
      <w:r w:rsidRPr="00787D49">
        <w:rPr>
          <w:lang w:val="fr-FR"/>
        </w:rPr>
        <w:tab/>
        <w:t xml:space="preserve">Il est précisé </w:t>
      </w:r>
      <w:r w:rsidR="00B11F26">
        <w:rPr>
          <w:lang w:val="fr-FR"/>
        </w:rPr>
        <w:t>au paragraphe </w:t>
      </w:r>
      <w:r w:rsidRPr="00787D49">
        <w:rPr>
          <w:lang w:val="fr-FR"/>
        </w:rPr>
        <w:t>2.0.1.3 qu’aux fins d’emballage, les matières de la division 6.2 ne sont pas affectées à des groupes d’emballage. Toutefois, l’</w:t>
      </w:r>
      <w:r w:rsidR="00365535">
        <w:rPr>
          <w:lang w:val="fr-FR"/>
        </w:rPr>
        <w:t>examen de la </w:t>
      </w:r>
      <w:r w:rsidRPr="00787D49">
        <w:rPr>
          <w:lang w:val="fr-FR"/>
        </w:rPr>
        <w:t>Liste des marchandises dangereuses montre qu’un groupe d’</w:t>
      </w:r>
      <w:r w:rsidR="008A15A3">
        <w:rPr>
          <w:lang w:val="fr-FR"/>
        </w:rPr>
        <w:t>emballage est attribué au </w:t>
      </w:r>
      <w:r w:rsidRPr="00787D49">
        <w:rPr>
          <w:lang w:val="fr-FR"/>
        </w:rPr>
        <w:t>N</w:t>
      </w:r>
      <w:r w:rsidRPr="00787D49">
        <w:rPr>
          <w:vertAlign w:val="superscript"/>
          <w:lang w:val="fr-FR"/>
        </w:rPr>
        <w:t>o</w:t>
      </w:r>
      <w:r w:rsidRPr="00787D49">
        <w:rPr>
          <w:lang w:val="fr-FR"/>
        </w:rPr>
        <w:t> ONU 3291.</w:t>
      </w:r>
    </w:p>
    <w:p w:rsidR="005D54C1" w:rsidRPr="00787D49" w:rsidRDefault="0075633E" w:rsidP="00787D49">
      <w:pPr>
        <w:pStyle w:val="SingleTxtG"/>
      </w:pPr>
      <w:r w:rsidRPr="00787D49">
        <w:rPr>
          <w:lang w:val="fr-FR"/>
        </w:rPr>
        <w:t>4.</w:t>
      </w:r>
      <w:r w:rsidRPr="00787D49">
        <w:rPr>
          <w:lang w:val="fr-FR"/>
        </w:rPr>
        <w:tab/>
        <w:t>Dans le même paragraphe, il est également prévu que lorsqu’une matière n’est pas affectée à un groupe d’emballage, toute prescription d’un niveau de performance d’emballage spécifique est donnée dans l’instruction d’emballage applicable. L’examen des instructions d’emballage P621, IBC620 et LP621, qui sont les trois instructions d’emballage affectées au N</w:t>
      </w:r>
      <w:r w:rsidRPr="00787D49">
        <w:rPr>
          <w:vertAlign w:val="superscript"/>
          <w:lang w:val="fr-FR"/>
        </w:rPr>
        <w:t>o</w:t>
      </w:r>
      <w:r w:rsidRPr="00787D49">
        <w:rPr>
          <w:lang w:val="fr-FR"/>
        </w:rPr>
        <w:t> </w:t>
      </w:r>
      <w:r w:rsidR="00EC319E">
        <w:rPr>
          <w:lang w:val="fr-FR"/>
        </w:rPr>
        <w:t xml:space="preserve">ONU </w:t>
      </w:r>
      <w:r w:rsidRPr="00787D49">
        <w:rPr>
          <w:lang w:val="fr-FR"/>
        </w:rPr>
        <w:t>3291, montre que le niveau II de performance d’emballage est déjà énoncé dans ces trois instructions.</w:t>
      </w:r>
    </w:p>
    <w:p w:rsidR="005D54C1" w:rsidRPr="00787D49" w:rsidRDefault="0075633E" w:rsidP="00787D49">
      <w:pPr>
        <w:pStyle w:val="HChG"/>
      </w:pPr>
      <w:r w:rsidRPr="00787D49">
        <w:rPr>
          <w:lang w:val="fr-FR"/>
        </w:rPr>
        <w:lastRenderedPageBreak/>
        <w:tab/>
      </w:r>
      <w:r w:rsidRPr="00787D49">
        <w:rPr>
          <w:lang w:val="fr-FR"/>
        </w:rPr>
        <w:tab/>
        <w:t>Proposition</w:t>
      </w:r>
    </w:p>
    <w:p w:rsidR="005D54C1" w:rsidRPr="00787D49" w:rsidRDefault="0075633E" w:rsidP="00787D49">
      <w:pPr>
        <w:pStyle w:val="SingleTxtG"/>
      </w:pPr>
      <w:r w:rsidRPr="00787D49">
        <w:rPr>
          <w:lang w:val="fr-FR"/>
        </w:rPr>
        <w:t>5.</w:t>
      </w:r>
      <w:r w:rsidRPr="00787D49">
        <w:rPr>
          <w:lang w:val="fr-FR"/>
        </w:rPr>
        <w:tab/>
        <w:t>L’expert du Canada recommande de modifier la Liste des marchandises dangereuses pour en supprimer le groupe d’emballage II associé au N</w:t>
      </w:r>
      <w:r w:rsidRPr="00787D49">
        <w:rPr>
          <w:vertAlign w:val="superscript"/>
          <w:lang w:val="fr-FR"/>
        </w:rPr>
        <w:t>o</w:t>
      </w:r>
      <w:r w:rsidRPr="00787D49">
        <w:rPr>
          <w:lang w:val="fr-FR"/>
        </w:rPr>
        <w:t> </w:t>
      </w:r>
      <w:r w:rsidR="006E2AA8">
        <w:rPr>
          <w:lang w:val="fr-FR"/>
        </w:rPr>
        <w:t>ONU 3291 dans la colonne </w:t>
      </w:r>
      <w:r w:rsidRPr="00787D49">
        <w:rPr>
          <w:lang w:val="fr-FR"/>
        </w:rPr>
        <w:t>5, étant donné que ce renseignement figure déjà dans les trois instructions d’</w:t>
      </w:r>
      <w:r w:rsidR="00867845">
        <w:rPr>
          <w:lang w:val="fr-FR"/>
        </w:rPr>
        <w:t xml:space="preserve">emballage associées à ce </w:t>
      </w:r>
      <w:r w:rsidR="00867845" w:rsidRPr="00867845">
        <w:rPr>
          <w:rFonts w:eastAsia="MS Mincho"/>
          <w:szCs w:val="22"/>
          <w:lang w:val="fr-FR"/>
        </w:rPr>
        <w:t>N</w:t>
      </w:r>
      <w:r w:rsidR="00867845" w:rsidRPr="00867845">
        <w:rPr>
          <w:rFonts w:eastAsia="MS Mincho"/>
          <w:szCs w:val="22"/>
          <w:vertAlign w:val="superscript"/>
          <w:lang w:val="fr-FR"/>
        </w:rPr>
        <w:t>o</w:t>
      </w:r>
      <w:r w:rsidR="00867845">
        <w:rPr>
          <w:lang w:val="fr-FR"/>
        </w:rPr>
        <w:t> </w:t>
      </w:r>
      <w:r w:rsidRPr="00787D49">
        <w:rPr>
          <w:lang w:val="fr-FR"/>
        </w:rPr>
        <w:t xml:space="preserve">ONU et est contraire au principe énoncé </w:t>
      </w:r>
      <w:r w:rsidR="00B11F26">
        <w:rPr>
          <w:lang w:val="fr-FR"/>
        </w:rPr>
        <w:t>au paragraphe </w:t>
      </w:r>
      <w:r w:rsidRPr="00787D49">
        <w:rPr>
          <w:lang w:val="fr-FR"/>
        </w:rPr>
        <w:t>2.0.1.3.</w:t>
      </w:r>
    </w:p>
    <w:p w:rsidR="005D54C1" w:rsidRPr="00787D49" w:rsidRDefault="0075633E" w:rsidP="00787D49">
      <w:pPr>
        <w:pStyle w:val="SingleTxtG"/>
      </w:pPr>
      <w:r w:rsidRPr="00787D49">
        <w:rPr>
          <w:lang w:val="fr-FR"/>
        </w:rPr>
        <w:t>6.</w:t>
      </w:r>
      <w:r w:rsidRPr="00787D49">
        <w:rPr>
          <w:lang w:val="fr-FR"/>
        </w:rPr>
        <w:tab/>
        <w:t>Cette correction est assez simple car aucun amendement de conséquence ne sera nécessaire étant donné qu’un niveau II de performance d’emballage est déjà prescrit dans les instructions d’emballage P621, IBC620 et LP621.</w:t>
      </w:r>
    </w:p>
    <w:p w:rsidR="000E52C4" w:rsidRDefault="0075633E" w:rsidP="00787D49">
      <w:pPr>
        <w:pStyle w:val="SingleTxtG"/>
        <w:ind w:firstLine="567"/>
        <w:rPr>
          <w:lang w:val="fr-FR"/>
        </w:rPr>
      </w:pPr>
      <w:r w:rsidRPr="00787D49">
        <w:rPr>
          <w:lang w:val="fr-FR"/>
        </w:rPr>
        <w:t>La proposition d’amendement du N</w:t>
      </w:r>
      <w:r w:rsidRPr="00787D49">
        <w:rPr>
          <w:vertAlign w:val="superscript"/>
          <w:lang w:val="fr-FR"/>
        </w:rPr>
        <w:t>o</w:t>
      </w:r>
      <w:r w:rsidRPr="00787D49">
        <w:rPr>
          <w:lang w:val="fr-FR"/>
        </w:rPr>
        <w:t> ONU 3291 ci</w:t>
      </w:r>
      <w:r w:rsidR="00F731BD">
        <w:rPr>
          <w:lang w:val="fr-FR"/>
        </w:rPr>
        <w:noBreakHyphen/>
      </w:r>
      <w:r w:rsidRPr="00787D49">
        <w:rPr>
          <w:lang w:val="fr-FR"/>
        </w:rPr>
        <w:t xml:space="preserve">après remédierait à cette incohérence. Le texte supprimé est </w:t>
      </w:r>
      <w:r w:rsidRPr="00787D49">
        <w:rPr>
          <w:strike/>
          <w:lang w:val="fr-FR"/>
        </w:rPr>
        <w:t>barré</w:t>
      </w:r>
      <w:r w:rsidR="00787D49">
        <w:rPr>
          <w:lang w:val="fr-FR"/>
        </w:rPr>
        <w:t> </w:t>
      </w:r>
      <w:r w:rsidRPr="00787D49">
        <w:rPr>
          <w:lang w:val="fr-FR"/>
        </w:rPr>
        <w: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134"/>
        <w:gridCol w:w="788"/>
        <w:gridCol w:w="913"/>
        <w:gridCol w:w="815"/>
        <w:gridCol w:w="886"/>
        <w:gridCol w:w="425"/>
        <w:gridCol w:w="425"/>
        <w:gridCol w:w="954"/>
        <w:gridCol w:w="919"/>
        <w:gridCol w:w="1014"/>
        <w:gridCol w:w="933"/>
      </w:tblGrid>
      <w:tr w:rsidR="006E2AA8" w:rsidRPr="000E52C4" w:rsidTr="0076736E">
        <w:trPr>
          <w:tblHeader/>
        </w:trPr>
        <w:tc>
          <w:tcPr>
            <w:tcW w:w="431" w:type="dxa"/>
            <w:vMerge w:val="restart"/>
            <w:shd w:val="clear" w:color="auto" w:fill="auto"/>
            <w:vAlign w:val="bottom"/>
          </w:tcPr>
          <w:p w:rsidR="000E52C4" w:rsidRPr="006E2AA8" w:rsidRDefault="000E52C4" w:rsidP="006E2AA8">
            <w:pPr>
              <w:suppressAutoHyphens w:val="0"/>
              <w:spacing w:before="80" w:after="80" w:line="160" w:lineRule="exact"/>
              <w:ind w:left="57" w:right="57"/>
              <w:rPr>
                <w:b/>
                <w:sz w:val="12"/>
                <w:szCs w:val="12"/>
              </w:rPr>
            </w:pPr>
            <w:r w:rsidRPr="006E2AA8">
              <w:rPr>
                <w:b/>
                <w:sz w:val="12"/>
                <w:szCs w:val="12"/>
                <w:lang w:val="fr-FR"/>
              </w:rPr>
              <w:t>N</w:t>
            </w:r>
            <w:r w:rsidRPr="006E2AA8">
              <w:rPr>
                <w:b/>
                <w:sz w:val="12"/>
                <w:szCs w:val="12"/>
                <w:vertAlign w:val="superscript"/>
                <w:lang w:val="fr-FR"/>
              </w:rPr>
              <w:t>o</w:t>
            </w:r>
            <w:r w:rsidRPr="006E2AA8">
              <w:rPr>
                <w:b/>
                <w:sz w:val="12"/>
                <w:szCs w:val="12"/>
                <w:lang w:val="fr-FR"/>
              </w:rPr>
              <w:t xml:space="preserve"> ONU</w:t>
            </w:r>
          </w:p>
        </w:tc>
        <w:tc>
          <w:tcPr>
            <w:tcW w:w="1134" w:type="dxa"/>
            <w:vMerge w:val="restart"/>
            <w:shd w:val="clear" w:color="auto" w:fill="auto"/>
            <w:vAlign w:val="bottom"/>
          </w:tcPr>
          <w:p w:rsidR="000E52C4" w:rsidRPr="006E2AA8" w:rsidRDefault="000E52C4" w:rsidP="0076736E">
            <w:pPr>
              <w:suppressAutoHyphens w:val="0"/>
              <w:spacing w:before="80" w:after="80" w:line="160" w:lineRule="exact"/>
              <w:ind w:left="57" w:right="57"/>
              <w:rPr>
                <w:b/>
                <w:sz w:val="12"/>
                <w:szCs w:val="12"/>
              </w:rPr>
            </w:pPr>
            <w:r w:rsidRPr="006E2AA8">
              <w:rPr>
                <w:b/>
                <w:sz w:val="12"/>
                <w:szCs w:val="12"/>
                <w:lang w:val="fr-FR"/>
              </w:rPr>
              <w:t>Nom et description</w:t>
            </w:r>
          </w:p>
        </w:tc>
        <w:tc>
          <w:tcPr>
            <w:tcW w:w="788" w:type="dxa"/>
            <w:vMerge w:val="restart"/>
            <w:shd w:val="clear" w:color="auto" w:fill="auto"/>
            <w:vAlign w:val="bottom"/>
          </w:tcPr>
          <w:p w:rsidR="000E52C4" w:rsidRPr="006E2AA8" w:rsidRDefault="000E52C4" w:rsidP="006E2AA8">
            <w:pPr>
              <w:suppressAutoHyphens w:val="0"/>
              <w:spacing w:before="80" w:after="80" w:line="160" w:lineRule="exact"/>
              <w:ind w:left="57" w:right="57"/>
              <w:jc w:val="center"/>
              <w:rPr>
                <w:b/>
                <w:sz w:val="12"/>
                <w:szCs w:val="12"/>
              </w:rPr>
            </w:pPr>
            <w:r w:rsidRPr="006E2AA8">
              <w:rPr>
                <w:b/>
                <w:sz w:val="12"/>
                <w:szCs w:val="12"/>
                <w:lang w:val="fr-FR"/>
              </w:rPr>
              <w:t xml:space="preserve">Classe </w:t>
            </w:r>
            <w:r w:rsidRPr="006E2AA8">
              <w:rPr>
                <w:b/>
                <w:sz w:val="12"/>
                <w:szCs w:val="12"/>
                <w:lang w:val="fr-FR"/>
              </w:rPr>
              <w:br/>
              <w:t>ou division</w:t>
            </w:r>
          </w:p>
        </w:tc>
        <w:tc>
          <w:tcPr>
            <w:tcW w:w="913" w:type="dxa"/>
            <w:vMerge w:val="restart"/>
            <w:shd w:val="clear" w:color="auto" w:fill="auto"/>
            <w:vAlign w:val="bottom"/>
          </w:tcPr>
          <w:p w:rsidR="000E52C4" w:rsidRPr="006E2AA8" w:rsidRDefault="000E52C4" w:rsidP="006E2AA8">
            <w:pPr>
              <w:suppressAutoHyphens w:val="0"/>
              <w:spacing w:before="80" w:after="80" w:line="160" w:lineRule="exact"/>
              <w:ind w:left="57" w:right="57"/>
              <w:jc w:val="center"/>
              <w:rPr>
                <w:b/>
                <w:sz w:val="12"/>
                <w:szCs w:val="12"/>
              </w:rPr>
            </w:pPr>
            <w:r w:rsidRPr="006E2AA8">
              <w:rPr>
                <w:b/>
                <w:sz w:val="12"/>
                <w:szCs w:val="12"/>
                <w:lang w:val="fr-FR"/>
              </w:rPr>
              <w:t>Risque subsidiaire</w:t>
            </w:r>
          </w:p>
        </w:tc>
        <w:tc>
          <w:tcPr>
            <w:tcW w:w="815" w:type="dxa"/>
            <w:shd w:val="clear" w:color="auto" w:fill="auto"/>
            <w:vAlign w:val="bottom"/>
          </w:tcPr>
          <w:p w:rsidR="000E52C4" w:rsidRPr="006E2AA8" w:rsidRDefault="000E52C4" w:rsidP="006E2AA8">
            <w:pPr>
              <w:suppressAutoHyphens w:val="0"/>
              <w:spacing w:before="80" w:after="80" w:line="160" w:lineRule="exact"/>
              <w:ind w:left="57" w:right="57"/>
              <w:jc w:val="center"/>
              <w:rPr>
                <w:b/>
                <w:sz w:val="12"/>
                <w:szCs w:val="12"/>
              </w:rPr>
            </w:pPr>
            <w:r w:rsidRPr="006E2AA8">
              <w:rPr>
                <w:b/>
                <w:sz w:val="12"/>
                <w:szCs w:val="12"/>
                <w:lang w:val="fr-FR"/>
              </w:rPr>
              <w:t>Groupe d’emballage</w:t>
            </w:r>
          </w:p>
        </w:tc>
        <w:tc>
          <w:tcPr>
            <w:tcW w:w="886" w:type="dxa"/>
            <w:shd w:val="clear" w:color="auto" w:fill="auto"/>
            <w:vAlign w:val="bottom"/>
          </w:tcPr>
          <w:p w:rsidR="000E52C4" w:rsidRPr="0076736E" w:rsidRDefault="000E52C4" w:rsidP="006E2AA8">
            <w:pPr>
              <w:suppressAutoHyphens w:val="0"/>
              <w:spacing w:before="80" w:after="80" w:line="160" w:lineRule="exact"/>
              <w:ind w:left="57" w:right="57"/>
              <w:jc w:val="center"/>
              <w:rPr>
                <w:b/>
                <w:sz w:val="12"/>
                <w:szCs w:val="12"/>
              </w:rPr>
            </w:pPr>
            <w:r w:rsidRPr="0076736E">
              <w:rPr>
                <w:b/>
                <w:sz w:val="12"/>
                <w:szCs w:val="12"/>
                <w:lang w:val="fr-FR"/>
              </w:rPr>
              <w:t>Dispositions spéciales</w:t>
            </w:r>
          </w:p>
        </w:tc>
        <w:tc>
          <w:tcPr>
            <w:tcW w:w="850" w:type="dxa"/>
            <w:gridSpan w:val="2"/>
            <w:shd w:val="clear" w:color="auto" w:fill="auto"/>
            <w:vAlign w:val="bottom"/>
          </w:tcPr>
          <w:p w:rsidR="000E52C4" w:rsidRPr="006E2AA8" w:rsidRDefault="000E52C4" w:rsidP="006E2AA8">
            <w:pPr>
              <w:suppressAutoHyphens w:val="0"/>
              <w:spacing w:before="80" w:after="80" w:line="160" w:lineRule="exact"/>
              <w:ind w:left="57" w:right="57"/>
              <w:jc w:val="center"/>
              <w:rPr>
                <w:b/>
                <w:sz w:val="12"/>
                <w:szCs w:val="12"/>
              </w:rPr>
            </w:pPr>
            <w:r w:rsidRPr="006E2AA8">
              <w:rPr>
                <w:b/>
                <w:sz w:val="12"/>
                <w:szCs w:val="12"/>
                <w:lang w:val="fr-FR"/>
              </w:rPr>
              <w:t xml:space="preserve">Quantités limitées </w:t>
            </w:r>
            <w:r w:rsidRPr="006E2AA8">
              <w:rPr>
                <w:b/>
                <w:sz w:val="12"/>
                <w:szCs w:val="12"/>
                <w:lang w:val="fr-FR"/>
              </w:rPr>
              <w:br/>
              <w:t>et quantités exceptées</w:t>
            </w:r>
          </w:p>
        </w:tc>
        <w:tc>
          <w:tcPr>
            <w:tcW w:w="1873" w:type="dxa"/>
            <w:gridSpan w:val="2"/>
            <w:shd w:val="clear" w:color="auto" w:fill="auto"/>
            <w:vAlign w:val="bottom"/>
          </w:tcPr>
          <w:p w:rsidR="000E52C4" w:rsidRPr="006E2AA8" w:rsidRDefault="000E52C4" w:rsidP="006E2AA8">
            <w:pPr>
              <w:suppressAutoHyphens w:val="0"/>
              <w:spacing w:before="80" w:after="80" w:line="160" w:lineRule="exact"/>
              <w:ind w:left="57" w:right="57"/>
              <w:jc w:val="center"/>
              <w:rPr>
                <w:b/>
                <w:sz w:val="12"/>
                <w:szCs w:val="12"/>
              </w:rPr>
            </w:pPr>
            <w:r w:rsidRPr="006E2AA8">
              <w:rPr>
                <w:b/>
                <w:sz w:val="12"/>
                <w:szCs w:val="12"/>
                <w:lang w:val="fr-FR"/>
              </w:rPr>
              <w:t>Emballages et GRV</w:t>
            </w:r>
          </w:p>
        </w:tc>
        <w:tc>
          <w:tcPr>
            <w:tcW w:w="1947" w:type="dxa"/>
            <w:gridSpan w:val="2"/>
            <w:shd w:val="clear" w:color="auto" w:fill="auto"/>
            <w:vAlign w:val="bottom"/>
          </w:tcPr>
          <w:p w:rsidR="000E52C4" w:rsidRPr="006E2AA8" w:rsidRDefault="000E52C4" w:rsidP="006E2AA8">
            <w:pPr>
              <w:suppressAutoHyphens w:val="0"/>
              <w:spacing w:before="80" w:after="80" w:line="160" w:lineRule="exact"/>
              <w:ind w:left="57" w:right="57"/>
              <w:jc w:val="center"/>
              <w:rPr>
                <w:b/>
                <w:sz w:val="12"/>
                <w:szCs w:val="12"/>
              </w:rPr>
            </w:pPr>
            <w:r w:rsidRPr="006E2AA8">
              <w:rPr>
                <w:b/>
                <w:sz w:val="12"/>
                <w:szCs w:val="12"/>
                <w:lang w:val="fr-FR"/>
              </w:rPr>
              <w:t>Citernes mobiles et conteneurs pour vrac</w:t>
            </w:r>
          </w:p>
        </w:tc>
      </w:tr>
      <w:tr w:rsidR="006E2AA8" w:rsidRPr="000E52C4" w:rsidTr="0076736E">
        <w:trPr>
          <w:tblHeader/>
        </w:trPr>
        <w:tc>
          <w:tcPr>
            <w:tcW w:w="431" w:type="dxa"/>
            <w:vMerge/>
            <w:shd w:val="clear" w:color="auto" w:fill="auto"/>
            <w:vAlign w:val="bottom"/>
          </w:tcPr>
          <w:p w:rsidR="000E52C4" w:rsidRPr="006E2AA8" w:rsidRDefault="000E52C4" w:rsidP="000E52C4">
            <w:pPr>
              <w:suppressAutoHyphens w:val="0"/>
              <w:spacing w:before="40" w:after="40" w:line="220" w:lineRule="exact"/>
              <w:ind w:left="57" w:right="57"/>
              <w:rPr>
                <w:sz w:val="12"/>
                <w:szCs w:val="12"/>
              </w:rPr>
            </w:pPr>
          </w:p>
        </w:tc>
        <w:tc>
          <w:tcPr>
            <w:tcW w:w="1134" w:type="dxa"/>
            <w:vMerge/>
            <w:shd w:val="clear" w:color="auto" w:fill="auto"/>
            <w:vAlign w:val="bottom"/>
          </w:tcPr>
          <w:p w:rsidR="000E52C4" w:rsidRPr="006E2AA8" w:rsidRDefault="000E52C4" w:rsidP="000E52C4">
            <w:pPr>
              <w:suppressAutoHyphens w:val="0"/>
              <w:spacing w:before="40" w:after="40" w:line="220" w:lineRule="exact"/>
              <w:ind w:left="57" w:right="57"/>
              <w:jc w:val="right"/>
              <w:rPr>
                <w:sz w:val="12"/>
                <w:szCs w:val="12"/>
              </w:rPr>
            </w:pPr>
          </w:p>
        </w:tc>
        <w:tc>
          <w:tcPr>
            <w:tcW w:w="788" w:type="dxa"/>
            <w:vMerge/>
            <w:shd w:val="clear" w:color="auto" w:fill="auto"/>
            <w:vAlign w:val="bottom"/>
          </w:tcPr>
          <w:p w:rsidR="000E52C4" w:rsidRPr="006E2AA8" w:rsidRDefault="000E52C4" w:rsidP="000E52C4">
            <w:pPr>
              <w:suppressAutoHyphens w:val="0"/>
              <w:spacing w:before="40" w:after="40" w:line="220" w:lineRule="exact"/>
              <w:ind w:left="57" w:right="57"/>
              <w:jc w:val="right"/>
              <w:rPr>
                <w:sz w:val="12"/>
                <w:szCs w:val="12"/>
              </w:rPr>
            </w:pPr>
          </w:p>
        </w:tc>
        <w:tc>
          <w:tcPr>
            <w:tcW w:w="913" w:type="dxa"/>
            <w:vMerge/>
            <w:shd w:val="clear" w:color="auto" w:fill="auto"/>
            <w:vAlign w:val="bottom"/>
          </w:tcPr>
          <w:p w:rsidR="000E52C4" w:rsidRPr="006E2AA8" w:rsidRDefault="000E52C4" w:rsidP="000E52C4">
            <w:pPr>
              <w:suppressAutoHyphens w:val="0"/>
              <w:spacing w:before="40" w:after="40" w:line="220" w:lineRule="exact"/>
              <w:ind w:left="57" w:right="57"/>
              <w:jc w:val="right"/>
              <w:rPr>
                <w:sz w:val="12"/>
                <w:szCs w:val="12"/>
              </w:rPr>
            </w:pPr>
          </w:p>
        </w:tc>
        <w:tc>
          <w:tcPr>
            <w:tcW w:w="815" w:type="dxa"/>
            <w:shd w:val="clear" w:color="auto" w:fill="auto"/>
            <w:vAlign w:val="bottom"/>
          </w:tcPr>
          <w:p w:rsidR="000E52C4" w:rsidRPr="006E2AA8" w:rsidRDefault="000E52C4" w:rsidP="000E52C4">
            <w:pPr>
              <w:suppressAutoHyphens w:val="0"/>
              <w:spacing w:before="40" w:after="40" w:line="220" w:lineRule="exact"/>
              <w:ind w:left="57" w:right="57"/>
              <w:jc w:val="right"/>
              <w:rPr>
                <w:sz w:val="12"/>
                <w:szCs w:val="12"/>
              </w:rPr>
            </w:pPr>
          </w:p>
        </w:tc>
        <w:tc>
          <w:tcPr>
            <w:tcW w:w="886" w:type="dxa"/>
            <w:shd w:val="clear" w:color="auto" w:fill="auto"/>
            <w:vAlign w:val="bottom"/>
          </w:tcPr>
          <w:p w:rsidR="000E52C4" w:rsidRPr="006E2AA8" w:rsidRDefault="000E52C4" w:rsidP="000E52C4">
            <w:pPr>
              <w:suppressAutoHyphens w:val="0"/>
              <w:spacing w:before="40" w:after="40" w:line="180" w:lineRule="exact"/>
              <w:ind w:left="57" w:right="57"/>
              <w:jc w:val="right"/>
              <w:rPr>
                <w:sz w:val="12"/>
                <w:szCs w:val="12"/>
              </w:rPr>
            </w:pPr>
          </w:p>
        </w:tc>
        <w:tc>
          <w:tcPr>
            <w:tcW w:w="850" w:type="dxa"/>
            <w:gridSpan w:val="2"/>
            <w:shd w:val="clear" w:color="auto" w:fill="auto"/>
            <w:vAlign w:val="bottom"/>
          </w:tcPr>
          <w:p w:rsidR="000E52C4" w:rsidRPr="006E2AA8" w:rsidRDefault="000E52C4" w:rsidP="000E52C4">
            <w:pPr>
              <w:suppressAutoHyphens w:val="0"/>
              <w:spacing w:before="40" w:after="40" w:line="180" w:lineRule="exact"/>
              <w:ind w:left="57" w:right="57"/>
              <w:jc w:val="right"/>
              <w:rPr>
                <w:sz w:val="12"/>
                <w:szCs w:val="12"/>
              </w:rPr>
            </w:pPr>
          </w:p>
        </w:tc>
        <w:tc>
          <w:tcPr>
            <w:tcW w:w="954" w:type="dxa"/>
            <w:shd w:val="clear" w:color="auto" w:fill="auto"/>
            <w:vAlign w:val="bottom"/>
          </w:tcPr>
          <w:p w:rsidR="000E52C4" w:rsidRPr="006E2AA8" w:rsidRDefault="000E52C4" w:rsidP="006E2AA8">
            <w:pPr>
              <w:suppressAutoHyphens w:val="0"/>
              <w:spacing w:before="40" w:after="40" w:line="160" w:lineRule="exact"/>
              <w:ind w:left="57" w:right="57"/>
              <w:jc w:val="center"/>
              <w:rPr>
                <w:b/>
                <w:sz w:val="12"/>
                <w:szCs w:val="12"/>
              </w:rPr>
            </w:pPr>
            <w:r w:rsidRPr="006E2AA8">
              <w:rPr>
                <w:b/>
                <w:sz w:val="12"/>
                <w:szCs w:val="12"/>
                <w:lang w:val="fr-FR"/>
              </w:rPr>
              <w:t>Instruction d’emballage</w:t>
            </w:r>
          </w:p>
        </w:tc>
        <w:tc>
          <w:tcPr>
            <w:tcW w:w="919" w:type="dxa"/>
            <w:shd w:val="clear" w:color="auto" w:fill="auto"/>
            <w:vAlign w:val="bottom"/>
          </w:tcPr>
          <w:p w:rsidR="000E52C4" w:rsidRPr="006E2AA8" w:rsidRDefault="000E52C4" w:rsidP="006E2AA8">
            <w:pPr>
              <w:suppressAutoHyphens w:val="0"/>
              <w:spacing w:before="40" w:after="40" w:line="160" w:lineRule="exact"/>
              <w:ind w:left="57" w:right="57"/>
              <w:jc w:val="center"/>
              <w:rPr>
                <w:b/>
                <w:sz w:val="12"/>
                <w:szCs w:val="12"/>
              </w:rPr>
            </w:pPr>
            <w:r w:rsidRPr="006E2AA8">
              <w:rPr>
                <w:b/>
                <w:sz w:val="12"/>
                <w:szCs w:val="12"/>
                <w:lang w:val="fr-FR"/>
              </w:rPr>
              <w:t>Dispositions spéciales</w:t>
            </w:r>
          </w:p>
        </w:tc>
        <w:tc>
          <w:tcPr>
            <w:tcW w:w="1014" w:type="dxa"/>
            <w:shd w:val="clear" w:color="auto" w:fill="auto"/>
            <w:vAlign w:val="bottom"/>
          </w:tcPr>
          <w:p w:rsidR="000E52C4" w:rsidRPr="006E2AA8" w:rsidRDefault="000E52C4" w:rsidP="006E2AA8">
            <w:pPr>
              <w:suppressAutoHyphens w:val="0"/>
              <w:spacing w:before="40" w:after="40" w:line="160" w:lineRule="exact"/>
              <w:ind w:left="57" w:right="57"/>
              <w:jc w:val="center"/>
              <w:rPr>
                <w:b/>
                <w:sz w:val="12"/>
                <w:szCs w:val="12"/>
              </w:rPr>
            </w:pPr>
            <w:r w:rsidRPr="006E2AA8">
              <w:rPr>
                <w:b/>
                <w:sz w:val="12"/>
                <w:szCs w:val="12"/>
                <w:lang w:val="fr-FR"/>
              </w:rPr>
              <w:t>Instructions de transport</w:t>
            </w:r>
          </w:p>
        </w:tc>
        <w:tc>
          <w:tcPr>
            <w:tcW w:w="933" w:type="dxa"/>
            <w:shd w:val="clear" w:color="auto" w:fill="auto"/>
            <w:vAlign w:val="bottom"/>
          </w:tcPr>
          <w:p w:rsidR="000E52C4" w:rsidRPr="006E2AA8" w:rsidRDefault="000E52C4" w:rsidP="006E2AA8">
            <w:pPr>
              <w:suppressAutoHyphens w:val="0"/>
              <w:spacing w:before="40" w:after="40" w:line="160" w:lineRule="exact"/>
              <w:ind w:left="57" w:right="57"/>
              <w:jc w:val="center"/>
              <w:rPr>
                <w:b/>
                <w:sz w:val="12"/>
                <w:szCs w:val="12"/>
              </w:rPr>
            </w:pPr>
            <w:r w:rsidRPr="006E2AA8">
              <w:rPr>
                <w:b/>
                <w:sz w:val="12"/>
                <w:szCs w:val="12"/>
                <w:lang w:val="fr-FR"/>
              </w:rPr>
              <w:t>Dispositions spéciales</w:t>
            </w:r>
          </w:p>
        </w:tc>
      </w:tr>
      <w:tr w:rsidR="006E2AA8" w:rsidRPr="000E52C4" w:rsidTr="0076736E">
        <w:tc>
          <w:tcPr>
            <w:tcW w:w="431" w:type="dxa"/>
            <w:shd w:val="clear" w:color="auto" w:fill="auto"/>
          </w:tcPr>
          <w:p w:rsidR="000E52C4" w:rsidRPr="006E2AA8" w:rsidRDefault="000E52C4" w:rsidP="001D4741">
            <w:pPr>
              <w:suppressAutoHyphens w:val="0"/>
              <w:spacing w:before="40" w:after="40" w:line="180" w:lineRule="exact"/>
              <w:ind w:left="57" w:right="57"/>
              <w:jc w:val="center"/>
              <w:rPr>
                <w:sz w:val="14"/>
                <w:szCs w:val="14"/>
              </w:rPr>
            </w:pPr>
            <w:r w:rsidRPr="006E2AA8">
              <w:rPr>
                <w:sz w:val="14"/>
                <w:szCs w:val="14"/>
                <w:lang w:val="fr-FR"/>
              </w:rPr>
              <w:t>(1)</w:t>
            </w:r>
          </w:p>
        </w:tc>
        <w:tc>
          <w:tcPr>
            <w:tcW w:w="1134" w:type="dxa"/>
            <w:shd w:val="clear" w:color="auto" w:fill="auto"/>
            <w:vAlign w:val="bottom"/>
          </w:tcPr>
          <w:p w:rsidR="000E52C4" w:rsidRPr="006E2AA8" w:rsidRDefault="000E52C4" w:rsidP="001D4741">
            <w:pPr>
              <w:suppressAutoHyphens w:val="0"/>
              <w:spacing w:before="40" w:after="40" w:line="180" w:lineRule="exact"/>
              <w:ind w:left="57" w:right="57"/>
              <w:jc w:val="center"/>
              <w:rPr>
                <w:sz w:val="14"/>
                <w:szCs w:val="14"/>
              </w:rPr>
            </w:pPr>
            <w:r w:rsidRPr="006E2AA8">
              <w:rPr>
                <w:sz w:val="14"/>
                <w:szCs w:val="14"/>
                <w:lang w:val="fr-FR"/>
              </w:rPr>
              <w:t>(2)</w:t>
            </w:r>
          </w:p>
        </w:tc>
        <w:tc>
          <w:tcPr>
            <w:tcW w:w="788" w:type="dxa"/>
            <w:shd w:val="clear" w:color="auto" w:fill="auto"/>
          </w:tcPr>
          <w:p w:rsidR="000E52C4" w:rsidRPr="006E2AA8" w:rsidRDefault="000E52C4" w:rsidP="006E2AA8">
            <w:pPr>
              <w:suppressAutoHyphens w:val="0"/>
              <w:spacing w:before="40" w:after="40" w:line="180" w:lineRule="exact"/>
              <w:ind w:left="57" w:right="57"/>
              <w:jc w:val="center"/>
              <w:rPr>
                <w:sz w:val="14"/>
                <w:szCs w:val="14"/>
              </w:rPr>
            </w:pPr>
            <w:r w:rsidRPr="006E2AA8">
              <w:rPr>
                <w:sz w:val="14"/>
                <w:szCs w:val="14"/>
                <w:lang w:val="fr-FR"/>
              </w:rPr>
              <w:t>(3)</w:t>
            </w:r>
          </w:p>
        </w:tc>
        <w:tc>
          <w:tcPr>
            <w:tcW w:w="913" w:type="dxa"/>
            <w:shd w:val="clear" w:color="auto" w:fill="auto"/>
          </w:tcPr>
          <w:p w:rsidR="000E52C4" w:rsidRPr="006E2AA8" w:rsidRDefault="000E52C4" w:rsidP="006E2AA8">
            <w:pPr>
              <w:suppressAutoHyphens w:val="0"/>
              <w:spacing w:before="40" w:after="40" w:line="180" w:lineRule="exact"/>
              <w:ind w:left="57" w:right="57"/>
              <w:jc w:val="center"/>
              <w:rPr>
                <w:sz w:val="14"/>
                <w:szCs w:val="14"/>
              </w:rPr>
            </w:pPr>
            <w:r w:rsidRPr="006E2AA8">
              <w:rPr>
                <w:sz w:val="14"/>
                <w:szCs w:val="14"/>
                <w:lang w:val="fr-FR"/>
              </w:rPr>
              <w:t>(4)</w:t>
            </w:r>
          </w:p>
        </w:tc>
        <w:tc>
          <w:tcPr>
            <w:tcW w:w="815" w:type="dxa"/>
            <w:shd w:val="clear" w:color="auto" w:fill="auto"/>
          </w:tcPr>
          <w:p w:rsidR="000E52C4" w:rsidRPr="006E2AA8" w:rsidRDefault="000E52C4" w:rsidP="006E2AA8">
            <w:pPr>
              <w:suppressAutoHyphens w:val="0"/>
              <w:spacing w:before="40" w:after="40" w:line="180" w:lineRule="exact"/>
              <w:ind w:left="57" w:right="57"/>
              <w:jc w:val="center"/>
              <w:rPr>
                <w:sz w:val="14"/>
                <w:szCs w:val="14"/>
              </w:rPr>
            </w:pPr>
            <w:r w:rsidRPr="006E2AA8">
              <w:rPr>
                <w:sz w:val="14"/>
                <w:szCs w:val="14"/>
                <w:lang w:val="fr-FR"/>
              </w:rPr>
              <w:t>(5)</w:t>
            </w:r>
          </w:p>
        </w:tc>
        <w:tc>
          <w:tcPr>
            <w:tcW w:w="886" w:type="dxa"/>
            <w:shd w:val="clear" w:color="auto" w:fill="auto"/>
          </w:tcPr>
          <w:p w:rsidR="000E52C4" w:rsidRPr="006E2AA8" w:rsidRDefault="000E52C4" w:rsidP="006E2AA8">
            <w:pPr>
              <w:suppressAutoHyphens w:val="0"/>
              <w:spacing w:before="40" w:after="40" w:line="180" w:lineRule="exact"/>
              <w:ind w:left="57" w:right="57"/>
              <w:jc w:val="center"/>
              <w:rPr>
                <w:sz w:val="14"/>
                <w:szCs w:val="14"/>
              </w:rPr>
            </w:pPr>
            <w:r w:rsidRPr="006E2AA8">
              <w:rPr>
                <w:sz w:val="14"/>
                <w:szCs w:val="14"/>
                <w:lang w:val="fr-FR"/>
              </w:rPr>
              <w:t>(6)</w:t>
            </w:r>
          </w:p>
        </w:tc>
        <w:tc>
          <w:tcPr>
            <w:tcW w:w="425" w:type="dxa"/>
            <w:shd w:val="clear" w:color="auto" w:fill="auto"/>
          </w:tcPr>
          <w:p w:rsidR="000E52C4" w:rsidRPr="006E2AA8" w:rsidRDefault="000E52C4" w:rsidP="006E2AA8">
            <w:pPr>
              <w:suppressAutoHyphens w:val="0"/>
              <w:spacing w:before="40" w:after="40" w:line="180" w:lineRule="exact"/>
              <w:ind w:left="57" w:right="57"/>
              <w:jc w:val="center"/>
              <w:rPr>
                <w:sz w:val="14"/>
                <w:szCs w:val="14"/>
              </w:rPr>
            </w:pPr>
            <w:r w:rsidRPr="006E2AA8">
              <w:rPr>
                <w:sz w:val="14"/>
                <w:szCs w:val="14"/>
                <w:lang w:val="fr-FR"/>
              </w:rPr>
              <w:t>(7a)</w:t>
            </w:r>
          </w:p>
        </w:tc>
        <w:tc>
          <w:tcPr>
            <w:tcW w:w="425" w:type="dxa"/>
            <w:shd w:val="clear" w:color="auto" w:fill="auto"/>
          </w:tcPr>
          <w:p w:rsidR="000E52C4" w:rsidRPr="006E2AA8" w:rsidRDefault="000E52C4" w:rsidP="006E2AA8">
            <w:pPr>
              <w:suppressAutoHyphens w:val="0"/>
              <w:spacing w:before="40" w:after="40" w:line="180" w:lineRule="exact"/>
              <w:ind w:left="57" w:right="57"/>
              <w:jc w:val="center"/>
              <w:rPr>
                <w:sz w:val="14"/>
                <w:szCs w:val="14"/>
              </w:rPr>
            </w:pPr>
            <w:r w:rsidRPr="006E2AA8">
              <w:rPr>
                <w:sz w:val="14"/>
                <w:szCs w:val="14"/>
                <w:lang w:val="fr-FR"/>
              </w:rPr>
              <w:t>(7b)</w:t>
            </w:r>
          </w:p>
        </w:tc>
        <w:tc>
          <w:tcPr>
            <w:tcW w:w="954" w:type="dxa"/>
            <w:shd w:val="clear" w:color="auto" w:fill="auto"/>
          </w:tcPr>
          <w:p w:rsidR="000E52C4" w:rsidRPr="006E2AA8" w:rsidRDefault="000E52C4" w:rsidP="006E2AA8">
            <w:pPr>
              <w:suppressAutoHyphens w:val="0"/>
              <w:spacing w:before="40" w:after="40" w:line="180" w:lineRule="exact"/>
              <w:ind w:left="57" w:right="57"/>
              <w:jc w:val="center"/>
              <w:rPr>
                <w:sz w:val="14"/>
                <w:szCs w:val="14"/>
              </w:rPr>
            </w:pPr>
            <w:r w:rsidRPr="006E2AA8">
              <w:rPr>
                <w:sz w:val="14"/>
                <w:szCs w:val="14"/>
                <w:lang w:val="fr-FR"/>
              </w:rPr>
              <w:t>(8)</w:t>
            </w:r>
          </w:p>
        </w:tc>
        <w:tc>
          <w:tcPr>
            <w:tcW w:w="919" w:type="dxa"/>
            <w:shd w:val="clear" w:color="auto" w:fill="auto"/>
          </w:tcPr>
          <w:p w:rsidR="000E52C4" w:rsidRPr="006E2AA8" w:rsidRDefault="000E52C4" w:rsidP="006E2AA8">
            <w:pPr>
              <w:suppressAutoHyphens w:val="0"/>
              <w:spacing w:before="40" w:after="40" w:line="180" w:lineRule="exact"/>
              <w:ind w:left="57" w:right="57"/>
              <w:jc w:val="center"/>
              <w:rPr>
                <w:sz w:val="14"/>
                <w:szCs w:val="14"/>
              </w:rPr>
            </w:pPr>
            <w:r w:rsidRPr="006E2AA8">
              <w:rPr>
                <w:sz w:val="14"/>
                <w:szCs w:val="14"/>
                <w:lang w:val="fr-FR"/>
              </w:rPr>
              <w:t>(9)</w:t>
            </w:r>
          </w:p>
        </w:tc>
        <w:tc>
          <w:tcPr>
            <w:tcW w:w="1014" w:type="dxa"/>
            <w:shd w:val="clear" w:color="auto" w:fill="auto"/>
          </w:tcPr>
          <w:p w:rsidR="000E52C4" w:rsidRPr="006E2AA8" w:rsidRDefault="000E52C4" w:rsidP="006E2AA8">
            <w:pPr>
              <w:suppressAutoHyphens w:val="0"/>
              <w:spacing w:before="40" w:after="40" w:line="180" w:lineRule="exact"/>
              <w:ind w:left="57" w:right="57"/>
              <w:jc w:val="center"/>
              <w:rPr>
                <w:sz w:val="14"/>
                <w:szCs w:val="14"/>
              </w:rPr>
            </w:pPr>
            <w:r w:rsidRPr="006E2AA8">
              <w:rPr>
                <w:sz w:val="14"/>
                <w:szCs w:val="14"/>
                <w:lang w:val="fr-FR"/>
              </w:rPr>
              <w:t>(10)</w:t>
            </w:r>
          </w:p>
        </w:tc>
        <w:tc>
          <w:tcPr>
            <w:tcW w:w="933" w:type="dxa"/>
            <w:shd w:val="clear" w:color="auto" w:fill="auto"/>
          </w:tcPr>
          <w:p w:rsidR="000E52C4" w:rsidRPr="006E2AA8" w:rsidRDefault="000E52C4" w:rsidP="006E2AA8">
            <w:pPr>
              <w:suppressAutoHyphens w:val="0"/>
              <w:spacing w:before="40" w:after="40" w:line="180" w:lineRule="exact"/>
              <w:ind w:left="57" w:right="57"/>
              <w:jc w:val="center"/>
              <w:rPr>
                <w:sz w:val="14"/>
                <w:szCs w:val="14"/>
              </w:rPr>
            </w:pPr>
            <w:r w:rsidRPr="006E2AA8">
              <w:rPr>
                <w:sz w:val="14"/>
                <w:szCs w:val="14"/>
                <w:lang w:val="fr-FR"/>
              </w:rPr>
              <w:t>(11)</w:t>
            </w:r>
          </w:p>
        </w:tc>
      </w:tr>
      <w:tr w:rsidR="006E2AA8" w:rsidRPr="000E52C4" w:rsidTr="0076736E">
        <w:tc>
          <w:tcPr>
            <w:tcW w:w="431" w:type="dxa"/>
            <w:shd w:val="clear" w:color="auto" w:fill="auto"/>
          </w:tcPr>
          <w:p w:rsidR="000E52C4" w:rsidRPr="006E2AA8" w:rsidRDefault="000E52C4" w:rsidP="001D4741">
            <w:pPr>
              <w:suppressAutoHyphens w:val="0"/>
              <w:spacing w:before="40" w:after="40" w:line="180" w:lineRule="exact"/>
              <w:ind w:left="57" w:right="57"/>
              <w:jc w:val="center"/>
              <w:rPr>
                <w:sz w:val="14"/>
                <w:szCs w:val="14"/>
              </w:rPr>
            </w:pPr>
            <w:r w:rsidRPr="006E2AA8">
              <w:rPr>
                <w:sz w:val="14"/>
                <w:szCs w:val="14"/>
                <w:lang w:val="fr-FR"/>
              </w:rPr>
              <w:t>-</w:t>
            </w:r>
          </w:p>
        </w:tc>
        <w:tc>
          <w:tcPr>
            <w:tcW w:w="1134" w:type="dxa"/>
            <w:shd w:val="clear" w:color="auto" w:fill="auto"/>
            <w:vAlign w:val="bottom"/>
          </w:tcPr>
          <w:p w:rsidR="000E52C4" w:rsidRPr="006E2AA8" w:rsidRDefault="000E52C4" w:rsidP="001D4741">
            <w:pPr>
              <w:suppressAutoHyphens w:val="0"/>
              <w:spacing w:before="40" w:after="40" w:line="180" w:lineRule="exact"/>
              <w:ind w:left="57" w:right="57"/>
              <w:jc w:val="center"/>
              <w:rPr>
                <w:sz w:val="14"/>
                <w:szCs w:val="14"/>
              </w:rPr>
            </w:pPr>
            <w:r w:rsidRPr="006E2AA8">
              <w:rPr>
                <w:sz w:val="14"/>
                <w:szCs w:val="14"/>
                <w:lang w:val="fr-FR"/>
              </w:rPr>
              <w:t>3.1.2</w:t>
            </w:r>
          </w:p>
        </w:tc>
        <w:tc>
          <w:tcPr>
            <w:tcW w:w="788" w:type="dxa"/>
            <w:shd w:val="clear" w:color="auto" w:fill="auto"/>
          </w:tcPr>
          <w:p w:rsidR="000E52C4" w:rsidRPr="006E2AA8" w:rsidRDefault="000E52C4" w:rsidP="006E2AA8">
            <w:pPr>
              <w:suppressAutoHyphens w:val="0"/>
              <w:spacing w:before="40" w:after="40" w:line="180" w:lineRule="exact"/>
              <w:ind w:left="57" w:right="57"/>
              <w:jc w:val="center"/>
              <w:rPr>
                <w:sz w:val="14"/>
                <w:szCs w:val="14"/>
              </w:rPr>
            </w:pPr>
            <w:r w:rsidRPr="006E2AA8">
              <w:rPr>
                <w:sz w:val="14"/>
                <w:szCs w:val="14"/>
                <w:lang w:val="fr-FR"/>
              </w:rPr>
              <w:t>2.0</w:t>
            </w:r>
          </w:p>
        </w:tc>
        <w:tc>
          <w:tcPr>
            <w:tcW w:w="913" w:type="dxa"/>
            <w:shd w:val="clear" w:color="auto" w:fill="auto"/>
          </w:tcPr>
          <w:p w:rsidR="000E52C4" w:rsidRPr="006E2AA8" w:rsidRDefault="000E52C4" w:rsidP="006E2AA8">
            <w:pPr>
              <w:suppressAutoHyphens w:val="0"/>
              <w:spacing w:before="40" w:after="40" w:line="180" w:lineRule="exact"/>
              <w:ind w:left="57" w:right="57"/>
              <w:jc w:val="center"/>
              <w:rPr>
                <w:sz w:val="14"/>
                <w:szCs w:val="14"/>
              </w:rPr>
            </w:pPr>
            <w:r w:rsidRPr="006E2AA8">
              <w:rPr>
                <w:sz w:val="14"/>
                <w:szCs w:val="14"/>
                <w:lang w:val="fr-FR"/>
              </w:rPr>
              <w:t>2.0</w:t>
            </w:r>
          </w:p>
        </w:tc>
        <w:tc>
          <w:tcPr>
            <w:tcW w:w="815" w:type="dxa"/>
            <w:shd w:val="clear" w:color="auto" w:fill="auto"/>
          </w:tcPr>
          <w:p w:rsidR="000E52C4" w:rsidRPr="006E2AA8" w:rsidRDefault="000E52C4" w:rsidP="006E2AA8">
            <w:pPr>
              <w:suppressAutoHyphens w:val="0"/>
              <w:spacing w:before="40" w:after="40" w:line="180" w:lineRule="exact"/>
              <w:ind w:left="57" w:right="57"/>
              <w:jc w:val="center"/>
              <w:rPr>
                <w:sz w:val="14"/>
                <w:szCs w:val="14"/>
              </w:rPr>
            </w:pPr>
            <w:r w:rsidRPr="006E2AA8">
              <w:rPr>
                <w:sz w:val="14"/>
                <w:szCs w:val="14"/>
                <w:lang w:val="fr-FR"/>
              </w:rPr>
              <w:t>2.0.1.3</w:t>
            </w:r>
          </w:p>
        </w:tc>
        <w:tc>
          <w:tcPr>
            <w:tcW w:w="886" w:type="dxa"/>
            <w:shd w:val="clear" w:color="auto" w:fill="auto"/>
          </w:tcPr>
          <w:p w:rsidR="000E52C4" w:rsidRPr="006E2AA8" w:rsidRDefault="000E52C4" w:rsidP="006E2AA8">
            <w:pPr>
              <w:suppressAutoHyphens w:val="0"/>
              <w:spacing w:before="40" w:after="40" w:line="180" w:lineRule="exact"/>
              <w:ind w:left="57" w:right="57"/>
              <w:jc w:val="center"/>
              <w:rPr>
                <w:sz w:val="14"/>
                <w:szCs w:val="14"/>
              </w:rPr>
            </w:pPr>
            <w:r w:rsidRPr="006E2AA8">
              <w:rPr>
                <w:sz w:val="14"/>
                <w:szCs w:val="14"/>
                <w:lang w:val="fr-FR"/>
              </w:rPr>
              <w:t>3.3</w:t>
            </w:r>
          </w:p>
        </w:tc>
        <w:tc>
          <w:tcPr>
            <w:tcW w:w="425" w:type="dxa"/>
            <w:shd w:val="clear" w:color="auto" w:fill="auto"/>
          </w:tcPr>
          <w:p w:rsidR="000E52C4" w:rsidRPr="006E2AA8" w:rsidRDefault="000E52C4" w:rsidP="006E2AA8">
            <w:pPr>
              <w:suppressAutoHyphens w:val="0"/>
              <w:spacing w:before="40" w:after="40" w:line="180" w:lineRule="exact"/>
              <w:ind w:left="57" w:right="57"/>
              <w:jc w:val="center"/>
              <w:rPr>
                <w:sz w:val="14"/>
                <w:szCs w:val="14"/>
              </w:rPr>
            </w:pPr>
            <w:r w:rsidRPr="006E2AA8">
              <w:rPr>
                <w:sz w:val="14"/>
                <w:szCs w:val="14"/>
                <w:lang w:val="fr-FR"/>
              </w:rPr>
              <w:t>3.4</w:t>
            </w:r>
          </w:p>
        </w:tc>
        <w:tc>
          <w:tcPr>
            <w:tcW w:w="425" w:type="dxa"/>
            <w:shd w:val="clear" w:color="auto" w:fill="auto"/>
          </w:tcPr>
          <w:p w:rsidR="000E52C4" w:rsidRPr="006E2AA8" w:rsidRDefault="000E52C4" w:rsidP="006E2AA8">
            <w:pPr>
              <w:suppressAutoHyphens w:val="0"/>
              <w:spacing w:before="40" w:after="40" w:line="180" w:lineRule="exact"/>
              <w:ind w:left="57" w:right="57"/>
              <w:jc w:val="center"/>
              <w:rPr>
                <w:sz w:val="14"/>
                <w:szCs w:val="14"/>
              </w:rPr>
            </w:pPr>
            <w:r w:rsidRPr="006E2AA8">
              <w:rPr>
                <w:sz w:val="14"/>
                <w:szCs w:val="14"/>
                <w:lang w:val="fr-FR"/>
              </w:rPr>
              <w:t>3.5</w:t>
            </w:r>
          </w:p>
        </w:tc>
        <w:tc>
          <w:tcPr>
            <w:tcW w:w="954" w:type="dxa"/>
            <w:shd w:val="clear" w:color="auto" w:fill="auto"/>
          </w:tcPr>
          <w:p w:rsidR="000E52C4" w:rsidRPr="006E2AA8" w:rsidRDefault="000E52C4" w:rsidP="006E2AA8">
            <w:pPr>
              <w:suppressAutoHyphens w:val="0"/>
              <w:spacing w:before="40" w:after="40" w:line="180" w:lineRule="exact"/>
              <w:ind w:left="57" w:right="57"/>
              <w:jc w:val="center"/>
              <w:rPr>
                <w:sz w:val="14"/>
                <w:szCs w:val="14"/>
              </w:rPr>
            </w:pPr>
            <w:r w:rsidRPr="006E2AA8">
              <w:rPr>
                <w:sz w:val="14"/>
                <w:szCs w:val="14"/>
                <w:lang w:val="fr-FR"/>
              </w:rPr>
              <w:t>4.1.4</w:t>
            </w:r>
          </w:p>
        </w:tc>
        <w:tc>
          <w:tcPr>
            <w:tcW w:w="919" w:type="dxa"/>
            <w:shd w:val="clear" w:color="auto" w:fill="auto"/>
          </w:tcPr>
          <w:p w:rsidR="000E52C4" w:rsidRPr="006E2AA8" w:rsidRDefault="000E52C4" w:rsidP="006E2AA8">
            <w:pPr>
              <w:suppressAutoHyphens w:val="0"/>
              <w:spacing w:before="40" w:after="40" w:line="180" w:lineRule="exact"/>
              <w:ind w:left="57" w:right="57"/>
              <w:jc w:val="center"/>
              <w:rPr>
                <w:sz w:val="14"/>
                <w:szCs w:val="14"/>
              </w:rPr>
            </w:pPr>
            <w:r w:rsidRPr="006E2AA8">
              <w:rPr>
                <w:sz w:val="14"/>
                <w:szCs w:val="14"/>
                <w:lang w:val="fr-FR"/>
              </w:rPr>
              <w:t>4.1.4</w:t>
            </w:r>
          </w:p>
        </w:tc>
        <w:tc>
          <w:tcPr>
            <w:tcW w:w="1014" w:type="dxa"/>
            <w:shd w:val="clear" w:color="auto" w:fill="auto"/>
          </w:tcPr>
          <w:p w:rsidR="000E52C4" w:rsidRPr="006E2AA8" w:rsidRDefault="000E52C4" w:rsidP="006E2AA8">
            <w:pPr>
              <w:suppressAutoHyphens w:val="0"/>
              <w:spacing w:before="40" w:after="40" w:line="180" w:lineRule="exact"/>
              <w:ind w:left="57" w:right="57"/>
              <w:jc w:val="center"/>
              <w:rPr>
                <w:sz w:val="14"/>
                <w:szCs w:val="14"/>
              </w:rPr>
            </w:pPr>
            <w:r w:rsidRPr="006E2AA8">
              <w:rPr>
                <w:sz w:val="14"/>
                <w:szCs w:val="14"/>
                <w:lang w:val="fr-FR"/>
              </w:rPr>
              <w:t>4.2.5/4.3.2</w:t>
            </w:r>
          </w:p>
        </w:tc>
        <w:tc>
          <w:tcPr>
            <w:tcW w:w="933" w:type="dxa"/>
            <w:shd w:val="clear" w:color="auto" w:fill="auto"/>
          </w:tcPr>
          <w:p w:rsidR="000E52C4" w:rsidRPr="006E2AA8" w:rsidRDefault="000E52C4" w:rsidP="006E2AA8">
            <w:pPr>
              <w:suppressAutoHyphens w:val="0"/>
              <w:spacing w:before="40" w:after="40" w:line="180" w:lineRule="exact"/>
              <w:ind w:left="57" w:right="57"/>
              <w:jc w:val="center"/>
              <w:rPr>
                <w:sz w:val="14"/>
                <w:szCs w:val="14"/>
              </w:rPr>
            </w:pPr>
            <w:r w:rsidRPr="006E2AA8">
              <w:rPr>
                <w:sz w:val="14"/>
                <w:szCs w:val="14"/>
                <w:lang w:val="fr-FR"/>
              </w:rPr>
              <w:t>4.2.5</w:t>
            </w:r>
          </w:p>
        </w:tc>
      </w:tr>
      <w:tr w:rsidR="006E2AA8" w:rsidRPr="000E52C4" w:rsidTr="0076736E">
        <w:tc>
          <w:tcPr>
            <w:tcW w:w="431" w:type="dxa"/>
            <w:shd w:val="clear" w:color="auto" w:fill="auto"/>
          </w:tcPr>
          <w:p w:rsidR="000E52C4" w:rsidRPr="006E2AA8" w:rsidRDefault="000E52C4" w:rsidP="006E2AA8">
            <w:pPr>
              <w:suppressAutoHyphens w:val="0"/>
              <w:spacing w:before="40" w:after="40" w:line="180" w:lineRule="exact"/>
              <w:ind w:left="57" w:right="57"/>
              <w:rPr>
                <w:smallCaps/>
                <w:sz w:val="14"/>
                <w:szCs w:val="14"/>
              </w:rPr>
            </w:pPr>
            <w:r w:rsidRPr="006E2AA8">
              <w:rPr>
                <w:smallCaps/>
                <w:sz w:val="14"/>
                <w:szCs w:val="14"/>
                <w:lang w:val="fr-FR"/>
              </w:rPr>
              <w:t>3291</w:t>
            </w:r>
          </w:p>
        </w:tc>
        <w:tc>
          <w:tcPr>
            <w:tcW w:w="1134" w:type="dxa"/>
            <w:shd w:val="clear" w:color="auto" w:fill="auto"/>
          </w:tcPr>
          <w:p w:rsidR="000E52C4" w:rsidRPr="006E2AA8" w:rsidRDefault="000E52C4" w:rsidP="0076736E">
            <w:pPr>
              <w:suppressAutoHyphens w:val="0"/>
              <w:spacing w:before="40" w:after="40" w:line="180" w:lineRule="exact"/>
              <w:ind w:left="57" w:right="57"/>
              <w:rPr>
                <w:smallCaps/>
                <w:sz w:val="14"/>
                <w:szCs w:val="14"/>
              </w:rPr>
            </w:pPr>
            <w:r w:rsidRPr="006E2AA8">
              <w:rPr>
                <w:smallCaps/>
                <w:sz w:val="14"/>
                <w:szCs w:val="14"/>
                <w:lang w:val="fr-FR"/>
              </w:rPr>
              <w:t>DÉCHET D’</w:t>
            </w:r>
            <w:r w:rsidR="006E2AA8" w:rsidRPr="006E2AA8">
              <w:rPr>
                <w:smallCaps/>
                <w:sz w:val="14"/>
                <w:szCs w:val="14"/>
                <w:lang w:val="fr-FR"/>
              </w:rPr>
              <w:t>HÔPITAL, NON SPÉCIFIÉ, N.S.A</w:t>
            </w:r>
            <w:r w:rsidR="006E2AA8">
              <w:rPr>
                <w:smallCaps/>
                <w:sz w:val="14"/>
                <w:szCs w:val="14"/>
                <w:lang w:val="fr-FR"/>
              </w:rPr>
              <w:t xml:space="preserve"> </w:t>
            </w:r>
            <w:r w:rsidRPr="006E2AA8">
              <w:rPr>
                <w:smallCaps/>
                <w:sz w:val="14"/>
                <w:szCs w:val="14"/>
                <w:lang w:val="fr-FR"/>
              </w:rPr>
              <w:br/>
              <w:t>ou</w:t>
            </w:r>
          </w:p>
          <w:p w:rsidR="006E2AA8" w:rsidRDefault="000E52C4" w:rsidP="0076736E">
            <w:pPr>
              <w:suppressAutoHyphens w:val="0"/>
              <w:spacing w:before="40" w:after="40" w:line="180" w:lineRule="exact"/>
              <w:ind w:left="57" w:right="57"/>
              <w:rPr>
                <w:smallCaps/>
                <w:sz w:val="14"/>
                <w:szCs w:val="14"/>
                <w:lang w:val="fr-FR"/>
              </w:rPr>
            </w:pPr>
            <w:r w:rsidRPr="006E2AA8">
              <w:rPr>
                <w:smallCaps/>
                <w:sz w:val="14"/>
                <w:szCs w:val="14"/>
                <w:lang w:val="fr-FR"/>
              </w:rPr>
              <w:t>DÉCHET (BIO)</w:t>
            </w:r>
          </w:p>
          <w:p w:rsidR="006E2AA8" w:rsidRDefault="000E52C4" w:rsidP="0076736E">
            <w:pPr>
              <w:suppressAutoHyphens w:val="0"/>
              <w:spacing w:before="40" w:after="40" w:line="180" w:lineRule="exact"/>
              <w:ind w:left="57" w:right="57"/>
              <w:rPr>
                <w:smallCaps/>
                <w:sz w:val="14"/>
                <w:szCs w:val="14"/>
                <w:lang w:val="fr-FR"/>
              </w:rPr>
            </w:pPr>
            <w:r w:rsidRPr="006E2AA8">
              <w:rPr>
                <w:smallCaps/>
                <w:sz w:val="14"/>
                <w:szCs w:val="14"/>
                <w:lang w:val="fr-FR"/>
              </w:rPr>
              <w:t>MÉDICAL, N.S.A</w:t>
            </w:r>
          </w:p>
          <w:p w:rsidR="000E52C4" w:rsidRPr="006E2AA8" w:rsidRDefault="000E52C4" w:rsidP="0076736E">
            <w:pPr>
              <w:suppressAutoHyphens w:val="0"/>
              <w:spacing w:before="40" w:after="40" w:line="180" w:lineRule="exact"/>
              <w:ind w:left="57" w:right="57"/>
              <w:rPr>
                <w:smallCaps/>
                <w:sz w:val="14"/>
                <w:szCs w:val="14"/>
              </w:rPr>
            </w:pPr>
            <w:r w:rsidRPr="006E2AA8">
              <w:rPr>
                <w:smallCaps/>
                <w:sz w:val="14"/>
                <w:szCs w:val="14"/>
                <w:lang w:val="fr-FR"/>
              </w:rPr>
              <w:t>ou</w:t>
            </w:r>
          </w:p>
          <w:p w:rsidR="000E52C4" w:rsidRPr="006E2AA8" w:rsidRDefault="000E52C4" w:rsidP="0076736E">
            <w:pPr>
              <w:suppressAutoHyphens w:val="0"/>
              <w:spacing w:before="40" w:after="40" w:line="180" w:lineRule="exact"/>
              <w:ind w:left="57" w:right="57"/>
              <w:rPr>
                <w:smallCaps/>
                <w:sz w:val="14"/>
                <w:szCs w:val="14"/>
              </w:rPr>
            </w:pPr>
            <w:r w:rsidRPr="006E2AA8">
              <w:rPr>
                <w:smallCaps/>
                <w:sz w:val="14"/>
                <w:szCs w:val="14"/>
                <w:lang w:val="fr-FR"/>
              </w:rPr>
              <w:t>DÉCHET MÉDICAL RÉGLEMENTÉ, N.S.A.</w:t>
            </w:r>
          </w:p>
        </w:tc>
        <w:tc>
          <w:tcPr>
            <w:tcW w:w="788" w:type="dxa"/>
            <w:shd w:val="clear" w:color="auto" w:fill="auto"/>
          </w:tcPr>
          <w:p w:rsidR="000E52C4" w:rsidRPr="006E2AA8" w:rsidRDefault="000E52C4" w:rsidP="006E2AA8">
            <w:pPr>
              <w:suppressAutoHyphens w:val="0"/>
              <w:spacing w:before="40" w:after="40" w:line="180" w:lineRule="exact"/>
              <w:ind w:left="57" w:right="57"/>
              <w:jc w:val="center"/>
              <w:rPr>
                <w:smallCaps/>
                <w:sz w:val="14"/>
                <w:szCs w:val="14"/>
              </w:rPr>
            </w:pPr>
            <w:r w:rsidRPr="006E2AA8">
              <w:rPr>
                <w:smallCaps/>
                <w:sz w:val="14"/>
                <w:szCs w:val="14"/>
                <w:lang w:val="fr-FR"/>
              </w:rPr>
              <w:t>6.2</w:t>
            </w:r>
          </w:p>
        </w:tc>
        <w:tc>
          <w:tcPr>
            <w:tcW w:w="913" w:type="dxa"/>
            <w:shd w:val="clear" w:color="auto" w:fill="auto"/>
          </w:tcPr>
          <w:p w:rsidR="000E52C4" w:rsidRPr="006E2AA8" w:rsidRDefault="000E52C4" w:rsidP="006E2AA8">
            <w:pPr>
              <w:suppressAutoHyphens w:val="0"/>
              <w:spacing w:before="40" w:after="40" w:line="180" w:lineRule="exact"/>
              <w:ind w:left="57" w:right="57"/>
              <w:jc w:val="center"/>
              <w:rPr>
                <w:smallCaps/>
                <w:sz w:val="14"/>
                <w:szCs w:val="14"/>
                <w:lang w:val="en-CA"/>
              </w:rPr>
            </w:pPr>
          </w:p>
        </w:tc>
        <w:tc>
          <w:tcPr>
            <w:tcW w:w="815" w:type="dxa"/>
            <w:shd w:val="clear" w:color="auto" w:fill="auto"/>
          </w:tcPr>
          <w:p w:rsidR="000E52C4" w:rsidRPr="006E2AA8" w:rsidRDefault="000E52C4" w:rsidP="006E2AA8">
            <w:pPr>
              <w:suppressAutoHyphens w:val="0"/>
              <w:spacing w:before="40" w:after="40" w:line="180" w:lineRule="exact"/>
              <w:ind w:left="57" w:right="57"/>
              <w:jc w:val="center"/>
              <w:rPr>
                <w:smallCaps/>
                <w:strike/>
                <w:sz w:val="14"/>
                <w:szCs w:val="14"/>
              </w:rPr>
            </w:pPr>
            <w:r w:rsidRPr="006E2AA8">
              <w:rPr>
                <w:smallCaps/>
                <w:strike/>
                <w:sz w:val="14"/>
                <w:szCs w:val="14"/>
                <w:lang w:val="fr-FR"/>
              </w:rPr>
              <w:t>II</w:t>
            </w:r>
          </w:p>
        </w:tc>
        <w:tc>
          <w:tcPr>
            <w:tcW w:w="886" w:type="dxa"/>
            <w:shd w:val="clear" w:color="auto" w:fill="auto"/>
          </w:tcPr>
          <w:p w:rsidR="000E52C4" w:rsidRPr="006E2AA8" w:rsidRDefault="000E52C4" w:rsidP="006E2AA8">
            <w:pPr>
              <w:suppressAutoHyphens w:val="0"/>
              <w:spacing w:before="40" w:after="40" w:line="180" w:lineRule="exact"/>
              <w:ind w:left="57" w:right="57"/>
              <w:jc w:val="center"/>
              <w:rPr>
                <w:smallCaps/>
                <w:sz w:val="14"/>
                <w:szCs w:val="14"/>
                <w:lang w:val="en-CA"/>
              </w:rPr>
            </w:pPr>
          </w:p>
        </w:tc>
        <w:tc>
          <w:tcPr>
            <w:tcW w:w="425" w:type="dxa"/>
            <w:shd w:val="clear" w:color="auto" w:fill="auto"/>
          </w:tcPr>
          <w:p w:rsidR="000E52C4" w:rsidRPr="006E2AA8" w:rsidRDefault="000E52C4" w:rsidP="006E2AA8">
            <w:pPr>
              <w:suppressAutoHyphens w:val="0"/>
              <w:spacing w:before="40" w:after="40" w:line="180" w:lineRule="exact"/>
              <w:ind w:left="57" w:right="57"/>
              <w:jc w:val="center"/>
              <w:rPr>
                <w:smallCaps/>
                <w:sz w:val="14"/>
                <w:szCs w:val="14"/>
              </w:rPr>
            </w:pPr>
            <w:r w:rsidRPr="006E2AA8">
              <w:rPr>
                <w:smallCaps/>
                <w:sz w:val="14"/>
                <w:szCs w:val="14"/>
                <w:lang w:val="fr-FR"/>
              </w:rPr>
              <w:t>0</w:t>
            </w:r>
          </w:p>
        </w:tc>
        <w:tc>
          <w:tcPr>
            <w:tcW w:w="425" w:type="dxa"/>
            <w:shd w:val="clear" w:color="auto" w:fill="auto"/>
          </w:tcPr>
          <w:p w:rsidR="000E52C4" w:rsidRPr="006E2AA8" w:rsidRDefault="000E52C4" w:rsidP="006E2AA8">
            <w:pPr>
              <w:suppressAutoHyphens w:val="0"/>
              <w:spacing w:before="40" w:after="40" w:line="180" w:lineRule="exact"/>
              <w:ind w:left="57" w:right="57"/>
              <w:jc w:val="center"/>
              <w:rPr>
                <w:smallCaps/>
                <w:sz w:val="14"/>
                <w:szCs w:val="14"/>
              </w:rPr>
            </w:pPr>
            <w:r w:rsidRPr="006E2AA8">
              <w:rPr>
                <w:smallCaps/>
                <w:sz w:val="14"/>
                <w:szCs w:val="14"/>
                <w:lang w:val="fr-FR"/>
              </w:rPr>
              <w:t>E0</w:t>
            </w:r>
          </w:p>
        </w:tc>
        <w:tc>
          <w:tcPr>
            <w:tcW w:w="954" w:type="dxa"/>
            <w:shd w:val="clear" w:color="auto" w:fill="auto"/>
          </w:tcPr>
          <w:p w:rsidR="000E52C4" w:rsidRPr="006E2AA8" w:rsidRDefault="000E52C4" w:rsidP="006E2AA8">
            <w:pPr>
              <w:suppressAutoHyphens w:val="0"/>
              <w:spacing w:before="40" w:after="40" w:line="180" w:lineRule="exact"/>
              <w:ind w:left="57" w:right="57"/>
              <w:jc w:val="center"/>
              <w:rPr>
                <w:smallCaps/>
                <w:sz w:val="14"/>
                <w:szCs w:val="14"/>
              </w:rPr>
            </w:pPr>
            <w:r w:rsidRPr="006E2AA8">
              <w:rPr>
                <w:smallCaps/>
                <w:sz w:val="14"/>
                <w:szCs w:val="14"/>
                <w:lang w:val="fr-FR"/>
              </w:rPr>
              <w:t>P621</w:t>
            </w:r>
          </w:p>
          <w:p w:rsidR="000E52C4" w:rsidRPr="006E2AA8" w:rsidRDefault="000E52C4" w:rsidP="006E2AA8">
            <w:pPr>
              <w:suppressAutoHyphens w:val="0"/>
              <w:spacing w:before="40" w:after="40" w:line="180" w:lineRule="exact"/>
              <w:ind w:left="57" w:right="57"/>
              <w:jc w:val="center"/>
              <w:rPr>
                <w:smallCaps/>
                <w:sz w:val="14"/>
                <w:szCs w:val="14"/>
              </w:rPr>
            </w:pPr>
            <w:r w:rsidRPr="006E2AA8">
              <w:rPr>
                <w:smallCaps/>
                <w:sz w:val="14"/>
                <w:szCs w:val="14"/>
                <w:lang w:val="fr-FR"/>
              </w:rPr>
              <w:t>IBC620</w:t>
            </w:r>
          </w:p>
          <w:p w:rsidR="000E52C4" w:rsidRPr="006E2AA8" w:rsidRDefault="000E52C4" w:rsidP="006E2AA8">
            <w:pPr>
              <w:suppressAutoHyphens w:val="0"/>
              <w:spacing w:before="40" w:after="40" w:line="180" w:lineRule="exact"/>
              <w:ind w:left="57" w:right="57"/>
              <w:jc w:val="center"/>
              <w:rPr>
                <w:smallCaps/>
                <w:sz w:val="14"/>
                <w:szCs w:val="14"/>
              </w:rPr>
            </w:pPr>
            <w:r w:rsidRPr="006E2AA8">
              <w:rPr>
                <w:smallCaps/>
                <w:sz w:val="14"/>
                <w:szCs w:val="14"/>
                <w:lang w:val="fr-FR"/>
              </w:rPr>
              <w:t>LP621</w:t>
            </w:r>
          </w:p>
        </w:tc>
        <w:tc>
          <w:tcPr>
            <w:tcW w:w="919" w:type="dxa"/>
            <w:shd w:val="clear" w:color="auto" w:fill="auto"/>
          </w:tcPr>
          <w:p w:rsidR="000E52C4" w:rsidRPr="006E2AA8" w:rsidRDefault="000E52C4" w:rsidP="006E2AA8">
            <w:pPr>
              <w:suppressAutoHyphens w:val="0"/>
              <w:spacing w:before="40" w:after="40" w:line="180" w:lineRule="exact"/>
              <w:ind w:left="57" w:right="57"/>
              <w:jc w:val="center"/>
              <w:rPr>
                <w:smallCaps/>
                <w:sz w:val="14"/>
                <w:szCs w:val="14"/>
                <w:lang w:val="en-CA"/>
              </w:rPr>
            </w:pPr>
          </w:p>
        </w:tc>
        <w:tc>
          <w:tcPr>
            <w:tcW w:w="1014" w:type="dxa"/>
            <w:shd w:val="clear" w:color="auto" w:fill="auto"/>
          </w:tcPr>
          <w:p w:rsidR="000E52C4" w:rsidRPr="006E2AA8" w:rsidRDefault="000E52C4" w:rsidP="006E2AA8">
            <w:pPr>
              <w:suppressAutoHyphens w:val="0"/>
              <w:spacing w:before="40" w:after="40" w:line="180" w:lineRule="exact"/>
              <w:ind w:left="57" w:right="57"/>
              <w:jc w:val="center"/>
              <w:rPr>
                <w:smallCaps/>
                <w:sz w:val="14"/>
                <w:szCs w:val="14"/>
              </w:rPr>
            </w:pPr>
            <w:r w:rsidRPr="006E2AA8">
              <w:rPr>
                <w:smallCaps/>
                <w:sz w:val="14"/>
                <w:szCs w:val="14"/>
                <w:lang w:val="fr-FR"/>
              </w:rPr>
              <w:t>BK2</w:t>
            </w:r>
          </w:p>
        </w:tc>
        <w:tc>
          <w:tcPr>
            <w:tcW w:w="933" w:type="dxa"/>
            <w:shd w:val="clear" w:color="auto" w:fill="auto"/>
            <w:vAlign w:val="bottom"/>
          </w:tcPr>
          <w:p w:rsidR="000E52C4" w:rsidRPr="006E2AA8" w:rsidRDefault="000E52C4" w:rsidP="006E2AA8">
            <w:pPr>
              <w:suppressAutoHyphens w:val="0"/>
              <w:spacing w:before="40" w:after="40" w:line="180" w:lineRule="exact"/>
              <w:ind w:left="57" w:right="57"/>
              <w:jc w:val="right"/>
              <w:rPr>
                <w:smallCaps/>
                <w:sz w:val="14"/>
                <w:szCs w:val="14"/>
                <w:lang w:val="en-CA"/>
              </w:rPr>
            </w:pPr>
          </w:p>
        </w:tc>
      </w:tr>
    </w:tbl>
    <w:p w:rsidR="000E52C4" w:rsidRPr="001D4741" w:rsidRDefault="001D4741" w:rsidP="001D474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0E52C4" w:rsidRPr="001D4741" w:rsidSect="00161F8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EC8" w:rsidRDefault="00C93EC8" w:rsidP="00F95C08">
      <w:pPr>
        <w:spacing w:line="240" w:lineRule="auto"/>
      </w:pPr>
    </w:p>
  </w:endnote>
  <w:endnote w:type="continuationSeparator" w:id="0">
    <w:p w:rsidR="00C93EC8" w:rsidRPr="00AC3823" w:rsidRDefault="00C93EC8" w:rsidP="00AC3823">
      <w:pPr>
        <w:pStyle w:val="Footer"/>
      </w:pPr>
    </w:p>
  </w:endnote>
  <w:endnote w:type="continuationNotice" w:id="1">
    <w:p w:rsidR="00C93EC8" w:rsidRDefault="00C93E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8D" w:rsidRPr="00161F8D" w:rsidRDefault="00161F8D" w:rsidP="00161F8D">
    <w:pPr>
      <w:pStyle w:val="Footer"/>
      <w:tabs>
        <w:tab w:val="right" w:pos="9638"/>
      </w:tabs>
    </w:pPr>
    <w:r w:rsidRPr="00161F8D">
      <w:rPr>
        <w:b/>
        <w:sz w:val="18"/>
      </w:rPr>
      <w:fldChar w:fldCharType="begin"/>
    </w:r>
    <w:r w:rsidRPr="00161F8D">
      <w:rPr>
        <w:b/>
        <w:sz w:val="18"/>
      </w:rPr>
      <w:instrText xml:space="preserve"> PAGE  \* MERGEFORMAT </w:instrText>
    </w:r>
    <w:r w:rsidRPr="00161F8D">
      <w:rPr>
        <w:b/>
        <w:sz w:val="18"/>
      </w:rPr>
      <w:fldChar w:fldCharType="separate"/>
    </w:r>
    <w:r w:rsidR="00933C1D">
      <w:rPr>
        <w:b/>
        <w:noProof/>
        <w:sz w:val="18"/>
      </w:rPr>
      <w:t>2</w:t>
    </w:r>
    <w:r w:rsidRPr="00161F8D">
      <w:rPr>
        <w:b/>
        <w:sz w:val="18"/>
      </w:rPr>
      <w:fldChar w:fldCharType="end"/>
    </w:r>
    <w:r>
      <w:rPr>
        <w:b/>
        <w:sz w:val="18"/>
      </w:rPr>
      <w:tab/>
    </w:r>
    <w:r>
      <w:t>GE.17-15304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8D" w:rsidRPr="00161F8D" w:rsidRDefault="00161F8D" w:rsidP="00161F8D">
    <w:pPr>
      <w:pStyle w:val="Footer"/>
      <w:tabs>
        <w:tab w:val="right" w:pos="9638"/>
      </w:tabs>
      <w:rPr>
        <w:b/>
        <w:sz w:val="18"/>
      </w:rPr>
    </w:pPr>
    <w:r>
      <w:t>GE.17-15304</w:t>
    </w:r>
    <w:r>
      <w:tab/>
    </w:r>
    <w:r w:rsidRPr="00161F8D">
      <w:rPr>
        <w:b/>
        <w:sz w:val="18"/>
      </w:rPr>
      <w:fldChar w:fldCharType="begin"/>
    </w:r>
    <w:r w:rsidRPr="00161F8D">
      <w:rPr>
        <w:b/>
        <w:sz w:val="18"/>
      </w:rPr>
      <w:instrText xml:space="preserve"> PAGE  \* MERGEFORMAT </w:instrText>
    </w:r>
    <w:r w:rsidRPr="00161F8D">
      <w:rPr>
        <w:b/>
        <w:sz w:val="18"/>
      </w:rPr>
      <w:fldChar w:fldCharType="separate"/>
    </w:r>
    <w:r w:rsidR="00C579F4">
      <w:rPr>
        <w:b/>
        <w:noProof/>
        <w:sz w:val="18"/>
      </w:rPr>
      <w:t>2</w:t>
    </w:r>
    <w:r w:rsidRPr="00161F8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161F8D" w:rsidRDefault="00161F8D" w:rsidP="00161F8D">
    <w:pPr>
      <w:pStyle w:val="Footer"/>
      <w:spacing w:before="120"/>
      <w:rPr>
        <w:sz w:val="20"/>
      </w:rPr>
    </w:pPr>
    <w:r>
      <w:rPr>
        <w:sz w:val="20"/>
      </w:rPr>
      <w:t>GE.</w:t>
    </w:r>
    <w:r w:rsidR="0068456F">
      <w:rPr>
        <w:noProof/>
        <w:lang w:val="en-GB" w:eastAsia="en-GB"/>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17-15304  (F)</w:t>
    </w:r>
    <w:r w:rsidR="00F731BD">
      <w:rPr>
        <w:sz w:val="20"/>
      </w:rPr>
      <w:t xml:space="preserve">    280917    290917</w:t>
    </w:r>
    <w:r>
      <w:rPr>
        <w:sz w:val="20"/>
      </w:rPr>
      <w:br/>
    </w:r>
    <w:r w:rsidRPr="00161F8D">
      <w:rPr>
        <w:rFonts w:ascii="C39T30Lfz" w:hAnsi="C39T30Lfz"/>
        <w:sz w:val="56"/>
      </w:rPr>
      <w:t></w:t>
    </w:r>
    <w:r w:rsidRPr="00161F8D">
      <w:rPr>
        <w:rFonts w:ascii="C39T30Lfz" w:hAnsi="C39T30Lfz"/>
        <w:sz w:val="56"/>
      </w:rPr>
      <w:t></w:t>
    </w:r>
    <w:r w:rsidRPr="00161F8D">
      <w:rPr>
        <w:rFonts w:ascii="C39T30Lfz" w:hAnsi="C39T30Lfz"/>
        <w:sz w:val="56"/>
      </w:rPr>
      <w:t></w:t>
    </w:r>
    <w:r w:rsidRPr="00161F8D">
      <w:rPr>
        <w:rFonts w:ascii="C39T30Lfz" w:hAnsi="C39T30Lfz"/>
        <w:sz w:val="56"/>
      </w:rPr>
      <w:t></w:t>
    </w:r>
    <w:r w:rsidRPr="00161F8D">
      <w:rPr>
        <w:rFonts w:ascii="C39T30Lfz" w:hAnsi="C39T30Lfz"/>
        <w:sz w:val="56"/>
      </w:rPr>
      <w:t></w:t>
    </w:r>
    <w:r w:rsidRPr="00161F8D">
      <w:rPr>
        <w:rFonts w:ascii="C39T30Lfz" w:hAnsi="C39T30Lfz"/>
        <w:sz w:val="56"/>
      </w:rPr>
      <w:t></w:t>
    </w:r>
    <w:r w:rsidRPr="00161F8D">
      <w:rPr>
        <w:rFonts w:ascii="C39T30Lfz" w:hAnsi="C39T30Lfz"/>
        <w:sz w:val="56"/>
      </w:rPr>
      <w:t></w:t>
    </w:r>
    <w:r w:rsidRPr="00161F8D">
      <w:rPr>
        <w:rFonts w:ascii="C39T30Lfz" w:hAnsi="C39T30Lfz"/>
        <w:sz w:val="56"/>
      </w:rPr>
      <w:t></w:t>
    </w:r>
    <w:r w:rsidRPr="00161F8D">
      <w:rPr>
        <w:rFonts w:ascii="C39T30Lfz" w:hAnsi="C39T30Lfz"/>
        <w:sz w:val="56"/>
      </w:rPr>
      <w:t></w:t>
    </w:r>
    <w:r>
      <w:rPr>
        <w:noProof/>
        <w:sz w:val="20"/>
        <w:lang w:val="en-GB" w:eastAsia="en-GB"/>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7/4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7/4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EC8" w:rsidRPr="00AC3823" w:rsidRDefault="00C93EC8" w:rsidP="00AC3823">
      <w:pPr>
        <w:pStyle w:val="Footer"/>
        <w:tabs>
          <w:tab w:val="right" w:pos="2155"/>
        </w:tabs>
        <w:spacing w:after="80" w:line="240" w:lineRule="atLeast"/>
        <w:ind w:left="680"/>
        <w:rPr>
          <w:u w:val="single"/>
        </w:rPr>
      </w:pPr>
      <w:r>
        <w:rPr>
          <w:u w:val="single"/>
        </w:rPr>
        <w:tab/>
      </w:r>
    </w:p>
  </w:footnote>
  <w:footnote w:type="continuationSeparator" w:id="0">
    <w:p w:rsidR="00C93EC8" w:rsidRPr="00AC3823" w:rsidRDefault="00C93EC8" w:rsidP="00AC3823">
      <w:pPr>
        <w:pStyle w:val="Footer"/>
        <w:tabs>
          <w:tab w:val="right" w:pos="2155"/>
        </w:tabs>
        <w:spacing w:after="80" w:line="240" w:lineRule="atLeast"/>
        <w:ind w:left="680"/>
        <w:rPr>
          <w:u w:val="single"/>
        </w:rPr>
      </w:pPr>
      <w:r>
        <w:rPr>
          <w:u w:val="single"/>
        </w:rPr>
        <w:tab/>
      </w:r>
    </w:p>
  </w:footnote>
  <w:footnote w:type="continuationNotice" w:id="1">
    <w:p w:rsidR="00C93EC8" w:rsidRPr="00AC3823" w:rsidRDefault="00C93EC8">
      <w:pPr>
        <w:spacing w:line="240" w:lineRule="auto"/>
        <w:rPr>
          <w:sz w:val="2"/>
          <w:szCs w:val="2"/>
        </w:rPr>
      </w:pPr>
    </w:p>
  </w:footnote>
  <w:footnote w:id="2">
    <w:p w:rsidR="00E33102" w:rsidRPr="00E33102" w:rsidRDefault="00E33102" w:rsidP="00185C26">
      <w:pPr>
        <w:pStyle w:val="FootnoteText"/>
      </w:pPr>
      <w:r>
        <w:rPr>
          <w:rStyle w:val="FootnoteReference"/>
        </w:rPr>
        <w:tab/>
      </w:r>
      <w:r w:rsidRPr="00E33102">
        <w:rPr>
          <w:rStyle w:val="FootnoteReference"/>
          <w:sz w:val="20"/>
          <w:vertAlign w:val="baseline"/>
        </w:rPr>
        <w:t>*</w:t>
      </w:r>
      <w:r>
        <w:rPr>
          <w:rStyle w:val="FootnoteReference"/>
          <w:sz w:val="20"/>
          <w:vertAlign w:val="baseline"/>
        </w:rPr>
        <w:tab/>
      </w:r>
      <w:r w:rsidR="0075633E" w:rsidRPr="00E33102">
        <w:rPr>
          <w:lang w:val="fr-FR"/>
        </w:rPr>
        <w:t>Conformément au programme de travail du Sous</w:t>
      </w:r>
      <w:r w:rsidR="006115E5">
        <w:rPr>
          <w:lang w:val="fr-FR"/>
        </w:rPr>
        <w:noBreakHyphen/>
      </w:r>
      <w:r w:rsidR="0075633E" w:rsidRPr="00E33102">
        <w:rPr>
          <w:lang w:val="fr-FR"/>
        </w:rPr>
        <w:t>Comité pour la période 2017</w:t>
      </w:r>
      <w:r>
        <w:rPr>
          <w:lang w:val="fr-FR"/>
        </w:rPr>
        <w:noBreakHyphen/>
      </w:r>
      <w:r w:rsidR="0075633E" w:rsidRPr="00E33102">
        <w:rPr>
          <w:lang w:val="fr-FR"/>
        </w:rPr>
        <w:t xml:space="preserve">2018 tel qu’approuvé par le Comité à sa huitième session </w:t>
      </w:r>
      <w:r>
        <w:rPr>
          <w:lang w:val="fr-FR"/>
        </w:rPr>
        <w:t xml:space="preserve">(voir ST/SG/AC.10/C.3/100, par. 98, </w:t>
      </w:r>
      <w:r w:rsidR="0045668A">
        <w:rPr>
          <w:lang w:val="fr-FR"/>
        </w:rPr>
        <w:br/>
      </w:r>
      <w:r>
        <w:rPr>
          <w:lang w:val="fr-FR"/>
        </w:rPr>
        <w:t>et ST/SG/AC.10/44, par. </w:t>
      </w:r>
      <w:r w:rsidR="0075633E" w:rsidRPr="00E33102">
        <w:rPr>
          <w:lang w:val="fr-FR"/>
        </w:rPr>
        <w:t>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8D" w:rsidRPr="00161F8D" w:rsidRDefault="00933C1D">
    <w:pPr>
      <w:pStyle w:val="Header"/>
    </w:pPr>
    <w:r>
      <w:fldChar w:fldCharType="begin"/>
    </w:r>
    <w:r>
      <w:instrText xml:space="preserve"> TITLE  \* MERGEFORMAT </w:instrText>
    </w:r>
    <w:r>
      <w:fldChar w:fldCharType="separate"/>
    </w:r>
    <w:r>
      <w:t>ST/SG/AC.10/C.3/2017/42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8D" w:rsidRPr="00161F8D" w:rsidRDefault="00933C1D" w:rsidP="00161F8D">
    <w:pPr>
      <w:pStyle w:val="Header"/>
      <w:jc w:val="right"/>
    </w:pPr>
    <w:r>
      <w:fldChar w:fldCharType="begin"/>
    </w:r>
    <w:r>
      <w:instrText xml:space="preserve"> TITLE  \* MERGEFORMAT </w:instrText>
    </w:r>
    <w:r>
      <w:fldChar w:fldCharType="separate"/>
    </w:r>
    <w:r>
      <w:t>ST/SG/AC.10/C.3/2017/42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C8"/>
    <w:rsid w:val="00017F94"/>
    <w:rsid w:val="00023842"/>
    <w:rsid w:val="000305D3"/>
    <w:rsid w:val="000334F9"/>
    <w:rsid w:val="0007796D"/>
    <w:rsid w:val="000B4C8C"/>
    <w:rsid w:val="000B7790"/>
    <w:rsid w:val="000E52C4"/>
    <w:rsid w:val="00111F2F"/>
    <w:rsid w:val="00132EA9"/>
    <w:rsid w:val="0014365E"/>
    <w:rsid w:val="00161F8D"/>
    <w:rsid w:val="00176178"/>
    <w:rsid w:val="00185C26"/>
    <w:rsid w:val="001D4741"/>
    <w:rsid w:val="001F525A"/>
    <w:rsid w:val="00223272"/>
    <w:rsid w:val="0024779E"/>
    <w:rsid w:val="00283190"/>
    <w:rsid w:val="002832AC"/>
    <w:rsid w:val="002D7C93"/>
    <w:rsid w:val="00365535"/>
    <w:rsid w:val="00441C3B"/>
    <w:rsid w:val="00446FE5"/>
    <w:rsid w:val="00452396"/>
    <w:rsid w:val="0045668A"/>
    <w:rsid w:val="004E468C"/>
    <w:rsid w:val="005505B7"/>
    <w:rsid w:val="00573BE5"/>
    <w:rsid w:val="00584DC4"/>
    <w:rsid w:val="00586ED3"/>
    <w:rsid w:val="005920A8"/>
    <w:rsid w:val="00596AA9"/>
    <w:rsid w:val="006115E5"/>
    <w:rsid w:val="0068456F"/>
    <w:rsid w:val="006A75D5"/>
    <w:rsid w:val="006E2AA8"/>
    <w:rsid w:val="0071601D"/>
    <w:rsid w:val="00741702"/>
    <w:rsid w:val="0075633E"/>
    <w:rsid w:val="0076736E"/>
    <w:rsid w:val="00787D49"/>
    <w:rsid w:val="007A62E6"/>
    <w:rsid w:val="0080684C"/>
    <w:rsid w:val="00867845"/>
    <w:rsid w:val="00871C75"/>
    <w:rsid w:val="008776DC"/>
    <w:rsid w:val="008A15A3"/>
    <w:rsid w:val="008B40CD"/>
    <w:rsid w:val="00933C1D"/>
    <w:rsid w:val="00961404"/>
    <w:rsid w:val="009705C8"/>
    <w:rsid w:val="009C1CF4"/>
    <w:rsid w:val="00A30353"/>
    <w:rsid w:val="00AC3823"/>
    <w:rsid w:val="00AE323C"/>
    <w:rsid w:val="00B00181"/>
    <w:rsid w:val="00B00B0D"/>
    <w:rsid w:val="00B11F26"/>
    <w:rsid w:val="00B765F7"/>
    <w:rsid w:val="00BA0CA9"/>
    <w:rsid w:val="00BE54E0"/>
    <w:rsid w:val="00C02897"/>
    <w:rsid w:val="00C40361"/>
    <w:rsid w:val="00C43864"/>
    <w:rsid w:val="00C579F4"/>
    <w:rsid w:val="00C93EC8"/>
    <w:rsid w:val="00CB1D23"/>
    <w:rsid w:val="00D20BCD"/>
    <w:rsid w:val="00D3439C"/>
    <w:rsid w:val="00DB1831"/>
    <w:rsid w:val="00DD3BFD"/>
    <w:rsid w:val="00DF6678"/>
    <w:rsid w:val="00E33102"/>
    <w:rsid w:val="00E53BC3"/>
    <w:rsid w:val="00EC319E"/>
    <w:rsid w:val="00EF2E22"/>
    <w:rsid w:val="00F01738"/>
    <w:rsid w:val="00F660DF"/>
    <w:rsid w:val="00F730C8"/>
    <w:rsid w:val="00F731BD"/>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2601</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ST/SG/AC.10/C.3/2017/42</vt:lpstr>
      <vt:lpstr>ST/SG/AC.10/C.3/2017/42</vt:lpstr>
    </vt:vector>
  </TitlesOfParts>
  <Company>DCM</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ST/SG/AC.10/C.3/2017/42</dc:title>
  <dc:creator>DEVOS</dc:creator>
  <cp:lastModifiedBy>Laurence Berthet</cp:lastModifiedBy>
  <cp:revision>3</cp:revision>
  <cp:lastPrinted>2017-09-29T09:10:00Z</cp:lastPrinted>
  <dcterms:created xsi:type="dcterms:W3CDTF">2017-09-29T09:10:00Z</dcterms:created>
  <dcterms:modified xsi:type="dcterms:W3CDTF">2017-09-29T09:11:00Z</dcterms:modified>
</cp:coreProperties>
</file>