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E4610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E4610E" w:rsidP="00E4610E">
            <w:pPr>
              <w:jc w:val="right"/>
            </w:pPr>
            <w:r w:rsidRPr="00E4610E">
              <w:rPr>
                <w:sz w:val="40"/>
              </w:rPr>
              <w:t>ST</w:t>
            </w:r>
            <w:r>
              <w:t>/SG/AC.10/C.3/2017/17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6F62D36" wp14:editId="5D31738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E4610E" w:rsidP="00F01738">
            <w:pPr>
              <w:spacing w:before="240"/>
            </w:pPr>
            <w:r>
              <w:t>Distr. générale</w:t>
            </w:r>
          </w:p>
          <w:p w:rsidR="00E4610E" w:rsidRDefault="003842CE" w:rsidP="00E4610E">
            <w:pPr>
              <w:spacing w:line="240" w:lineRule="exact"/>
            </w:pPr>
            <w:r>
              <w:t>4 avril 2017</w:t>
            </w:r>
          </w:p>
          <w:p w:rsidR="00E4610E" w:rsidRDefault="00E4610E" w:rsidP="00E4610E">
            <w:pPr>
              <w:spacing w:line="240" w:lineRule="exact"/>
            </w:pPr>
            <w:r>
              <w:t>Français</w:t>
            </w:r>
          </w:p>
          <w:p w:rsidR="00E4610E" w:rsidRPr="00DB58B5" w:rsidRDefault="00E4610E" w:rsidP="00E4610E">
            <w:pPr>
              <w:spacing w:line="240" w:lineRule="exact"/>
            </w:pPr>
            <w:r>
              <w:t>Original : anglais</w:t>
            </w:r>
          </w:p>
        </w:tc>
      </w:tr>
    </w:tbl>
    <w:p w:rsidR="00E4610E" w:rsidRPr="009827C8" w:rsidRDefault="00E4610E" w:rsidP="0049193F">
      <w:pPr>
        <w:spacing w:before="120"/>
        <w:rPr>
          <w:b/>
          <w:sz w:val="24"/>
          <w:szCs w:val="24"/>
          <w:lang w:val="fr-FR"/>
        </w:rPr>
      </w:pPr>
      <w:r w:rsidRPr="009827C8">
        <w:rPr>
          <w:b/>
          <w:sz w:val="24"/>
          <w:szCs w:val="24"/>
          <w:lang w:val="fr-FR"/>
        </w:rPr>
        <w:t>Comité d’experts du transport des marchandises dangereuses</w:t>
      </w:r>
      <w:r w:rsidR="009827C8">
        <w:rPr>
          <w:b/>
          <w:sz w:val="24"/>
          <w:szCs w:val="24"/>
          <w:lang w:val="fr-FR"/>
        </w:rPr>
        <w:br/>
      </w:r>
      <w:r w:rsidRPr="009827C8">
        <w:rPr>
          <w:b/>
          <w:sz w:val="24"/>
          <w:szCs w:val="24"/>
          <w:lang w:val="fr-FR"/>
        </w:rPr>
        <w:t>et du Système général harmonisé de classification</w:t>
      </w:r>
      <w:r w:rsidR="009827C8">
        <w:rPr>
          <w:b/>
          <w:sz w:val="24"/>
          <w:szCs w:val="24"/>
          <w:lang w:val="fr-FR"/>
        </w:rPr>
        <w:br/>
      </w:r>
      <w:r w:rsidRPr="009827C8">
        <w:rPr>
          <w:b/>
          <w:sz w:val="24"/>
          <w:szCs w:val="24"/>
          <w:lang w:val="fr-FR"/>
        </w:rPr>
        <w:t>et d’étiquetage des produits chimiques</w:t>
      </w:r>
    </w:p>
    <w:p w:rsidR="00E4610E" w:rsidRPr="0045514D" w:rsidRDefault="00E4610E" w:rsidP="009827C8">
      <w:pPr>
        <w:spacing w:before="120" w:after="120"/>
        <w:rPr>
          <w:b/>
          <w:lang w:val="fr-FR"/>
        </w:rPr>
      </w:pPr>
      <w:r w:rsidRPr="0045514D">
        <w:rPr>
          <w:b/>
          <w:lang w:val="fr-FR"/>
        </w:rPr>
        <w:t>Sous-Comité d</w:t>
      </w:r>
      <w:r>
        <w:rPr>
          <w:b/>
          <w:lang w:val="fr-FR"/>
        </w:rPr>
        <w:t>’</w:t>
      </w:r>
      <w:r w:rsidRPr="0045514D">
        <w:rPr>
          <w:b/>
          <w:lang w:val="fr-FR"/>
        </w:rPr>
        <w:t>experts du transport des marchandises dangereuses</w:t>
      </w:r>
    </w:p>
    <w:p w:rsidR="00E4610E" w:rsidRPr="0045514D" w:rsidRDefault="00E4610E" w:rsidP="009827C8">
      <w:pPr>
        <w:rPr>
          <w:b/>
          <w:lang w:val="fr-FR"/>
        </w:rPr>
      </w:pPr>
      <w:r w:rsidRPr="0045514D">
        <w:rPr>
          <w:b/>
          <w:lang w:val="fr-FR"/>
        </w:rPr>
        <w:t>Cinquante et unième</w:t>
      </w:r>
      <w:r w:rsidR="003842CE">
        <w:rPr>
          <w:b/>
          <w:lang w:val="fr-FR"/>
        </w:rPr>
        <w:t xml:space="preserve"> </w:t>
      </w:r>
      <w:r w:rsidRPr="0045514D">
        <w:rPr>
          <w:b/>
          <w:lang w:val="fr-FR"/>
        </w:rPr>
        <w:t>session</w:t>
      </w:r>
    </w:p>
    <w:p w:rsidR="00E4610E" w:rsidRPr="0045514D" w:rsidRDefault="00E4610E" w:rsidP="009827C8">
      <w:pPr>
        <w:rPr>
          <w:lang w:val="fr-FR"/>
        </w:rPr>
      </w:pPr>
      <w:r w:rsidRPr="0045514D">
        <w:rPr>
          <w:lang w:val="fr-FR"/>
        </w:rPr>
        <w:t xml:space="preserve">Genève, </w:t>
      </w:r>
      <w:r w:rsidRPr="0045514D">
        <w:rPr>
          <w:color w:val="333333"/>
          <w:lang w:val="fr-FR" w:eastAsia="it-IT"/>
        </w:rPr>
        <w:t>3</w:t>
      </w:r>
      <w:r w:rsidR="009827C8">
        <w:rPr>
          <w:color w:val="333333"/>
          <w:lang w:val="fr-FR" w:eastAsia="it-IT"/>
        </w:rPr>
        <w:t>-</w:t>
      </w:r>
      <w:r w:rsidRPr="0045514D">
        <w:rPr>
          <w:color w:val="333333"/>
          <w:lang w:val="fr-FR" w:eastAsia="it-IT"/>
        </w:rPr>
        <w:t>7 juillet 2017</w:t>
      </w:r>
    </w:p>
    <w:p w:rsidR="00E4610E" w:rsidRPr="0045514D" w:rsidRDefault="00E4610E" w:rsidP="009827C8">
      <w:pPr>
        <w:rPr>
          <w:lang w:val="fr-FR"/>
        </w:rPr>
      </w:pPr>
      <w:r w:rsidRPr="0045514D">
        <w:rPr>
          <w:lang w:val="fr-FR"/>
        </w:rPr>
        <w:t>Point 5 b) de l</w:t>
      </w:r>
      <w:r>
        <w:rPr>
          <w:lang w:val="fr-FR"/>
        </w:rPr>
        <w:t>’</w:t>
      </w:r>
      <w:r w:rsidRPr="0045514D">
        <w:rPr>
          <w:lang w:val="fr-FR"/>
        </w:rPr>
        <w:t>ordre du jour provisoire</w:t>
      </w:r>
    </w:p>
    <w:p w:rsidR="00E4610E" w:rsidRPr="0045514D" w:rsidRDefault="009827C8" w:rsidP="009827C8">
      <w:pPr>
        <w:rPr>
          <w:lang w:val="fr-FR"/>
        </w:rPr>
      </w:pPr>
      <w:r>
        <w:rPr>
          <w:b/>
          <w:lang w:val="fr-FR"/>
        </w:rPr>
        <w:t>Transport de gaz </w:t>
      </w:r>
      <w:r w:rsidR="00E4610E" w:rsidRPr="0045514D">
        <w:rPr>
          <w:b/>
          <w:lang w:val="fr-FR"/>
        </w:rPr>
        <w:t>: questions diverses</w:t>
      </w:r>
    </w:p>
    <w:p w:rsidR="00E4610E" w:rsidRPr="0045514D" w:rsidRDefault="00E4610E" w:rsidP="002A5026">
      <w:pPr>
        <w:pStyle w:val="HChG"/>
        <w:rPr>
          <w:lang w:val="fr-FR"/>
        </w:rPr>
      </w:pPr>
      <w:r w:rsidRPr="0045514D">
        <w:rPr>
          <w:lang w:val="fr-FR"/>
        </w:rPr>
        <w:tab/>
      </w:r>
      <w:r w:rsidRPr="0045514D">
        <w:rPr>
          <w:lang w:val="fr-FR"/>
        </w:rPr>
        <w:tab/>
        <w:t>Mise à jour des normes ISO relatives à la classe 2</w:t>
      </w:r>
    </w:p>
    <w:p w:rsidR="00E4610E" w:rsidRPr="0045514D" w:rsidRDefault="00E4610E" w:rsidP="002A5026">
      <w:pPr>
        <w:pStyle w:val="H1G"/>
        <w:rPr>
          <w:b w:val="0"/>
          <w:lang w:val="fr-FR"/>
        </w:rPr>
      </w:pPr>
      <w:r w:rsidRPr="0045514D">
        <w:rPr>
          <w:lang w:val="fr-FR"/>
        </w:rPr>
        <w:tab/>
      </w:r>
      <w:r w:rsidRPr="0045514D">
        <w:rPr>
          <w:lang w:val="fr-FR"/>
        </w:rPr>
        <w:tab/>
        <w:t>Communication de l</w:t>
      </w:r>
      <w:r>
        <w:rPr>
          <w:lang w:val="fr-FR"/>
        </w:rPr>
        <w:t>’</w:t>
      </w:r>
      <w:r w:rsidRPr="0045514D">
        <w:rPr>
          <w:lang w:val="fr-FR"/>
        </w:rPr>
        <w:t xml:space="preserve">Organisation </w:t>
      </w:r>
      <w:r w:rsidRPr="002A5026">
        <w:t>internationale</w:t>
      </w:r>
      <w:r w:rsidR="009827C8">
        <w:rPr>
          <w:lang w:val="fr-FR"/>
        </w:rPr>
        <w:t xml:space="preserve"> de normalisation</w:t>
      </w:r>
      <w:r w:rsidR="009827C8">
        <w:rPr>
          <w:lang w:val="fr-FR"/>
        </w:rPr>
        <w:br/>
      </w:r>
      <w:r w:rsidRPr="0045514D">
        <w:rPr>
          <w:lang w:val="fr-FR"/>
        </w:rPr>
        <w:t>(ISO)</w:t>
      </w:r>
      <w:r w:rsidRPr="0045514D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E4610E" w:rsidRPr="0045514D" w:rsidRDefault="00E4610E" w:rsidP="002A5026">
      <w:pPr>
        <w:pStyle w:val="HChG"/>
        <w:rPr>
          <w:lang w:val="fr-FR"/>
        </w:rPr>
      </w:pPr>
      <w:r w:rsidRPr="0045514D">
        <w:rPr>
          <w:lang w:val="fr-FR"/>
        </w:rPr>
        <w:tab/>
      </w:r>
      <w:r w:rsidRPr="0045514D">
        <w:rPr>
          <w:lang w:val="fr-FR"/>
        </w:rPr>
        <w:tab/>
      </w:r>
      <w:r w:rsidRPr="002A5026">
        <w:t>Introduction</w:t>
      </w:r>
    </w:p>
    <w:p w:rsidR="00E4610E" w:rsidRPr="0045514D" w:rsidRDefault="009827C8" w:rsidP="002A5026">
      <w:pPr>
        <w:pStyle w:val="ParNoG"/>
        <w:rPr>
          <w:lang w:val="fr-FR"/>
        </w:rPr>
      </w:pPr>
      <w:r>
        <w:rPr>
          <w:lang w:val="fr-FR"/>
        </w:rPr>
        <w:t>L</w:t>
      </w:r>
      <w:r w:rsidR="00E4610E" w:rsidRPr="0045514D">
        <w:rPr>
          <w:lang w:val="fr-FR"/>
        </w:rPr>
        <w:t xml:space="preserve">es propositions </w:t>
      </w:r>
      <w:r>
        <w:rPr>
          <w:lang w:val="fr-FR"/>
        </w:rPr>
        <w:t xml:space="preserve">soumises dans le présent document </w:t>
      </w:r>
      <w:r w:rsidR="00E4610E" w:rsidRPr="0045514D">
        <w:rPr>
          <w:lang w:val="fr-FR"/>
        </w:rPr>
        <w:t xml:space="preserve">concernent quatre normes, parmi lesquelles trois </w:t>
      </w:r>
      <w:r>
        <w:rPr>
          <w:lang w:val="fr-FR"/>
        </w:rPr>
        <w:t>sont</w:t>
      </w:r>
      <w:r w:rsidR="00E4610E" w:rsidRPr="0045514D">
        <w:rPr>
          <w:lang w:val="fr-FR"/>
        </w:rPr>
        <w:t xml:space="preserve"> déjà </w:t>
      </w:r>
      <w:r>
        <w:rPr>
          <w:lang w:val="fr-FR"/>
        </w:rPr>
        <w:t xml:space="preserve">citées </w:t>
      </w:r>
      <w:r w:rsidR="00E4610E" w:rsidRPr="0045514D">
        <w:rPr>
          <w:lang w:val="fr-FR"/>
        </w:rPr>
        <w:t>dans le Règlement type et sont mises à jour moyennant deux modifications et une révision. La quatrième est une nouvelle norme relative à la construction de bouteilles</w:t>
      </w:r>
      <w:r>
        <w:rPr>
          <w:lang w:val="fr-FR"/>
        </w:rPr>
        <w:t xml:space="preserve"> </w:t>
      </w:r>
      <w:r w:rsidRPr="0045514D">
        <w:rPr>
          <w:lang w:val="fr-FR"/>
        </w:rPr>
        <w:t>composite</w:t>
      </w:r>
      <w:r>
        <w:rPr>
          <w:lang w:val="fr-FR"/>
        </w:rPr>
        <w:t>s</w:t>
      </w:r>
      <w:r w:rsidR="005F6674">
        <w:rPr>
          <w:lang w:val="fr-FR"/>
        </w:rPr>
        <w:t>.</w:t>
      </w:r>
    </w:p>
    <w:p w:rsidR="00E4610E" w:rsidRPr="0045514D" w:rsidRDefault="00E4610E" w:rsidP="002A5026">
      <w:pPr>
        <w:pStyle w:val="SingleTxtG"/>
        <w:ind w:left="1701" w:hanging="567"/>
        <w:rPr>
          <w:lang w:val="fr-FR"/>
        </w:rPr>
      </w:pPr>
      <w:r w:rsidRPr="0045514D">
        <w:rPr>
          <w:lang w:val="fr-FR"/>
        </w:rPr>
        <w:t>Les titres de ces normes sont</w:t>
      </w:r>
      <w:r w:rsidR="009827C8">
        <w:rPr>
          <w:lang w:val="fr-FR"/>
        </w:rPr>
        <w:t> </w:t>
      </w:r>
      <w:r w:rsidRPr="0045514D">
        <w:rPr>
          <w:lang w:val="fr-FR"/>
        </w:rPr>
        <w:t xml:space="preserve">: </w:t>
      </w:r>
    </w:p>
    <w:p w:rsidR="00E4610E" w:rsidRPr="0045514D" w:rsidRDefault="00E4610E" w:rsidP="002A5026">
      <w:pPr>
        <w:pStyle w:val="SingleTxtG"/>
        <w:ind w:left="1701"/>
        <w:rPr>
          <w:color w:val="000000"/>
          <w:lang w:val="fr-FR"/>
        </w:rPr>
      </w:pPr>
      <w:r w:rsidRPr="0045514D">
        <w:rPr>
          <w:lang w:val="fr-FR"/>
        </w:rPr>
        <w:t xml:space="preserve">ISO 11114-1:2012 + Amd 1:2017 Bouteilles à gaz </w:t>
      </w:r>
      <w:r w:rsidR="00DD080A">
        <w:rPr>
          <w:lang w:val="fr-FR"/>
        </w:rPr>
        <w:t>− </w:t>
      </w:r>
      <w:r w:rsidRPr="0045514D">
        <w:rPr>
          <w:lang w:val="fr-FR"/>
        </w:rPr>
        <w:t>Compatibilité des matériaux des bouteilles et des ro</w:t>
      </w:r>
      <w:r w:rsidR="00DD080A">
        <w:rPr>
          <w:lang w:val="fr-FR"/>
        </w:rPr>
        <w:t>binets avec les contenus gazeux −</w:t>
      </w:r>
      <w:r w:rsidRPr="0045514D">
        <w:rPr>
          <w:lang w:val="fr-FR"/>
        </w:rPr>
        <w:t xml:space="preserve"> Partie 1: Matériaux métalliques</w:t>
      </w:r>
      <w:r w:rsidR="00DD080A">
        <w:rPr>
          <w:lang w:val="fr-FR"/>
        </w:rPr>
        <w:t> </w:t>
      </w:r>
      <w:r w:rsidRPr="0045514D">
        <w:rPr>
          <w:color w:val="000000"/>
          <w:lang w:val="fr-FR"/>
        </w:rPr>
        <w:t xml:space="preserve">; </w:t>
      </w:r>
    </w:p>
    <w:p w:rsidR="00E4610E" w:rsidRPr="0045514D" w:rsidRDefault="00E4610E" w:rsidP="002A5026">
      <w:pPr>
        <w:pStyle w:val="SingleTxtG"/>
        <w:ind w:left="1701"/>
        <w:rPr>
          <w:color w:val="000000"/>
          <w:lang w:val="fr-FR"/>
        </w:rPr>
      </w:pPr>
      <w:r w:rsidRPr="0045514D">
        <w:rPr>
          <w:color w:val="000000"/>
          <w:lang w:val="fr-FR"/>
        </w:rPr>
        <w:t xml:space="preserve">ISO 10297:2014 + Amd 1:2017 Bouteilles à gaz transportables </w:t>
      </w:r>
      <w:r w:rsidR="002A5026">
        <w:rPr>
          <w:color w:val="000000"/>
          <w:lang w:val="fr-FR"/>
        </w:rPr>
        <w:t>−</w:t>
      </w:r>
      <w:r w:rsidR="009827C8">
        <w:rPr>
          <w:color w:val="000000"/>
          <w:lang w:val="fr-FR"/>
        </w:rPr>
        <w:t> Robinets de bouteilles −</w:t>
      </w:r>
      <w:r w:rsidRPr="0045514D">
        <w:rPr>
          <w:color w:val="000000"/>
          <w:lang w:val="fr-FR"/>
        </w:rPr>
        <w:t xml:space="preserve"> Spécifications et essais de type</w:t>
      </w:r>
      <w:r w:rsidR="00DD080A">
        <w:rPr>
          <w:color w:val="000000"/>
          <w:lang w:val="fr-FR"/>
        </w:rPr>
        <w:t> </w:t>
      </w:r>
      <w:r w:rsidRPr="0045514D">
        <w:rPr>
          <w:color w:val="000000"/>
          <w:lang w:val="fr-FR"/>
        </w:rPr>
        <w:t>;</w:t>
      </w:r>
    </w:p>
    <w:p w:rsidR="00E4610E" w:rsidRPr="0045514D" w:rsidRDefault="00E4610E" w:rsidP="002A5026">
      <w:pPr>
        <w:pStyle w:val="SingleTxtG"/>
        <w:ind w:left="1701"/>
        <w:rPr>
          <w:lang w:val="fr-FR"/>
        </w:rPr>
      </w:pPr>
      <w:r w:rsidRPr="0045514D">
        <w:rPr>
          <w:color w:val="000000"/>
          <w:lang w:val="fr-FR"/>
        </w:rPr>
        <w:t>ISO 24431:2</w:t>
      </w:r>
      <w:r w:rsidR="009827C8">
        <w:rPr>
          <w:color w:val="000000"/>
          <w:lang w:val="fr-FR"/>
        </w:rPr>
        <w:t>01</w:t>
      </w:r>
      <w:r w:rsidRPr="0045514D">
        <w:rPr>
          <w:color w:val="000000"/>
          <w:lang w:val="fr-FR"/>
        </w:rPr>
        <w:t xml:space="preserve">6 Bouteilles à gaz </w:t>
      </w:r>
      <w:r w:rsidR="009827C8">
        <w:rPr>
          <w:color w:val="000000"/>
          <w:lang w:val="fr-FR"/>
        </w:rPr>
        <w:t>− </w:t>
      </w:r>
      <w:r w:rsidRPr="0045514D">
        <w:rPr>
          <w:color w:val="000000"/>
          <w:lang w:val="fr-FR"/>
        </w:rPr>
        <w:t>Bouteilles à gaz comprimés et liquéfiés, sans soudure, soudées et composites (à l</w:t>
      </w:r>
      <w:r>
        <w:rPr>
          <w:color w:val="000000"/>
          <w:lang w:val="fr-FR"/>
        </w:rPr>
        <w:t>’</w:t>
      </w:r>
      <w:r w:rsidRPr="0045514D">
        <w:rPr>
          <w:color w:val="000000"/>
          <w:lang w:val="fr-FR"/>
        </w:rPr>
        <w:t>exception de l</w:t>
      </w:r>
      <w:r>
        <w:rPr>
          <w:color w:val="000000"/>
          <w:lang w:val="fr-FR"/>
        </w:rPr>
        <w:t>’</w:t>
      </w:r>
      <w:r w:rsidR="009827C8">
        <w:rPr>
          <w:color w:val="000000"/>
          <w:lang w:val="fr-FR"/>
        </w:rPr>
        <w:t>acétylène) </w:t>
      </w:r>
      <w:r w:rsidR="002A5026">
        <w:rPr>
          <w:color w:val="000000"/>
          <w:lang w:val="fr-FR"/>
        </w:rPr>
        <w:t>−</w:t>
      </w:r>
      <w:r w:rsidRPr="0045514D">
        <w:rPr>
          <w:color w:val="000000"/>
          <w:lang w:val="fr-FR"/>
        </w:rPr>
        <w:t xml:space="preserve"> Contrôle au moment du remplissage</w:t>
      </w:r>
      <w:r w:rsidR="00DD080A">
        <w:rPr>
          <w:color w:val="000000"/>
          <w:lang w:val="fr-FR"/>
        </w:rPr>
        <w:t> </w:t>
      </w:r>
      <w:r w:rsidRPr="0045514D">
        <w:rPr>
          <w:lang w:val="fr-FR"/>
        </w:rPr>
        <w:t>;</w:t>
      </w:r>
    </w:p>
    <w:p w:rsidR="00E4610E" w:rsidRPr="0045514D" w:rsidRDefault="00E4610E" w:rsidP="002A5026">
      <w:pPr>
        <w:pStyle w:val="SingleTxtG"/>
        <w:ind w:left="1701"/>
        <w:rPr>
          <w:color w:val="000000"/>
          <w:lang w:val="fr-FR"/>
        </w:rPr>
      </w:pPr>
      <w:r w:rsidRPr="0045514D">
        <w:rPr>
          <w:color w:val="000000"/>
          <w:lang w:val="fr-FR"/>
        </w:rPr>
        <w:t xml:space="preserve">ISO 11119-4:2016 Bouteilles à gaz </w:t>
      </w:r>
      <w:r w:rsidR="009827C8">
        <w:rPr>
          <w:color w:val="000000"/>
          <w:lang w:val="fr-FR"/>
        </w:rPr>
        <w:t>− </w:t>
      </w:r>
      <w:r w:rsidRPr="0045514D">
        <w:rPr>
          <w:color w:val="000000"/>
          <w:lang w:val="fr-FR"/>
        </w:rPr>
        <w:t>Bouteilles à gaz rech</w:t>
      </w:r>
      <w:r w:rsidR="009827C8">
        <w:rPr>
          <w:color w:val="000000"/>
          <w:lang w:val="fr-FR"/>
        </w:rPr>
        <w:t>argeables en matériau composite −</w:t>
      </w:r>
      <w:r w:rsidRPr="0045514D">
        <w:rPr>
          <w:color w:val="000000"/>
          <w:lang w:val="fr-FR"/>
        </w:rPr>
        <w:t xml:space="preserve"> Conception</w:t>
      </w:r>
      <w:r w:rsidR="009827C8">
        <w:rPr>
          <w:color w:val="000000"/>
          <w:lang w:val="fr-FR"/>
        </w:rPr>
        <w:t>, construction et essais −</w:t>
      </w:r>
      <w:r w:rsidRPr="0045514D">
        <w:rPr>
          <w:color w:val="000000"/>
          <w:lang w:val="fr-FR"/>
        </w:rPr>
        <w:t xml:space="preserve"> Partie 4</w:t>
      </w:r>
      <w:r w:rsidR="009827C8">
        <w:rPr>
          <w:color w:val="000000"/>
          <w:lang w:val="fr-FR"/>
        </w:rPr>
        <w:t> </w:t>
      </w:r>
      <w:r w:rsidRPr="0045514D">
        <w:rPr>
          <w:color w:val="000000"/>
          <w:lang w:val="fr-FR"/>
        </w:rPr>
        <w:t>: Bouteilles à gaz composites entièrement bobinées renforcées par des fibres d</w:t>
      </w:r>
      <w:r>
        <w:rPr>
          <w:color w:val="000000"/>
          <w:lang w:val="fr-FR"/>
        </w:rPr>
        <w:t>’</w:t>
      </w:r>
      <w:r w:rsidRPr="0045514D">
        <w:rPr>
          <w:color w:val="000000"/>
          <w:lang w:val="fr-FR"/>
        </w:rPr>
        <w:t>une contenance allant jusqu</w:t>
      </w:r>
      <w:r>
        <w:rPr>
          <w:color w:val="000000"/>
          <w:lang w:val="fr-FR"/>
        </w:rPr>
        <w:t>’</w:t>
      </w:r>
      <w:r w:rsidR="009827C8">
        <w:rPr>
          <w:color w:val="000000"/>
          <w:lang w:val="fr-FR"/>
        </w:rPr>
        <w:t>à 150 </w:t>
      </w:r>
      <w:r w:rsidRPr="0045514D">
        <w:rPr>
          <w:color w:val="000000"/>
          <w:lang w:val="fr-FR"/>
        </w:rPr>
        <w:t>l avec liners métalliques soudés transmettant la charge.</w:t>
      </w:r>
    </w:p>
    <w:p w:rsidR="00E4610E" w:rsidRPr="0045514D" w:rsidRDefault="00E4610E" w:rsidP="002A5026">
      <w:pPr>
        <w:pStyle w:val="SingleTxtG"/>
        <w:ind w:left="1701"/>
        <w:rPr>
          <w:lang w:val="fr-FR"/>
        </w:rPr>
      </w:pPr>
      <w:r w:rsidRPr="0045514D">
        <w:rPr>
          <w:lang w:val="fr-FR"/>
        </w:rPr>
        <w:t>Les dispositions habituelles ont été prises avec le secrétariat pour que des copies PDF de ces documents soient communiquées aux experts.</w:t>
      </w:r>
    </w:p>
    <w:p w:rsidR="00E4610E" w:rsidRPr="0045514D" w:rsidRDefault="00E4610E" w:rsidP="002A5026">
      <w:pPr>
        <w:pStyle w:val="HChG"/>
        <w:rPr>
          <w:lang w:val="fr-FR"/>
        </w:rPr>
      </w:pPr>
      <w:r w:rsidRPr="0045514D">
        <w:rPr>
          <w:lang w:val="fr-FR"/>
        </w:rPr>
        <w:lastRenderedPageBreak/>
        <w:tab/>
      </w:r>
      <w:r w:rsidRPr="0045514D">
        <w:rPr>
          <w:lang w:val="fr-FR"/>
        </w:rPr>
        <w:tab/>
      </w:r>
      <w:r w:rsidRPr="002A5026">
        <w:t>Proposition</w:t>
      </w:r>
      <w:r w:rsidRPr="0045514D">
        <w:rPr>
          <w:lang w:val="fr-FR"/>
        </w:rPr>
        <w:t xml:space="preserve"> 1</w:t>
      </w:r>
    </w:p>
    <w:p w:rsidR="00E4610E" w:rsidRPr="0045514D" w:rsidRDefault="00E4610E" w:rsidP="002A5026">
      <w:pPr>
        <w:pStyle w:val="ParNoG"/>
        <w:rPr>
          <w:i/>
          <w:lang w:val="fr-FR"/>
        </w:rPr>
      </w:pPr>
      <w:r w:rsidRPr="0045514D">
        <w:rPr>
          <w:lang w:val="fr-FR"/>
        </w:rPr>
        <w:t>Remplacer « ISO 11114-1:2012 » par « ISO 11114-1:2012 + Amd 1:2017 » aux endroits suivants</w:t>
      </w:r>
      <w:r w:rsidR="00DD080A">
        <w:rPr>
          <w:lang w:val="fr-FR"/>
        </w:rPr>
        <w:t> </w:t>
      </w:r>
      <w:r w:rsidRPr="0045514D">
        <w:rPr>
          <w:lang w:val="fr-FR"/>
        </w:rPr>
        <w:t>: 3.3.1 SP 379 d) i), 4.1.6.1.2, 6.2.2.2 et 6.7.5.2.4 a).</w:t>
      </w:r>
    </w:p>
    <w:p w:rsidR="00E4610E" w:rsidRPr="0045514D" w:rsidRDefault="002A5026" w:rsidP="002A5026">
      <w:pPr>
        <w:pStyle w:val="HChG"/>
        <w:rPr>
          <w:lang w:val="fr-FR"/>
        </w:rPr>
      </w:pPr>
      <w:r>
        <w:tab/>
      </w:r>
      <w:r>
        <w:tab/>
      </w:r>
      <w:r w:rsidR="00E4610E" w:rsidRPr="002A5026">
        <w:t>Justification</w:t>
      </w:r>
      <w:r w:rsidR="00E4610E" w:rsidRPr="0045514D">
        <w:rPr>
          <w:lang w:val="fr-FR"/>
        </w:rPr>
        <w:t xml:space="preserve"> de la proposition 1</w:t>
      </w:r>
    </w:p>
    <w:p w:rsidR="00E4610E" w:rsidRPr="0045514D" w:rsidRDefault="00E4610E" w:rsidP="002A5026">
      <w:pPr>
        <w:pStyle w:val="ParNoG"/>
        <w:rPr>
          <w:lang w:val="fr-FR"/>
        </w:rPr>
      </w:pPr>
      <w:r w:rsidRPr="0045514D">
        <w:rPr>
          <w:lang w:val="fr-FR"/>
        </w:rPr>
        <w:t>Cette modification vise principalement à donner des instructions plus explicites sur les concentrations admissibles de gaz contenant des halogènes dans les bouteilles en aluminium. Les prescriptions relatives au butylène, au cyanure d</w:t>
      </w:r>
      <w:r>
        <w:rPr>
          <w:lang w:val="fr-FR"/>
        </w:rPr>
        <w:t>’</w:t>
      </w:r>
      <w:r w:rsidRPr="0045514D">
        <w:rPr>
          <w:lang w:val="fr-FR"/>
        </w:rPr>
        <w:t>hydrogène, au sulfure d</w:t>
      </w:r>
      <w:r>
        <w:rPr>
          <w:lang w:val="fr-FR"/>
        </w:rPr>
        <w:t>’</w:t>
      </w:r>
      <w:r w:rsidRPr="0045514D">
        <w:rPr>
          <w:lang w:val="fr-FR"/>
        </w:rPr>
        <w:t>hydrogène et au monoxyde d</w:t>
      </w:r>
      <w:r>
        <w:rPr>
          <w:lang w:val="fr-FR"/>
        </w:rPr>
        <w:t>’</w:t>
      </w:r>
      <w:r w:rsidRPr="0045514D">
        <w:rPr>
          <w:lang w:val="fr-FR"/>
        </w:rPr>
        <w:t>azote sont également modifiées.</w:t>
      </w:r>
    </w:p>
    <w:p w:rsidR="00E4610E" w:rsidRPr="0045514D" w:rsidRDefault="00E4610E" w:rsidP="002A5026">
      <w:pPr>
        <w:pStyle w:val="HChG"/>
        <w:rPr>
          <w:lang w:val="fr-FR"/>
        </w:rPr>
      </w:pPr>
      <w:r w:rsidRPr="0045514D">
        <w:rPr>
          <w:lang w:val="fr-FR"/>
        </w:rPr>
        <w:tab/>
      </w:r>
      <w:r w:rsidRPr="0045514D">
        <w:rPr>
          <w:lang w:val="fr-FR"/>
        </w:rPr>
        <w:tab/>
      </w:r>
      <w:r w:rsidRPr="002A5026">
        <w:t>Proposition</w:t>
      </w:r>
      <w:r w:rsidRPr="0045514D">
        <w:rPr>
          <w:lang w:val="fr-FR"/>
        </w:rPr>
        <w:t xml:space="preserve"> 2</w:t>
      </w:r>
    </w:p>
    <w:p w:rsidR="00E4610E" w:rsidRPr="0045514D" w:rsidRDefault="00E4610E" w:rsidP="002A5026">
      <w:pPr>
        <w:pStyle w:val="ParNoG"/>
        <w:rPr>
          <w:lang w:val="fr-FR"/>
        </w:rPr>
      </w:pPr>
      <w:r w:rsidRPr="0045514D">
        <w:rPr>
          <w:lang w:val="fr-FR"/>
        </w:rPr>
        <w:t>Dans l</w:t>
      </w:r>
      <w:r>
        <w:rPr>
          <w:lang w:val="fr-FR"/>
        </w:rPr>
        <w:t>’</w:t>
      </w:r>
      <w:r w:rsidRPr="0045514D">
        <w:rPr>
          <w:lang w:val="fr-FR"/>
        </w:rPr>
        <w:t xml:space="preserve">avant-dernier </w:t>
      </w:r>
      <w:r w:rsidR="009827C8">
        <w:rPr>
          <w:lang w:val="fr-FR"/>
        </w:rPr>
        <w:t>alinéa</w:t>
      </w:r>
      <w:r w:rsidRPr="0045514D">
        <w:rPr>
          <w:lang w:val="fr-FR"/>
        </w:rPr>
        <w:t xml:space="preserve"> du 4.1.6.1.</w:t>
      </w:r>
      <w:r w:rsidR="009827C8">
        <w:rPr>
          <w:lang w:val="fr-FR"/>
        </w:rPr>
        <w:t>8</w:t>
      </w:r>
      <w:r w:rsidRPr="0045514D">
        <w:rPr>
          <w:lang w:val="fr-FR"/>
        </w:rPr>
        <w:t xml:space="preserve">, remplacer le segment </w:t>
      </w:r>
      <w:r w:rsidR="009827C8">
        <w:rPr>
          <w:lang w:val="fr-FR"/>
        </w:rPr>
        <w:t>« </w:t>
      </w:r>
      <w:r w:rsidRPr="0045514D">
        <w:rPr>
          <w:lang w:val="fr-FR"/>
        </w:rPr>
        <w:t>… les prescriptions de l</w:t>
      </w:r>
      <w:r>
        <w:rPr>
          <w:lang w:val="fr-FR"/>
        </w:rPr>
        <w:t>’</w:t>
      </w:r>
      <w:r w:rsidRPr="0045514D">
        <w:rPr>
          <w:lang w:val="fr-FR"/>
        </w:rPr>
        <w:t>annexe A de la norme ISO 10297:2006 ou de l</w:t>
      </w:r>
      <w:r>
        <w:rPr>
          <w:lang w:val="fr-FR"/>
        </w:rPr>
        <w:t>’</w:t>
      </w:r>
      <w:r w:rsidRPr="0045514D">
        <w:rPr>
          <w:lang w:val="fr-FR"/>
        </w:rPr>
        <w:t>annexe A de la norme ISO 10297:2014 doivent être satisfaites.</w:t>
      </w:r>
      <w:r w:rsidR="009827C8">
        <w:rPr>
          <w:lang w:val="fr-FR"/>
        </w:rPr>
        <w:t> »</w:t>
      </w:r>
      <w:r w:rsidRPr="0045514D">
        <w:rPr>
          <w:lang w:val="fr-FR"/>
        </w:rPr>
        <w:t xml:space="preserve"> par </w:t>
      </w:r>
      <w:r w:rsidR="009827C8">
        <w:rPr>
          <w:lang w:val="fr-FR"/>
        </w:rPr>
        <w:t>« </w:t>
      </w:r>
      <w:r w:rsidRPr="0045514D">
        <w:rPr>
          <w:lang w:val="fr-FR"/>
        </w:rPr>
        <w:t>… les prescriptions de l</w:t>
      </w:r>
      <w:r>
        <w:rPr>
          <w:lang w:val="fr-FR"/>
        </w:rPr>
        <w:t>’</w:t>
      </w:r>
      <w:r w:rsidR="00DD080A">
        <w:rPr>
          <w:lang w:val="fr-FR"/>
        </w:rPr>
        <w:t>annexe A de la norme ISO </w:t>
      </w:r>
      <w:r w:rsidRPr="0045514D">
        <w:rPr>
          <w:lang w:val="fr-FR"/>
        </w:rPr>
        <w:t>10297:2006, de l</w:t>
      </w:r>
      <w:r>
        <w:rPr>
          <w:lang w:val="fr-FR"/>
        </w:rPr>
        <w:t>’</w:t>
      </w:r>
      <w:r w:rsidRPr="0045514D">
        <w:rPr>
          <w:lang w:val="fr-FR"/>
        </w:rPr>
        <w:t>annexe A de la norme ISO 10297:2014 ou de l</w:t>
      </w:r>
      <w:r>
        <w:rPr>
          <w:lang w:val="fr-FR"/>
        </w:rPr>
        <w:t>’</w:t>
      </w:r>
      <w:r w:rsidR="00DD080A">
        <w:rPr>
          <w:lang w:val="fr-FR"/>
        </w:rPr>
        <w:t>annexe A de la norme ISO </w:t>
      </w:r>
      <w:r w:rsidRPr="0045514D">
        <w:rPr>
          <w:lang w:val="fr-FR"/>
        </w:rPr>
        <w:t xml:space="preserve">10297 + </w:t>
      </w:r>
      <w:proofErr w:type="spellStart"/>
      <w:r w:rsidRPr="0045514D">
        <w:rPr>
          <w:lang w:val="fr-FR"/>
        </w:rPr>
        <w:t>Amd</w:t>
      </w:r>
      <w:proofErr w:type="spellEnd"/>
      <w:r w:rsidRPr="0045514D">
        <w:rPr>
          <w:lang w:val="fr-FR"/>
        </w:rPr>
        <w:t xml:space="preserve"> 1:2017 doivent être satisfaites.</w:t>
      </w:r>
      <w:r w:rsidR="009827C8">
        <w:rPr>
          <w:lang w:val="fr-FR"/>
        </w:rPr>
        <w:t> »</w:t>
      </w:r>
      <w:r w:rsidRPr="0045514D">
        <w:rPr>
          <w:lang w:val="fr-FR"/>
        </w:rPr>
        <w:t xml:space="preserve">. </w:t>
      </w:r>
    </w:p>
    <w:p w:rsidR="00E4610E" w:rsidRPr="0045514D" w:rsidRDefault="00E4610E" w:rsidP="002A5026">
      <w:pPr>
        <w:pStyle w:val="ParNoG"/>
        <w:rPr>
          <w:lang w:val="fr-FR"/>
        </w:rPr>
      </w:pPr>
      <w:r w:rsidRPr="0045514D">
        <w:rPr>
          <w:lang w:val="fr-FR"/>
        </w:rPr>
        <w:t>Dans le 6.2.2.3, dans le premier tableau concernant la norme ISO 10297:2014, dans la colonne «</w:t>
      </w:r>
      <w:r w:rsidR="009827C8">
        <w:rPr>
          <w:lang w:val="fr-FR"/>
        </w:rPr>
        <w:t> </w:t>
      </w:r>
      <w:r w:rsidRPr="0045514D">
        <w:rPr>
          <w:lang w:val="fr-FR"/>
        </w:rPr>
        <w:t>Applicable à la fabrication</w:t>
      </w:r>
      <w:r w:rsidR="009827C8">
        <w:rPr>
          <w:lang w:val="fr-FR"/>
        </w:rPr>
        <w:t> </w:t>
      </w:r>
      <w:r w:rsidRPr="0045514D">
        <w:rPr>
          <w:lang w:val="fr-FR"/>
        </w:rPr>
        <w:t>», remplacer «</w:t>
      </w:r>
      <w:r w:rsidR="009827C8">
        <w:rPr>
          <w:lang w:val="fr-FR"/>
        </w:rPr>
        <w:t> </w:t>
      </w:r>
      <w:r w:rsidRPr="0045514D">
        <w:rPr>
          <w:lang w:val="fr-FR"/>
        </w:rPr>
        <w:t>Jusqu</w:t>
      </w:r>
      <w:r>
        <w:rPr>
          <w:lang w:val="fr-FR"/>
        </w:rPr>
        <w:t>’</w:t>
      </w:r>
      <w:r w:rsidRPr="0045514D">
        <w:rPr>
          <w:lang w:val="fr-FR"/>
        </w:rPr>
        <w:t>à nouvel ordre</w:t>
      </w:r>
      <w:r w:rsidR="009827C8">
        <w:rPr>
          <w:lang w:val="fr-FR"/>
        </w:rPr>
        <w:t> </w:t>
      </w:r>
      <w:r w:rsidRPr="0045514D">
        <w:rPr>
          <w:lang w:val="fr-FR"/>
        </w:rPr>
        <w:t>» par «</w:t>
      </w:r>
      <w:r w:rsidR="009827C8">
        <w:rPr>
          <w:lang w:val="fr-FR"/>
        </w:rPr>
        <w:t> </w:t>
      </w:r>
      <w:r w:rsidRPr="0045514D">
        <w:rPr>
          <w:lang w:val="fr-FR"/>
        </w:rPr>
        <w:t>Jusqu</w:t>
      </w:r>
      <w:r>
        <w:rPr>
          <w:lang w:val="fr-FR"/>
        </w:rPr>
        <w:t>’</w:t>
      </w:r>
      <w:r w:rsidR="009827C8">
        <w:rPr>
          <w:lang w:val="fr-FR"/>
        </w:rPr>
        <w:t>au 31 </w:t>
      </w:r>
      <w:r w:rsidRPr="0045514D">
        <w:rPr>
          <w:lang w:val="fr-FR"/>
        </w:rPr>
        <w:t>décembre 2022</w:t>
      </w:r>
      <w:r w:rsidR="009827C8">
        <w:rPr>
          <w:lang w:val="fr-FR"/>
        </w:rPr>
        <w:t> </w:t>
      </w:r>
      <w:r w:rsidRPr="0045514D">
        <w:rPr>
          <w:lang w:val="fr-FR"/>
        </w:rPr>
        <w:t>».</w:t>
      </w:r>
    </w:p>
    <w:p w:rsidR="00E4610E" w:rsidRPr="0045514D" w:rsidRDefault="00E4610E" w:rsidP="002A5026">
      <w:pPr>
        <w:pStyle w:val="ParNoG"/>
        <w:rPr>
          <w:lang w:val="fr-FR"/>
        </w:rPr>
      </w:pPr>
      <w:r w:rsidRPr="0045514D">
        <w:rPr>
          <w:lang w:val="fr-FR"/>
        </w:rPr>
        <w:t>Après la norme ISO 10297:2014, à la ligne suivante, insérer la nouvelle norme suivante 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  <w:gridCol w:w="3969"/>
        <w:gridCol w:w="1842"/>
      </w:tblGrid>
      <w:tr w:rsidR="00E4610E" w:rsidRPr="0045514D" w:rsidTr="002A5026">
        <w:tc>
          <w:tcPr>
            <w:tcW w:w="1668" w:type="dxa"/>
            <w:shd w:val="clear" w:color="auto" w:fill="auto"/>
          </w:tcPr>
          <w:p w:rsidR="00E4610E" w:rsidRPr="0045514D" w:rsidRDefault="002A5026" w:rsidP="002A5026">
            <w:pPr>
              <w:rPr>
                <w:lang w:val="fr-FR"/>
              </w:rPr>
            </w:pPr>
            <w:r>
              <w:rPr>
                <w:lang w:val="fr-FR"/>
              </w:rPr>
              <w:t>ISO 10297:2014 + </w:t>
            </w:r>
            <w:r w:rsidR="00E4610E" w:rsidRPr="0045514D">
              <w:rPr>
                <w:lang w:val="fr-FR"/>
              </w:rPr>
              <w:t>Amd 1:2017</w:t>
            </w:r>
          </w:p>
        </w:tc>
        <w:tc>
          <w:tcPr>
            <w:tcW w:w="3969" w:type="dxa"/>
            <w:shd w:val="clear" w:color="auto" w:fill="auto"/>
          </w:tcPr>
          <w:p w:rsidR="00E4610E" w:rsidRPr="0045514D" w:rsidRDefault="00E4610E" w:rsidP="002A5026">
            <w:pPr>
              <w:jc w:val="both"/>
              <w:rPr>
                <w:lang w:val="fr-FR"/>
              </w:rPr>
            </w:pPr>
            <w:r w:rsidRPr="0045514D">
              <w:rPr>
                <w:lang w:val="fr-FR"/>
              </w:rPr>
              <w:t xml:space="preserve">Bouteilles à gaz transportables </w:t>
            </w:r>
            <w:r w:rsidR="002A5026">
              <w:rPr>
                <w:lang w:val="fr-FR"/>
              </w:rPr>
              <w:t>− Robinets de bouteilles −</w:t>
            </w:r>
            <w:r w:rsidRPr="0045514D">
              <w:rPr>
                <w:lang w:val="fr-FR"/>
              </w:rPr>
              <w:t xml:space="preserve"> Spécifications et essais de type</w:t>
            </w:r>
          </w:p>
        </w:tc>
        <w:tc>
          <w:tcPr>
            <w:tcW w:w="1842" w:type="dxa"/>
            <w:shd w:val="clear" w:color="auto" w:fill="auto"/>
          </w:tcPr>
          <w:p w:rsidR="00E4610E" w:rsidRPr="0045514D" w:rsidRDefault="00E4610E" w:rsidP="002A5026">
            <w:pPr>
              <w:rPr>
                <w:lang w:val="fr-FR"/>
              </w:rPr>
            </w:pPr>
            <w:r w:rsidRPr="0045514D">
              <w:rPr>
                <w:lang w:val="fr-FR"/>
              </w:rPr>
              <w:t>Jusqu</w:t>
            </w:r>
            <w:r>
              <w:rPr>
                <w:lang w:val="fr-FR"/>
              </w:rPr>
              <w:t>’</w:t>
            </w:r>
            <w:r w:rsidRPr="0045514D">
              <w:rPr>
                <w:lang w:val="fr-FR"/>
              </w:rPr>
              <w:t>à nouvel ordre</w:t>
            </w:r>
          </w:p>
        </w:tc>
      </w:tr>
    </w:tbl>
    <w:p w:rsidR="00E4610E" w:rsidRPr="0045514D" w:rsidRDefault="00E4610E" w:rsidP="002A5026">
      <w:pPr>
        <w:pStyle w:val="HChG"/>
        <w:rPr>
          <w:lang w:val="fr-FR"/>
        </w:rPr>
      </w:pPr>
      <w:r w:rsidRPr="0045514D">
        <w:rPr>
          <w:lang w:val="fr-FR"/>
        </w:rPr>
        <w:tab/>
      </w:r>
      <w:r w:rsidRPr="0045514D">
        <w:rPr>
          <w:lang w:val="fr-FR"/>
        </w:rPr>
        <w:tab/>
        <w:t xml:space="preserve">Justification de </w:t>
      </w:r>
      <w:r w:rsidRPr="002A5026">
        <w:t>la</w:t>
      </w:r>
      <w:r w:rsidRPr="0045514D">
        <w:rPr>
          <w:lang w:val="fr-FR"/>
        </w:rPr>
        <w:t xml:space="preserve"> proposition 2</w:t>
      </w:r>
    </w:p>
    <w:p w:rsidR="00E4610E" w:rsidRPr="0045514D" w:rsidRDefault="00E4610E" w:rsidP="002A5026">
      <w:pPr>
        <w:pStyle w:val="ParNoG"/>
        <w:rPr>
          <w:lang w:val="fr-FR"/>
        </w:rPr>
      </w:pPr>
      <w:r w:rsidRPr="0045514D">
        <w:rPr>
          <w:lang w:val="fr-FR"/>
        </w:rPr>
        <w:t xml:space="preserve">Cette modification vise principalement à modifier la norme de manière à y inclure les robinets de tubes et de fûts à pression. Elle </w:t>
      </w:r>
      <w:r w:rsidR="005F6674">
        <w:rPr>
          <w:lang w:val="fr-FR"/>
        </w:rPr>
        <w:t>permet aussi</w:t>
      </w:r>
      <w:r w:rsidRPr="0045514D">
        <w:rPr>
          <w:lang w:val="fr-FR"/>
        </w:rPr>
        <w:t xml:space="preserve"> de corriger plusieurs erreurs figurant dans la version de 2014. </w:t>
      </w:r>
    </w:p>
    <w:p w:rsidR="00E4610E" w:rsidRPr="0045514D" w:rsidRDefault="00E4610E" w:rsidP="002A5026">
      <w:pPr>
        <w:pStyle w:val="HChG"/>
        <w:rPr>
          <w:lang w:val="fr-FR"/>
        </w:rPr>
      </w:pPr>
      <w:r w:rsidRPr="0045514D">
        <w:rPr>
          <w:lang w:val="fr-FR"/>
        </w:rPr>
        <w:tab/>
      </w:r>
      <w:r w:rsidRPr="0045514D">
        <w:rPr>
          <w:lang w:val="fr-FR"/>
        </w:rPr>
        <w:tab/>
      </w:r>
      <w:r w:rsidRPr="002A5026">
        <w:t>Proposition</w:t>
      </w:r>
      <w:r w:rsidRPr="0045514D">
        <w:rPr>
          <w:lang w:val="fr-FR"/>
        </w:rPr>
        <w:t xml:space="preserve"> 3</w:t>
      </w:r>
    </w:p>
    <w:p w:rsidR="00E4610E" w:rsidRPr="0045514D" w:rsidRDefault="00E4610E" w:rsidP="002A5026">
      <w:pPr>
        <w:pStyle w:val="ParNoG"/>
        <w:rPr>
          <w:lang w:val="fr-FR"/>
        </w:rPr>
      </w:pPr>
      <w:r w:rsidRPr="0045514D">
        <w:rPr>
          <w:lang w:val="fr-FR"/>
        </w:rPr>
        <w:t>Dans le 4.1.4.1, s</w:t>
      </w:r>
      <w:r>
        <w:rPr>
          <w:lang w:val="fr-FR"/>
        </w:rPr>
        <w:t>’</w:t>
      </w:r>
      <w:r w:rsidRPr="0045514D">
        <w:rPr>
          <w:lang w:val="fr-FR"/>
        </w:rPr>
        <w:t>agissant de l</w:t>
      </w:r>
      <w:r>
        <w:rPr>
          <w:lang w:val="fr-FR"/>
        </w:rPr>
        <w:t>’</w:t>
      </w:r>
      <w:r w:rsidRPr="0045514D">
        <w:rPr>
          <w:lang w:val="fr-FR"/>
        </w:rPr>
        <w:t>instruction d</w:t>
      </w:r>
      <w:r>
        <w:rPr>
          <w:lang w:val="fr-FR"/>
        </w:rPr>
        <w:t>’</w:t>
      </w:r>
      <w:r w:rsidRPr="0045514D">
        <w:rPr>
          <w:lang w:val="fr-FR"/>
        </w:rPr>
        <w:t xml:space="preserve">emballage P200 4), remplacer à la dernière ligne </w:t>
      </w:r>
      <w:r w:rsidR="005F6674">
        <w:rPr>
          <w:lang w:val="fr-FR"/>
        </w:rPr>
        <w:t>le renvoi</w:t>
      </w:r>
      <w:r w:rsidRPr="0045514D">
        <w:rPr>
          <w:lang w:val="fr-FR"/>
        </w:rPr>
        <w:t xml:space="preserve"> à la norme « ISO 24431:2006 Bouteilles à gaz </w:t>
      </w:r>
      <w:r w:rsidR="005F6674">
        <w:rPr>
          <w:lang w:val="fr-FR"/>
        </w:rPr>
        <w:t>− </w:t>
      </w:r>
      <w:r w:rsidRPr="0045514D">
        <w:rPr>
          <w:lang w:val="fr-FR"/>
        </w:rPr>
        <w:t>Bouteilles à gaz comprimés et liquéfiés (à l</w:t>
      </w:r>
      <w:r>
        <w:rPr>
          <w:lang w:val="fr-FR"/>
        </w:rPr>
        <w:t>’</w:t>
      </w:r>
      <w:r w:rsidRPr="0045514D">
        <w:rPr>
          <w:lang w:val="fr-FR"/>
        </w:rPr>
        <w:t>exception de l</w:t>
      </w:r>
      <w:r>
        <w:rPr>
          <w:lang w:val="fr-FR"/>
        </w:rPr>
        <w:t>’</w:t>
      </w:r>
      <w:r w:rsidRPr="0045514D">
        <w:rPr>
          <w:lang w:val="fr-FR"/>
        </w:rPr>
        <w:t xml:space="preserve">acétylène) </w:t>
      </w:r>
      <w:r w:rsidR="009827C8">
        <w:rPr>
          <w:lang w:val="fr-FR"/>
        </w:rPr>
        <w:t>− </w:t>
      </w:r>
      <w:r w:rsidRPr="0045514D">
        <w:rPr>
          <w:lang w:val="fr-FR"/>
        </w:rPr>
        <w:t>Contrôle au moment du remplissage » par « ISO 24431:2</w:t>
      </w:r>
      <w:r w:rsidR="005F6674">
        <w:rPr>
          <w:lang w:val="fr-FR"/>
        </w:rPr>
        <w:t>01</w:t>
      </w:r>
      <w:r w:rsidRPr="0045514D">
        <w:rPr>
          <w:lang w:val="fr-FR"/>
        </w:rPr>
        <w:t xml:space="preserve">6 </w:t>
      </w:r>
      <w:r w:rsidR="009827C8">
        <w:rPr>
          <w:lang w:val="fr-FR"/>
        </w:rPr>
        <w:t>Bouteilles à gaz −</w:t>
      </w:r>
      <w:r w:rsidRPr="0045514D">
        <w:rPr>
          <w:lang w:val="fr-FR"/>
        </w:rPr>
        <w:t xml:space="preserve"> Bouteilles à gaz comprimés et liquéfiés, sans soudure, soudées et composites (à l</w:t>
      </w:r>
      <w:r>
        <w:rPr>
          <w:lang w:val="fr-FR"/>
        </w:rPr>
        <w:t>’</w:t>
      </w:r>
      <w:r w:rsidRPr="0045514D">
        <w:rPr>
          <w:lang w:val="fr-FR"/>
        </w:rPr>
        <w:t>exception de l</w:t>
      </w:r>
      <w:r>
        <w:rPr>
          <w:lang w:val="fr-FR"/>
        </w:rPr>
        <w:t>’</w:t>
      </w:r>
      <w:r w:rsidRPr="0045514D">
        <w:rPr>
          <w:lang w:val="fr-FR"/>
        </w:rPr>
        <w:t xml:space="preserve">acétylène) </w:t>
      </w:r>
      <w:r w:rsidR="009827C8">
        <w:rPr>
          <w:lang w:val="fr-FR"/>
        </w:rPr>
        <w:t>−</w:t>
      </w:r>
      <w:r w:rsidRPr="0045514D">
        <w:rPr>
          <w:lang w:val="fr-FR"/>
        </w:rPr>
        <w:t xml:space="preserve"> Contrôle au moment du remplissage ».</w:t>
      </w:r>
    </w:p>
    <w:p w:rsidR="00E4610E" w:rsidRPr="0045514D" w:rsidRDefault="00E4610E" w:rsidP="002A5026">
      <w:pPr>
        <w:pStyle w:val="HChG"/>
        <w:rPr>
          <w:lang w:val="fr-FR"/>
        </w:rPr>
      </w:pPr>
      <w:r w:rsidRPr="0045514D">
        <w:rPr>
          <w:lang w:val="fr-FR"/>
        </w:rPr>
        <w:tab/>
      </w:r>
      <w:r w:rsidRPr="0045514D">
        <w:rPr>
          <w:lang w:val="fr-FR"/>
        </w:rPr>
        <w:tab/>
        <w:t xml:space="preserve">Justification </w:t>
      </w:r>
      <w:r w:rsidRPr="002A5026">
        <w:t>de</w:t>
      </w:r>
      <w:r w:rsidRPr="0045514D">
        <w:rPr>
          <w:lang w:val="fr-FR"/>
        </w:rPr>
        <w:t xml:space="preserve"> la proposition 3</w:t>
      </w:r>
    </w:p>
    <w:p w:rsidR="00E4610E" w:rsidRPr="0045514D" w:rsidRDefault="00E4610E" w:rsidP="002A5026">
      <w:pPr>
        <w:pStyle w:val="ParNoG"/>
        <w:rPr>
          <w:lang w:val="fr-FR"/>
        </w:rPr>
      </w:pPr>
      <w:r w:rsidRPr="0045514D">
        <w:rPr>
          <w:lang w:val="fr-FR"/>
        </w:rPr>
        <w:t>Cette version a été restructurée et son champ d</w:t>
      </w:r>
      <w:r>
        <w:rPr>
          <w:lang w:val="fr-FR"/>
        </w:rPr>
        <w:t>’</w:t>
      </w:r>
      <w:r w:rsidRPr="0045514D">
        <w:rPr>
          <w:lang w:val="fr-FR"/>
        </w:rPr>
        <w:t>application a été élargi de manière à inclure des dispositions relatives au contrôle avant, pendant et après le remplissage des bouteilles composites (Types 2 à 5 inclus).</w:t>
      </w:r>
    </w:p>
    <w:p w:rsidR="00E4610E" w:rsidRPr="0045514D" w:rsidRDefault="002A5026" w:rsidP="002A5026">
      <w:pPr>
        <w:pStyle w:val="HChG"/>
        <w:rPr>
          <w:lang w:val="fr-FR"/>
        </w:rPr>
      </w:pPr>
      <w:r>
        <w:tab/>
      </w:r>
      <w:r>
        <w:tab/>
      </w:r>
      <w:r w:rsidR="00E4610E" w:rsidRPr="002A5026">
        <w:t>Proposition</w:t>
      </w:r>
      <w:r w:rsidR="00E4610E" w:rsidRPr="0045514D">
        <w:rPr>
          <w:lang w:val="fr-FR"/>
        </w:rPr>
        <w:t xml:space="preserve"> 4</w:t>
      </w:r>
    </w:p>
    <w:p w:rsidR="00E4610E" w:rsidRPr="0045514D" w:rsidRDefault="00E4610E" w:rsidP="002A5026">
      <w:pPr>
        <w:pStyle w:val="ParNoG"/>
        <w:rPr>
          <w:lang w:val="fr-FR"/>
        </w:rPr>
      </w:pPr>
      <w:r w:rsidRPr="0045514D">
        <w:rPr>
          <w:lang w:val="fr-FR"/>
        </w:rPr>
        <w:t>Dans le 6.2.2.1.1, ajouter la nouvelle ligne suivante à la fin du tableau (a</w:t>
      </w:r>
      <w:r w:rsidR="002A5026">
        <w:rPr>
          <w:lang w:val="fr-FR"/>
        </w:rPr>
        <w:t>près la norme ISO 11119-3:2013) </w:t>
      </w:r>
      <w:r w:rsidRPr="0045514D">
        <w:rPr>
          <w:lang w:val="fr-FR"/>
        </w:rPr>
        <w:t xml:space="preserve">: 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4820"/>
        <w:gridCol w:w="1275"/>
      </w:tblGrid>
      <w:tr w:rsidR="00E4610E" w:rsidRPr="0045514D" w:rsidTr="002A5026">
        <w:tc>
          <w:tcPr>
            <w:tcW w:w="1384" w:type="dxa"/>
            <w:shd w:val="clear" w:color="auto" w:fill="auto"/>
          </w:tcPr>
          <w:p w:rsidR="00E4610E" w:rsidRPr="0045514D" w:rsidRDefault="00E4610E" w:rsidP="002A5026">
            <w:pPr>
              <w:rPr>
                <w:lang w:val="fr-FR"/>
              </w:rPr>
            </w:pPr>
            <w:r w:rsidRPr="0045514D">
              <w:rPr>
                <w:lang w:val="fr-FR"/>
              </w:rPr>
              <w:lastRenderedPageBreak/>
              <w:t xml:space="preserve">ISO 11119-4:2016 </w:t>
            </w:r>
          </w:p>
        </w:tc>
        <w:tc>
          <w:tcPr>
            <w:tcW w:w="4820" w:type="dxa"/>
            <w:shd w:val="clear" w:color="auto" w:fill="auto"/>
          </w:tcPr>
          <w:p w:rsidR="00E4610E" w:rsidRPr="0045514D" w:rsidRDefault="00E4610E" w:rsidP="002A5026">
            <w:pPr>
              <w:rPr>
                <w:lang w:val="fr-FR"/>
              </w:rPr>
            </w:pPr>
            <w:r w:rsidRPr="0045514D">
              <w:rPr>
                <w:lang w:val="fr-FR"/>
              </w:rPr>
              <w:t xml:space="preserve">Bouteilles à gaz </w:t>
            </w:r>
            <w:r w:rsidR="002A5026">
              <w:rPr>
                <w:lang w:val="fr-FR"/>
              </w:rPr>
              <w:t>−</w:t>
            </w:r>
            <w:r w:rsidRPr="0045514D">
              <w:rPr>
                <w:lang w:val="fr-FR"/>
              </w:rPr>
              <w:t xml:space="preserve"> Bouteilles à gaz rechargeables en matériau composite </w:t>
            </w:r>
            <w:r w:rsidR="002A5026">
              <w:rPr>
                <w:lang w:val="fr-FR"/>
              </w:rPr>
              <w:t>−</w:t>
            </w:r>
            <w:r w:rsidRPr="0045514D">
              <w:rPr>
                <w:lang w:val="fr-FR"/>
              </w:rPr>
              <w:t xml:space="preserve"> Conception, construction et essais </w:t>
            </w:r>
            <w:r w:rsidR="002A5026">
              <w:rPr>
                <w:lang w:val="fr-FR"/>
              </w:rPr>
              <w:t>− </w:t>
            </w:r>
            <w:r w:rsidRPr="0045514D">
              <w:rPr>
                <w:lang w:val="fr-FR"/>
              </w:rPr>
              <w:t>Partie 4</w:t>
            </w:r>
            <w:r w:rsidR="009827C8">
              <w:rPr>
                <w:lang w:val="fr-FR"/>
              </w:rPr>
              <w:t> </w:t>
            </w:r>
            <w:r w:rsidRPr="0045514D">
              <w:rPr>
                <w:lang w:val="fr-FR"/>
              </w:rPr>
              <w:t>: Bouteilles à gaz composites entièrement bobinées renforcées par des fibres d</w:t>
            </w:r>
            <w:r>
              <w:rPr>
                <w:lang w:val="fr-FR"/>
              </w:rPr>
              <w:t>’</w:t>
            </w:r>
            <w:r w:rsidRPr="0045514D">
              <w:rPr>
                <w:lang w:val="fr-FR"/>
              </w:rPr>
              <w:t>une contenance allant jusqu</w:t>
            </w:r>
            <w:r>
              <w:rPr>
                <w:lang w:val="fr-FR"/>
              </w:rPr>
              <w:t>’</w:t>
            </w:r>
            <w:r w:rsidR="009827C8">
              <w:rPr>
                <w:lang w:val="fr-FR"/>
              </w:rPr>
              <w:t>à 150 </w:t>
            </w:r>
            <w:r w:rsidRPr="0045514D">
              <w:rPr>
                <w:lang w:val="fr-FR"/>
              </w:rPr>
              <w:t>l avec liners métalliques soudés transmettant la charge</w:t>
            </w:r>
          </w:p>
        </w:tc>
        <w:tc>
          <w:tcPr>
            <w:tcW w:w="1275" w:type="dxa"/>
            <w:shd w:val="clear" w:color="auto" w:fill="auto"/>
          </w:tcPr>
          <w:p w:rsidR="00E4610E" w:rsidRPr="0045514D" w:rsidRDefault="00E4610E" w:rsidP="002A5026">
            <w:pPr>
              <w:rPr>
                <w:lang w:val="fr-FR"/>
              </w:rPr>
            </w:pPr>
            <w:r w:rsidRPr="0045514D">
              <w:rPr>
                <w:lang w:val="fr-FR"/>
              </w:rPr>
              <w:t>Jusqu</w:t>
            </w:r>
            <w:r>
              <w:rPr>
                <w:lang w:val="fr-FR"/>
              </w:rPr>
              <w:t>’</w:t>
            </w:r>
            <w:r w:rsidRPr="0045514D">
              <w:rPr>
                <w:lang w:val="fr-FR"/>
              </w:rPr>
              <w:t>à nouvel ordre</w:t>
            </w:r>
          </w:p>
        </w:tc>
      </w:tr>
    </w:tbl>
    <w:p w:rsidR="00E4610E" w:rsidRPr="0045514D" w:rsidRDefault="00E4610E" w:rsidP="002A5026">
      <w:pPr>
        <w:pStyle w:val="HChG"/>
        <w:rPr>
          <w:lang w:val="fr-FR"/>
        </w:rPr>
      </w:pPr>
      <w:r w:rsidRPr="0045514D">
        <w:rPr>
          <w:lang w:val="fr-FR"/>
        </w:rPr>
        <w:tab/>
      </w:r>
      <w:r w:rsidRPr="0045514D">
        <w:rPr>
          <w:lang w:val="fr-FR"/>
        </w:rPr>
        <w:tab/>
        <w:t xml:space="preserve">Justification de la </w:t>
      </w:r>
      <w:r w:rsidRPr="002A5026">
        <w:t>proposition</w:t>
      </w:r>
      <w:r w:rsidRPr="0045514D">
        <w:rPr>
          <w:lang w:val="fr-FR"/>
        </w:rPr>
        <w:t xml:space="preserve"> 4</w:t>
      </w:r>
    </w:p>
    <w:p w:rsidR="00E4610E" w:rsidRDefault="00E4610E" w:rsidP="002A5026">
      <w:pPr>
        <w:pStyle w:val="ParNoG"/>
        <w:rPr>
          <w:lang w:val="fr-FR"/>
        </w:rPr>
      </w:pPr>
      <w:r w:rsidRPr="0045514D">
        <w:rPr>
          <w:lang w:val="fr-FR"/>
        </w:rPr>
        <w:t xml:space="preserve">Les trois premières parties de la série </w:t>
      </w:r>
      <w:r w:rsidR="005F6674">
        <w:rPr>
          <w:lang w:val="fr-FR"/>
        </w:rPr>
        <w:t xml:space="preserve">de normes </w:t>
      </w:r>
      <w:r w:rsidRPr="0045514D">
        <w:rPr>
          <w:lang w:val="fr-FR"/>
        </w:rPr>
        <w:t>ISO 11119 portent notamment sur divers modèles de bouteilles composites avec liners sans soudure. Cette quatrième partie définit les prescriptions relatives à la conception, la construction et les essais de bouteilles composites avec liners métalliques soudés.</w:t>
      </w:r>
    </w:p>
    <w:p w:rsidR="00E4610E" w:rsidRPr="00E4610E" w:rsidRDefault="00E4610E" w:rsidP="00E4610E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E4610E" w:rsidRPr="00E4610E" w:rsidSect="00E4610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09" w:rsidRDefault="00B75009" w:rsidP="00F95C08">
      <w:pPr>
        <w:spacing w:line="240" w:lineRule="auto"/>
      </w:pPr>
    </w:p>
  </w:endnote>
  <w:endnote w:type="continuationSeparator" w:id="0">
    <w:p w:rsidR="00B75009" w:rsidRPr="00AC3823" w:rsidRDefault="00B75009" w:rsidP="00AC3823">
      <w:pPr>
        <w:pStyle w:val="Footer"/>
      </w:pPr>
    </w:p>
  </w:endnote>
  <w:endnote w:type="continuationNotice" w:id="1">
    <w:p w:rsidR="00B75009" w:rsidRDefault="00B750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0E" w:rsidRPr="00E4610E" w:rsidRDefault="00E4610E" w:rsidP="00E4610E">
    <w:pPr>
      <w:pStyle w:val="Footer"/>
      <w:tabs>
        <w:tab w:val="right" w:pos="9638"/>
      </w:tabs>
    </w:pPr>
    <w:r w:rsidRPr="00E4610E">
      <w:rPr>
        <w:b/>
        <w:sz w:val="18"/>
      </w:rPr>
      <w:fldChar w:fldCharType="begin"/>
    </w:r>
    <w:r w:rsidRPr="00E4610E">
      <w:rPr>
        <w:b/>
        <w:sz w:val="18"/>
      </w:rPr>
      <w:instrText xml:space="preserve"> PAGE  \* MERGEFORMAT </w:instrText>
    </w:r>
    <w:r w:rsidRPr="00E4610E">
      <w:rPr>
        <w:b/>
        <w:sz w:val="18"/>
      </w:rPr>
      <w:fldChar w:fldCharType="separate"/>
    </w:r>
    <w:r w:rsidR="00824566">
      <w:rPr>
        <w:b/>
        <w:noProof/>
        <w:sz w:val="18"/>
      </w:rPr>
      <w:t>2</w:t>
    </w:r>
    <w:r w:rsidRPr="00E4610E">
      <w:rPr>
        <w:b/>
        <w:sz w:val="18"/>
      </w:rPr>
      <w:fldChar w:fldCharType="end"/>
    </w:r>
    <w:r>
      <w:rPr>
        <w:b/>
        <w:sz w:val="18"/>
      </w:rPr>
      <w:tab/>
    </w:r>
    <w:r>
      <w:t>GE.17-05363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0E" w:rsidRPr="00E4610E" w:rsidRDefault="00E4610E" w:rsidP="00E4610E">
    <w:pPr>
      <w:pStyle w:val="Footer"/>
      <w:tabs>
        <w:tab w:val="right" w:pos="9638"/>
      </w:tabs>
      <w:rPr>
        <w:b/>
        <w:sz w:val="18"/>
      </w:rPr>
    </w:pPr>
    <w:r>
      <w:t>GE.17-05363</w:t>
    </w:r>
    <w:r>
      <w:tab/>
    </w:r>
    <w:r w:rsidRPr="00E4610E">
      <w:rPr>
        <w:b/>
        <w:sz w:val="18"/>
      </w:rPr>
      <w:fldChar w:fldCharType="begin"/>
    </w:r>
    <w:r w:rsidRPr="00E4610E">
      <w:rPr>
        <w:b/>
        <w:sz w:val="18"/>
      </w:rPr>
      <w:instrText xml:space="preserve"> PAGE  \* MERGEFORMAT </w:instrText>
    </w:r>
    <w:r w:rsidRPr="00E4610E">
      <w:rPr>
        <w:b/>
        <w:sz w:val="18"/>
      </w:rPr>
      <w:fldChar w:fldCharType="separate"/>
    </w:r>
    <w:r w:rsidR="00824566">
      <w:rPr>
        <w:b/>
        <w:noProof/>
        <w:sz w:val="18"/>
      </w:rPr>
      <w:t>3</w:t>
    </w:r>
    <w:r w:rsidRPr="00E461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E4610E" w:rsidRDefault="00E4610E" w:rsidP="00E4610E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7A0CB9E" wp14:editId="6EB0673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17-05363  (F)</w:t>
    </w:r>
    <w:r w:rsidR="009827C8">
      <w:rPr>
        <w:sz w:val="20"/>
      </w:rPr>
      <w:t xml:space="preserve">    030517    080517</w:t>
    </w:r>
    <w:r>
      <w:rPr>
        <w:sz w:val="20"/>
      </w:rPr>
      <w:br/>
    </w:r>
    <w:r w:rsidRPr="00E4610E">
      <w:rPr>
        <w:rFonts w:ascii="C39T30Lfz" w:hAnsi="C39T30Lfz"/>
        <w:sz w:val="56"/>
      </w:rPr>
      <w:t></w:t>
    </w:r>
    <w:r w:rsidRPr="00E4610E">
      <w:rPr>
        <w:rFonts w:ascii="C39T30Lfz" w:hAnsi="C39T30Lfz"/>
        <w:sz w:val="56"/>
      </w:rPr>
      <w:t></w:t>
    </w:r>
    <w:r w:rsidRPr="00E4610E">
      <w:rPr>
        <w:rFonts w:ascii="C39T30Lfz" w:hAnsi="C39T30Lfz"/>
        <w:sz w:val="56"/>
      </w:rPr>
      <w:t></w:t>
    </w:r>
    <w:r w:rsidRPr="00E4610E">
      <w:rPr>
        <w:rFonts w:ascii="C39T30Lfz" w:hAnsi="C39T30Lfz"/>
        <w:sz w:val="56"/>
      </w:rPr>
      <w:t></w:t>
    </w:r>
    <w:r w:rsidRPr="00E4610E">
      <w:rPr>
        <w:rFonts w:ascii="C39T30Lfz" w:hAnsi="C39T30Lfz"/>
        <w:sz w:val="56"/>
      </w:rPr>
      <w:t></w:t>
    </w:r>
    <w:r w:rsidRPr="00E4610E">
      <w:rPr>
        <w:rFonts w:ascii="C39T30Lfz" w:hAnsi="C39T30Lfz"/>
        <w:sz w:val="56"/>
      </w:rPr>
      <w:t></w:t>
    </w:r>
    <w:r w:rsidRPr="00E4610E">
      <w:rPr>
        <w:rFonts w:ascii="C39T30Lfz" w:hAnsi="C39T30Lfz"/>
        <w:sz w:val="56"/>
      </w:rPr>
      <w:t></w:t>
    </w:r>
    <w:r w:rsidRPr="00E4610E">
      <w:rPr>
        <w:rFonts w:ascii="C39T30Lfz" w:hAnsi="C39T30Lfz"/>
        <w:sz w:val="56"/>
      </w:rPr>
      <w:t></w:t>
    </w:r>
    <w:r w:rsidRPr="00E4610E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7/1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7/1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09" w:rsidRPr="00AC3823" w:rsidRDefault="00B7500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75009" w:rsidRPr="00AC3823" w:rsidRDefault="00B7500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75009" w:rsidRPr="00AC3823" w:rsidRDefault="00B75009">
      <w:pPr>
        <w:spacing w:line="240" w:lineRule="auto"/>
        <w:rPr>
          <w:sz w:val="2"/>
          <w:szCs w:val="2"/>
        </w:rPr>
      </w:pPr>
    </w:p>
  </w:footnote>
  <w:footnote w:id="2">
    <w:p w:rsidR="00E4610E" w:rsidRPr="00787BA2" w:rsidRDefault="00E4610E" w:rsidP="002A5026">
      <w:pPr>
        <w:pStyle w:val="FootnoteText"/>
      </w:pPr>
      <w:r>
        <w:rPr>
          <w:rStyle w:val="FootnoteReference"/>
        </w:rPr>
        <w:tab/>
      </w:r>
      <w:r w:rsidRPr="002A5026">
        <w:rPr>
          <w:rStyle w:val="FootnoteReference"/>
          <w:sz w:val="20"/>
          <w:vertAlign w:val="baseline"/>
        </w:rPr>
        <w:t>*</w:t>
      </w:r>
      <w:r w:rsidRPr="002A5026">
        <w:rPr>
          <w:rStyle w:val="FootnoteReference"/>
          <w:sz w:val="20"/>
          <w:vertAlign w:val="baseline"/>
        </w:rPr>
        <w:tab/>
      </w:r>
      <w:r w:rsidRPr="002A5026">
        <w:t>Conformément au programme de travail du Sous</w:t>
      </w:r>
      <w:r w:rsidR="009827C8">
        <w:t>-</w:t>
      </w:r>
      <w:r w:rsidRPr="002A5026">
        <w:t>Comité pour la période 201</w:t>
      </w:r>
      <w:r w:rsidR="009827C8">
        <w:t>7-</w:t>
      </w:r>
      <w:r w:rsidRPr="002A5026">
        <w:t>201</w:t>
      </w:r>
      <w:r w:rsidR="009827C8">
        <w:t>8</w:t>
      </w:r>
      <w:r w:rsidRPr="002A5026">
        <w:t xml:space="preserve"> tel qu’approuvé par le Comité à sa huitième</w:t>
      </w:r>
      <w:r w:rsidR="009827C8">
        <w:t xml:space="preserve"> </w:t>
      </w:r>
      <w:r w:rsidRPr="002A5026">
        <w:t>session (voir ST/SG/AC.10/C.3/100, par. 98 et ST/SG/AC.10/44, par. 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0E" w:rsidRPr="00E4610E" w:rsidRDefault="000124CE">
    <w:pPr>
      <w:pStyle w:val="Header"/>
    </w:pPr>
    <w:fldSimple w:instr=" TITLE  \* MERGEFORMAT ">
      <w:r w:rsidR="00824566">
        <w:t>ST/SG/AC.10/C.3/2017/17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0E" w:rsidRPr="00E4610E" w:rsidRDefault="000124CE" w:rsidP="00E4610E">
    <w:pPr>
      <w:pStyle w:val="Header"/>
      <w:jc w:val="right"/>
    </w:pPr>
    <w:fldSimple w:instr=" TITLE  \* MERGEFORMAT ">
      <w:r w:rsidR="00824566">
        <w:t>ST/SG/AC.10/C.3/2017/17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09"/>
    <w:rsid w:val="000124CE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764CB"/>
    <w:rsid w:val="001F525A"/>
    <w:rsid w:val="00223272"/>
    <w:rsid w:val="0024779E"/>
    <w:rsid w:val="00283190"/>
    <w:rsid w:val="002832AC"/>
    <w:rsid w:val="002A5026"/>
    <w:rsid w:val="002D7C93"/>
    <w:rsid w:val="003842CE"/>
    <w:rsid w:val="00441C3B"/>
    <w:rsid w:val="00446FE5"/>
    <w:rsid w:val="00452396"/>
    <w:rsid w:val="0049193F"/>
    <w:rsid w:val="004E468C"/>
    <w:rsid w:val="005505B7"/>
    <w:rsid w:val="00573BE5"/>
    <w:rsid w:val="00586ED3"/>
    <w:rsid w:val="00596AA9"/>
    <w:rsid w:val="005F6674"/>
    <w:rsid w:val="0068456F"/>
    <w:rsid w:val="00684BC2"/>
    <w:rsid w:val="0071601D"/>
    <w:rsid w:val="007A62E6"/>
    <w:rsid w:val="0080684C"/>
    <w:rsid w:val="00824566"/>
    <w:rsid w:val="00871C75"/>
    <w:rsid w:val="008776DC"/>
    <w:rsid w:val="008B40CD"/>
    <w:rsid w:val="009705C8"/>
    <w:rsid w:val="009827C8"/>
    <w:rsid w:val="009C1CF4"/>
    <w:rsid w:val="00A30353"/>
    <w:rsid w:val="00AC3823"/>
    <w:rsid w:val="00AE323C"/>
    <w:rsid w:val="00B00181"/>
    <w:rsid w:val="00B00B0D"/>
    <w:rsid w:val="00B75009"/>
    <w:rsid w:val="00B765F7"/>
    <w:rsid w:val="00BA0CA9"/>
    <w:rsid w:val="00C02897"/>
    <w:rsid w:val="00D3439C"/>
    <w:rsid w:val="00D732C1"/>
    <w:rsid w:val="00DB1831"/>
    <w:rsid w:val="00DD080A"/>
    <w:rsid w:val="00DD3BFD"/>
    <w:rsid w:val="00DF6678"/>
    <w:rsid w:val="00E260BA"/>
    <w:rsid w:val="00E4610E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E4610E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E4610E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E46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E4610E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E4610E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E46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ST/SG/AC.10/C.3/2017/17</vt:lpstr>
      <vt:lpstr>ST/SG/AC.10/C.3/2017/17</vt:lpstr>
    </vt:vector>
  </TitlesOfParts>
  <Company>DCM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ST/SG/AC.10/C.3/2017/17</dc:title>
  <dc:creator>Beaunee</dc:creator>
  <cp:lastModifiedBy>Laurence Berthet</cp:lastModifiedBy>
  <cp:revision>4</cp:revision>
  <cp:lastPrinted>2017-05-09T07:55:00Z</cp:lastPrinted>
  <dcterms:created xsi:type="dcterms:W3CDTF">2017-05-09T07:37:00Z</dcterms:created>
  <dcterms:modified xsi:type="dcterms:W3CDTF">2017-05-09T07:55:00Z</dcterms:modified>
</cp:coreProperties>
</file>