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695B60">
            <w:pPr>
              <w:jc w:val="right"/>
            </w:pPr>
            <w:r w:rsidRPr="006D12B1">
              <w:rPr>
                <w:sz w:val="40"/>
              </w:rPr>
              <w:t>ST</w:t>
            </w:r>
            <w:r>
              <w:t>/SG/AC.10/C.3/201</w:t>
            </w:r>
            <w:r w:rsidR="006A1D67">
              <w:t>7</w:t>
            </w:r>
            <w:r>
              <w:t>/</w:t>
            </w:r>
            <w:r w:rsidR="00CE56E5">
              <w:t>1</w:t>
            </w:r>
            <w:r w:rsidR="00695B60">
              <w:t>6</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4347D8" w:rsidP="006D12B1">
            <w:pPr>
              <w:spacing w:line="240" w:lineRule="exact"/>
            </w:pPr>
            <w:r>
              <w:t>21</w:t>
            </w:r>
            <w:r w:rsidR="00347367">
              <w:t xml:space="preserve"> </w:t>
            </w:r>
            <w:r w:rsidR="007316B3">
              <w:t>A</w:t>
            </w:r>
            <w:r w:rsidR="00CE56E5">
              <w:t>pril</w:t>
            </w:r>
            <w:r w:rsidR="006A1D67">
              <w:t xml:space="preserve">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Pr="0005466E">
        <w:rPr>
          <w:b/>
        </w:rPr>
        <w:t>first session</w:t>
      </w:r>
    </w:p>
    <w:p w:rsidR="00BD0239" w:rsidRDefault="00B51A46" w:rsidP="00DF1C31">
      <w:pPr>
        <w:pStyle w:val="NormalWeb"/>
        <w:rPr>
          <w:b/>
          <w:sz w:val="20"/>
          <w:szCs w:val="20"/>
        </w:rPr>
      </w:pPr>
      <w:r w:rsidRPr="00432930">
        <w:rPr>
          <w:sz w:val="20"/>
          <w:szCs w:val="20"/>
        </w:rPr>
        <w:t xml:space="preserve">Geneva, </w:t>
      </w:r>
      <w:r w:rsidR="00B63E96">
        <w:rPr>
          <w:color w:val="333333"/>
          <w:sz w:val="20"/>
          <w:szCs w:val="20"/>
          <w:lang w:eastAsia="it-IT"/>
        </w:rPr>
        <w:t>3-</w:t>
      </w:r>
      <w:r w:rsidR="00347367">
        <w:rPr>
          <w:color w:val="333333"/>
          <w:sz w:val="20"/>
          <w:szCs w:val="20"/>
          <w:lang w:eastAsia="it-IT"/>
        </w:rPr>
        <w:t>7</w:t>
      </w:r>
      <w:r w:rsidR="00812689" w:rsidRPr="00812689">
        <w:rPr>
          <w:color w:val="333333"/>
          <w:sz w:val="20"/>
          <w:szCs w:val="20"/>
          <w:lang w:eastAsia="it-IT"/>
        </w:rPr>
        <w:t xml:space="preserve"> </w:t>
      </w:r>
      <w:r w:rsidR="0005466E">
        <w:rPr>
          <w:color w:val="333333"/>
          <w:sz w:val="20"/>
          <w:szCs w:val="20"/>
          <w:lang w:eastAsia="it-IT"/>
        </w:rPr>
        <w:t>July 2017</w:t>
      </w:r>
      <w:r w:rsidRPr="00432930">
        <w:rPr>
          <w:color w:val="333333"/>
          <w:sz w:val="20"/>
          <w:szCs w:val="20"/>
          <w:lang w:eastAsia="it-IT"/>
        </w:rPr>
        <w:br/>
      </w:r>
      <w:r w:rsidRPr="00297C91">
        <w:rPr>
          <w:sz w:val="20"/>
          <w:szCs w:val="20"/>
        </w:rPr>
        <w:t xml:space="preserve">Item </w:t>
      </w:r>
      <w:r w:rsidR="00695B60">
        <w:rPr>
          <w:sz w:val="20"/>
          <w:szCs w:val="20"/>
        </w:rPr>
        <w:t>4 (b)</w:t>
      </w:r>
      <w:r w:rsidRPr="00297C91">
        <w:rPr>
          <w:sz w:val="20"/>
          <w:szCs w:val="20"/>
        </w:rPr>
        <w:t xml:space="preserve"> of the provisional agenda</w:t>
      </w:r>
      <w:r w:rsidRPr="00297C91">
        <w:rPr>
          <w:sz w:val="20"/>
          <w:szCs w:val="20"/>
        </w:rPr>
        <w:br/>
      </w:r>
      <w:r w:rsidR="007316B3">
        <w:rPr>
          <w:b/>
          <w:sz w:val="20"/>
          <w:szCs w:val="20"/>
        </w:rPr>
        <w:t xml:space="preserve">Electric storage systems: </w:t>
      </w:r>
      <w:r w:rsidR="007316B3">
        <w:rPr>
          <w:b/>
          <w:sz w:val="20"/>
          <w:szCs w:val="20"/>
        </w:rPr>
        <w:br/>
        <w:t>h</w:t>
      </w:r>
      <w:r w:rsidR="00695B60" w:rsidRPr="00695B60">
        <w:rPr>
          <w:b/>
          <w:sz w:val="20"/>
          <w:szCs w:val="20"/>
        </w:rPr>
        <w:t>azard-based system for classification of lithium batteries</w:t>
      </w:r>
    </w:p>
    <w:p w:rsidR="00695B60" w:rsidRDefault="00695B60" w:rsidP="00695B60">
      <w:pPr>
        <w:pStyle w:val="HChG"/>
      </w:pPr>
      <w:r>
        <w:tab/>
      </w:r>
      <w:r>
        <w:tab/>
      </w:r>
      <w:r w:rsidR="007316B3">
        <w:t>Report of the informal working group on lithium b</w:t>
      </w:r>
      <w:r>
        <w:t xml:space="preserve">atteries </w:t>
      </w:r>
      <w:r w:rsidR="007316B3">
        <w:t>on its first session of the biennium 2017-2018</w:t>
      </w:r>
    </w:p>
    <w:p w:rsidR="00695B60" w:rsidRDefault="00695B60" w:rsidP="00695B60">
      <w:pPr>
        <w:pStyle w:val="H1G"/>
      </w:pPr>
      <w:r>
        <w:tab/>
      </w:r>
      <w:r>
        <w:tab/>
        <w:t>Transmitted by the expert from France</w:t>
      </w:r>
      <w:r w:rsidR="00347367">
        <w:t xml:space="preserve"> on behalf of the informal working group</w:t>
      </w:r>
      <w:r>
        <w:rPr>
          <w:rStyle w:val="Ancredenotedebasdepage"/>
        </w:rPr>
        <w:footnoteReference w:id="2"/>
      </w:r>
    </w:p>
    <w:p w:rsidR="0083392A" w:rsidRPr="0083392A" w:rsidRDefault="00347367" w:rsidP="0083392A">
      <w:pPr>
        <w:pStyle w:val="SingleTxtG"/>
      </w:pPr>
      <w:r>
        <w:t>1</w:t>
      </w:r>
      <w:r w:rsidR="0083392A" w:rsidRPr="0083392A">
        <w:t>.</w:t>
      </w:r>
      <w:r w:rsidR="0083392A" w:rsidRPr="0083392A">
        <w:tab/>
        <w:t xml:space="preserve">The </w:t>
      </w:r>
      <w:r w:rsidR="007316B3">
        <w:t xml:space="preserve">informal </w:t>
      </w:r>
      <w:r w:rsidR="0083392A" w:rsidRPr="0083392A">
        <w:t xml:space="preserve">working group </w:t>
      </w:r>
      <w:r>
        <w:t xml:space="preserve">(IWG) </w:t>
      </w:r>
      <w:r w:rsidR="0083392A" w:rsidRPr="0083392A">
        <w:t xml:space="preserve">met in Montreal in the </w:t>
      </w:r>
      <w:r w:rsidR="007316B3">
        <w:t>premis</w:t>
      </w:r>
      <w:r w:rsidR="0083392A" w:rsidRPr="0083392A">
        <w:t xml:space="preserve">es </w:t>
      </w:r>
      <w:r w:rsidR="007316B3">
        <w:t xml:space="preserve">of the International Civil Aviation Organization (ICAO) </w:t>
      </w:r>
      <w:r w:rsidR="0083392A" w:rsidRPr="0083392A">
        <w:t xml:space="preserve">from </w:t>
      </w:r>
      <w:r w:rsidR="0083392A">
        <w:t>27 to 29</w:t>
      </w:r>
      <w:r w:rsidR="007316B3">
        <w:t xml:space="preserve"> March 2017</w:t>
      </w:r>
      <w:r>
        <w:t xml:space="preserve"> under the chairmanship of Mr. Claude Pfauvadel (France)</w:t>
      </w:r>
      <w:r w:rsidR="0083392A" w:rsidRPr="0083392A">
        <w:t>.</w:t>
      </w:r>
      <w:r w:rsidR="007316B3">
        <w:t xml:space="preserve"> A list of participants is reproduced in informal document INF.3.</w:t>
      </w:r>
    </w:p>
    <w:p w:rsidR="00913B0D" w:rsidRDefault="00347367" w:rsidP="00913B0D">
      <w:pPr>
        <w:pStyle w:val="SingleTxtG"/>
      </w:pPr>
      <w:r>
        <w:t>2</w:t>
      </w:r>
      <w:r w:rsidR="00913B0D">
        <w:t>.</w:t>
      </w:r>
      <w:r w:rsidR="00913B0D">
        <w:tab/>
        <w:t>The purpose of the meeting was to discuss the inherent hazards associated with lithium batteries. Based on lessons learned and experience gained, the Sub-Committee</w:t>
      </w:r>
      <w:r w:rsidR="007316B3">
        <w:t xml:space="preserve"> had </w:t>
      </w:r>
      <w:r w:rsidR="00913B0D">
        <w:t>mandate</w:t>
      </w:r>
      <w:r>
        <w:t>d</w:t>
      </w:r>
      <w:r w:rsidR="00913B0D">
        <w:t xml:space="preserve"> the IWG to consider a hazard-based system to classify lithium batteries and cells for transport. Such a system might include determining the inherent hazards represented by lithium batteries and the types of reaction that may result. Destructive testing should be considered. Overall questions to guide the discussions include</w:t>
      </w:r>
      <w:r w:rsidR="00226F0D">
        <w:t>d</w:t>
      </w:r>
      <w:r w:rsidR="00913B0D">
        <w:t>:</w:t>
      </w:r>
    </w:p>
    <w:p w:rsidR="00913B0D" w:rsidRPr="00226F0D" w:rsidRDefault="00226F0D" w:rsidP="00226F0D">
      <w:pPr>
        <w:pStyle w:val="SingleTxtG"/>
        <w:ind w:left="1701"/>
      </w:pPr>
      <w:r>
        <w:t>(a)</w:t>
      </w:r>
      <w:r w:rsidR="00913B0D" w:rsidRPr="00226F0D">
        <w:tab/>
        <w:t>Look at all available data that can already be useful to analyse the effects produced by lit</w:t>
      </w:r>
      <w:r w:rsidR="00EA0C92">
        <w:t>hium batteries when they react;</w:t>
      </w:r>
    </w:p>
    <w:p w:rsidR="00913B0D" w:rsidRPr="00226F0D" w:rsidRDefault="00226F0D" w:rsidP="00226F0D">
      <w:pPr>
        <w:pStyle w:val="SingleTxtG"/>
        <w:ind w:left="1701"/>
      </w:pPr>
      <w:r>
        <w:t>(b)</w:t>
      </w:r>
      <w:r w:rsidR="00913B0D" w:rsidRPr="00226F0D">
        <w:tab/>
        <w:t>Identify the a</w:t>
      </w:r>
      <w:r w:rsidR="00EA0C92">
        <w:t>dditional data needed;</w:t>
      </w:r>
    </w:p>
    <w:p w:rsidR="00913B0D" w:rsidRPr="00226F0D" w:rsidRDefault="00226F0D" w:rsidP="00226F0D">
      <w:pPr>
        <w:pStyle w:val="SingleTxtG"/>
        <w:ind w:left="1701"/>
      </w:pPr>
      <w:r>
        <w:t>(c)</w:t>
      </w:r>
      <w:r w:rsidR="00913B0D" w:rsidRPr="00226F0D">
        <w:tab/>
        <w:t>Prepare plan for getting all the necessary data and the way to use them.</w:t>
      </w:r>
    </w:p>
    <w:p w:rsidR="00913B0D" w:rsidRDefault="00347367" w:rsidP="00EA0C92">
      <w:pPr>
        <w:pStyle w:val="SingleTxtG"/>
      </w:pPr>
      <w:r>
        <w:lastRenderedPageBreak/>
        <w:t>3</w:t>
      </w:r>
      <w:r w:rsidR="00EA0C92">
        <w:t>.</w:t>
      </w:r>
      <w:r w:rsidR="00EA0C92">
        <w:tab/>
      </w:r>
      <w:r w:rsidR="00913B0D">
        <w:t xml:space="preserve">Presentations </w:t>
      </w:r>
      <w:r>
        <w:t>had been circulated</w:t>
      </w:r>
      <w:r w:rsidR="00913B0D">
        <w:t xml:space="preserve"> to the group prior to the meeting and are available from the PRBA Website: </w:t>
      </w:r>
      <w:hyperlink r:id="rId10">
        <w:r w:rsidR="00913B0D">
          <w:rPr>
            <w:rStyle w:val="LienInternet"/>
          </w:rPr>
          <w:t>http://www.prba.org/lithium-battery-transport-information/un-lithium-battery-working-group-on-classification/</w:t>
        </w:r>
      </w:hyperlink>
    </w:p>
    <w:p w:rsidR="00913B0D" w:rsidRDefault="00347367" w:rsidP="00EA0C92">
      <w:pPr>
        <w:pStyle w:val="SingleTxtG"/>
      </w:pPr>
      <w:r>
        <w:t>4</w:t>
      </w:r>
      <w:r w:rsidR="00EA0C92">
        <w:t>.</w:t>
      </w:r>
      <w:r w:rsidR="00EA0C92">
        <w:tab/>
      </w:r>
      <w:r w:rsidR="00913B0D">
        <w:t xml:space="preserve">The IWG discussed </w:t>
      </w:r>
      <w:r w:rsidR="00EA0C92">
        <w:t>what would be reported to the</w:t>
      </w:r>
      <w:r w:rsidR="00913B0D">
        <w:t xml:space="preserve"> Sub</w:t>
      </w:r>
      <w:r w:rsidR="00EA0C92">
        <w:t>-C</w:t>
      </w:r>
      <w:r w:rsidR="00913B0D">
        <w:t xml:space="preserve">ommittee and which questions were the most important to answer. </w:t>
      </w:r>
    </w:p>
    <w:p w:rsidR="00432CB4" w:rsidRDefault="00347367" w:rsidP="00432CB4">
      <w:pPr>
        <w:pStyle w:val="SingleTxtG"/>
      </w:pPr>
      <w:r>
        <w:t>5</w:t>
      </w:r>
      <w:r w:rsidR="00432CB4">
        <w:t>.</w:t>
      </w:r>
      <w:r w:rsidR="00432CB4">
        <w:tab/>
        <w:t>The Chairman explained that the Sub-Committee needed to know the feasibility of the mandate and what information was needed to meet the intended goals. It was not expected that final decisions would be reached at this first session. Instead, the goal of the meeting was to determine the magnitude of the effort.</w:t>
      </w:r>
    </w:p>
    <w:p w:rsidR="00432CB4" w:rsidRDefault="00347367" w:rsidP="00432CB4">
      <w:pPr>
        <w:pStyle w:val="SingleTxtG"/>
      </w:pPr>
      <w:r>
        <w:t>6</w:t>
      </w:r>
      <w:r w:rsidR="00432CB4">
        <w:t>.</w:t>
      </w:r>
      <w:r w:rsidR="00432CB4">
        <w:tab/>
        <w:t>Specifically, the following questions were to be discussed:</w:t>
      </w:r>
    </w:p>
    <w:p w:rsidR="00432CB4" w:rsidRDefault="004347D8" w:rsidP="00432CB4">
      <w:pPr>
        <w:pStyle w:val="SingleTxtG"/>
        <w:ind w:left="1701"/>
      </w:pPr>
      <w:r>
        <w:t>(a</w:t>
      </w:r>
      <w:r w:rsidR="00432CB4">
        <w:t>)</w:t>
      </w:r>
      <w:r w:rsidR="00432CB4">
        <w:tab/>
        <w:t>What risk/type of reactions have to be assessed?</w:t>
      </w:r>
    </w:p>
    <w:p w:rsidR="00432CB4" w:rsidRDefault="004347D8" w:rsidP="004347D8">
      <w:pPr>
        <w:pStyle w:val="SingleTxtG"/>
        <w:ind w:firstLine="1134"/>
      </w:pPr>
      <w:r>
        <w:t>(i)</w:t>
      </w:r>
      <w:r>
        <w:tab/>
      </w:r>
      <w:r w:rsidR="00432CB4">
        <w:t>fire</w:t>
      </w:r>
    </w:p>
    <w:p w:rsidR="00432CB4" w:rsidRDefault="004347D8" w:rsidP="004347D8">
      <w:pPr>
        <w:pStyle w:val="SingleTxtG"/>
        <w:ind w:firstLine="1134"/>
      </w:pPr>
      <w:r>
        <w:t>(ii)</w:t>
      </w:r>
      <w:r>
        <w:tab/>
      </w:r>
      <w:r w:rsidR="00432CB4">
        <w:t xml:space="preserve">gas emission </w:t>
      </w:r>
    </w:p>
    <w:p w:rsidR="00432CB4" w:rsidRDefault="004347D8" w:rsidP="004347D8">
      <w:pPr>
        <w:pStyle w:val="SingleTxtG"/>
        <w:ind w:firstLine="1134"/>
      </w:pPr>
      <w:r>
        <w:t>(iii)</w:t>
      </w:r>
      <w:r>
        <w:tab/>
      </w:r>
      <w:r w:rsidR="00432CB4">
        <w:t>toxic fumes</w:t>
      </w:r>
    </w:p>
    <w:p w:rsidR="00432CB4" w:rsidRDefault="004347D8" w:rsidP="004347D8">
      <w:pPr>
        <w:pStyle w:val="SingleTxtG"/>
        <w:ind w:firstLine="1134"/>
      </w:pPr>
      <w:r>
        <w:t>(iv)</w:t>
      </w:r>
      <w:r>
        <w:tab/>
      </w:r>
      <w:r w:rsidR="00432CB4">
        <w:t>projections</w:t>
      </w:r>
    </w:p>
    <w:p w:rsidR="00432CB4" w:rsidRDefault="004347D8" w:rsidP="00432CB4">
      <w:pPr>
        <w:pStyle w:val="SingleTxtG"/>
        <w:ind w:firstLine="567"/>
      </w:pPr>
      <w:r>
        <w:t>(b</w:t>
      </w:r>
      <w:r w:rsidR="00432CB4">
        <w:t>)</w:t>
      </w:r>
      <w:r w:rsidR="00432CB4">
        <w:tab/>
        <w:t>How to initiate the reaction in the test?</w:t>
      </w:r>
    </w:p>
    <w:p w:rsidR="00432CB4" w:rsidRDefault="004347D8" w:rsidP="004347D8">
      <w:pPr>
        <w:pStyle w:val="SingleTxtG"/>
        <w:ind w:firstLine="1134"/>
      </w:pPr>
      <w:r>
        <w:t>(i)</w:t>
      </w:r>
      <w:r>
        <w:tab/>
      </w:r>
      <w:r w:rsidR="00432CB4">
        <w:t>exposure to fire (bonfire test)</w:t>
      </w:r>
    </w:p>
    <w:p w:rsidR="00432CB4" w:rsidRDefault="004347D8" w:rsidP="004347D8">
      <w:pPr>
        <w:pStyle w:val="SingleTxtG"/>
        <w:ind w:firstLine="1134"/>
      </w:pPr>
      <w:r>
        <w:t>(ii)</w:t>
      </w:r>
      <w:r>
        <w:tab/>
      </w:r>
      <w:r w:rsidR="00432CB4">
        <w:t>exposure to  heat radiation</w:t>
      </w:r>
    </w:p>
    <w:p w:rsidR="00432CB4" w:rsidRDefault="004347D8" w:rsidP="004347D8">
      <w:pPr>
        <w:pStyle w:val="SingleTxtG"/>
        <w:ind w:firstLine="1134"/>
      </w:pPr>
      <w:r>
        <w:t>(iii)</w:t>
      </w:r>
      <w:r>
        <w:tab/>
      </w:r>
      <w:r w:rsidR="00432CB4">
        <w:t>exposure to heat through short circuit</w:t>
      </w:r>
    </w:p>
    <w:p w:rsidR="00432CB4" w:rsidRDefault="004347D8" w:rsidP="004347D8">
      <w:pPr>
        <w:pStyle w:val="SingleTxtG"/>
        <w:ind w:firstLine="1134"/>
      </w:pPr>
      <w:r>
        <w:t>(iv)</w:t>
      </w:r>
      <w:r>
        <w:tab/>
      </w:r>
      <w:r w:rsidR="00432CB4">
        <w:t>overcharge</w:t>
      </w:r>
    </w:p>
    <w:p w:rsidR="00C26ECE" w:rsidRDefault="004347D8" w:rsidP="00C26ECE">
      <w:pPr>
        <w:pStyle w:val="SingleTxtG"/>
        <w:ind w:firstLine="567"/>
      </w:pPr>
      <w:r>
        <w:t>(c</w:t>
      </w:r>
      <w:r w:rsidR="00C26ECE">
        <w:t>)</w:t>
      </w:r>
      <w:r w:rsidR="00C26ECE">
        <w:tab/>
        <w:t>What is the item to be tested for classification?</w:t>
      </w:r>
    </w:p>
    <w:p w:rsidR="00C26ECE" w:rsidRDefault="004347D8" w:rsidP="00C26ECE">
      <w:pPr>
        <w:pStyle w:val="SingleTxtG"/>
        <w:tabs>
          <w:tab w:val="left" w:pos="2835"/>
        </w:tabs>
        <w:ind w:left="2268"/>
      </w:pPr>
      <w:r>
        <w:t>(i</w:t>
      </w:r>
      <w:r w:rsidR="00987659">
        <w:t>)</w:t>
      </w:r>
      <w:r w:rsidR="00987659">
        <w:tab/>
        <w:t>a</w:t>
      </w:r>
      <w:r w:rsidR="00C26ECE">
        <w:t xml:space="preserve"> whole battery (independently from the size);</w:t>
      </w:r>
    </w:p>
    <w:p w:rsidR="00C26ECE" w:rsidRDefault="004347D8" w:rsidP="00C26ECE">
      <w:pPr>
        <w:pStyle w:val="SingleTxtG"/>
        <w:tabs>
          <w:tab w:val="left" w:pos="2835"/>
        </w:tabs>
        <w:ind w:left="2268"/>
      </w:pPr>
      <w:r>
        <w:t>(ii</w:t>
      </w:r>
      <w:r w:rsidR="00987659">
        <w:t>)</w:t>
      </w:r>
      <w:r w:rsidR="00987659">
        <w:tab/>
        <w:t>a</w:t>
      </w:r>
      <w:r w:rsidR="00347367">
        <w:t xml:space="preserve"> </w:t>
      </w:r>
      <w:r w:rsidR="00C26ECE">
        <w:t>cell;</w:t>
      </w:r>
    </w:p>
    <w:p w:rsidR="00C26ECE" w:rsidRDefault="004347D8" w:rsidP="00C26ECE">
      <w:pPr>
        <w:pStyle w:val="SingleTxtG"/>
        <w:ind w:left="2268"/>
      </w:pPr>
      <w:r>
        <w:t>(iii</w:t>
      </w:r>
      <w:r w:rsidR="00987659">
        <w:t>)</w:t>
      </w:r>
      <w:r w:rsidR="00987659">
        <w:tab/>
        <w:t>a</w:t>
      </w:r>
      <w:r w:rsidR="00C26ECE">
        <w:t xml:space="preserve"> “module” or battery part;</w:t>
      </w:r>
    </w:p>
    <w:p w:rsidR="00C26ECE" w:rsidRDefault="004347D8" w:rsidP="00C26ECE">
      <w:pPr>
        <w:pStyle w:val="SingleTxtG"/>
        <w:ind w:left="2268"/>
      </w:pPr>
      <w:r>
        <w:t>(iv</w:t>
      </w:r>
      <w:r w:rsidR="00987659">
        <w:t>)</w:t>
      </w:r>
      <w:r w:rsidR="00987659">
        <w:tab/>
        <w:t>s</w:t>
      </w:r>
      <w:r w:rsidR="00C26ECE">
        <w:t>everal of the above mentioned item</w:t>
      </w:r>
      <w:r w:rsidR="00347367">
        <w:t>s</w:t>
      </w:r>
      <w:r w:rsidR="00C26ECE">
        <w:t>;</w:t>
      </w:r>
    </w:p>
    <w:p w:rsidR="00C26ECE" w:rsidRDefault="004347D8" w:rsidP="00C26ECE">
      <w:pPr>
        <w:pStyle w:val="SingleTxtG"/>
        <w:ind w:left="2268"/>
      </w:pPr>
      <w:r>
        <w:t>(v</w:t>
      </w:r>
      <w:r w:rsidR="00C26ECE">
        <w:t>)</w:t>
      </w:r>
      <w:r w:rsidR="00C26ECE">
        <w:tab/>
      </w:r>
      <w:r w:rsidR="00987659">
        <w:t>c</w:t>
      </w:r>
      <w:r w:rsidR="00C26ECE">
        <w:t>an the reactivity of the bigger battery be assessed by testing some of the elements.</w:t>
      </w:r>
    </w:p>
    <w:p w:rsidR="00C26ECE" w:rsidRDefault="004347D8" w:rsidP="00C26ECE">
      <w:pPr>
        <w:pStyle w:val="SingleTxtG"/>
        <w:ind w:firstLine="567"/>
      </w:pPr>
      <w:r>
        <w:t>(d</w:t>
      </w:r>
      <w:r w:rsidR="00C26ECE">
        <w:t>)</w:t>
      </w:r>
      <w:r w:rsidR="00C26ECE">
        <w:tab/>
        <w:t>Other issues</w:t>
      </w:r>
    </w:p>
    <w:p w:rsidR="00C26ECE" w:rsidRDefault="004347D8" w:rsidP="00C26ECE">
      <w:pPr>
        <w:pStyle w:val="SingleTxtG"/>
        <w:ind w:left="2268"/>
      </w:pPr>
      <w:r>
        <w:t>(i</w:t>
      </w:r>
      <w:r w:rsidR="00987659">
        <w:t>)</w:t>
      </w:r>
      <w:r w:rsidR="00987659">
        <w:tab/>
        <w:t>t</w:t>
      </w:r>
      <w:r w:rsidR="00C26ECE">
        <w:t>esting packed or unpacked items (going toward a classification related to the transport packaging);</w:t>
      </w:r>
    </w:p>
    <w:p w:rsidR="00C26ECE" w:rsidRDefault="004347D8" w:rsidP="00C26ECE">
      <w:pPr>
        <w:pStyle w:val="SingleTxtG"/>
        <w:ind w:left="2268"/>
      </w:pPr>
      <w:r>
        <w:t>(ii</w:t>
      </w:r>
      <w:r w:rsidR="00987659">
        <w:t>)</w:t>
      </w:r>
      <w:r w:rsidR="00987659">
        <w:tab/>
        <w:t>u</w:t>
      </w:r>
      <w:r w:rsidR="00C26ECE">
        <w:t xml:space="preserve">se of the tests to </w:t>
      </w:r>
      <w:r>
        <w:t xml:space="preserve">be </w:t>
      </w:r>
      <w:r w:rsidR="00C26ECE">
        <w:t>define</w:t>
      </w:r>
      <w:r>
        <w:t>d</w:t>
      </w:r>
      <w:r w:rsidR="00C26ECE">
        <w:t>;</w:t>
      </w:r>
    </w:p>
    <w:p w:rsidR="00C26ECE" w:rsidRDefault="004347D8" w:rsidP="00C26ECE">
      <w:pPr>
        <w:pStyle w:val="SingleTxtG"/>
        <w:ind w:left="2268"/>
      </w:pPr>
      <w:r>
        <w:t>(iii</w:t>
      </w:r>
      <w:r w:rsidR="00987659">
        <w:t>)</w:t>
      </w:r>
      <w:r w:rsidR="00987659">
        <w:tab/>
        <w:t>a</w:t>
      </w:r>
      <w:bookmarkStart w:id="0" w:name="_GoBack"/>
      <w:bookmarkEnd w:id="0"/>
      <w:r w:rsidR="00C26ECE">
        <w:t>ssessing the violence of the reaction only as a classification factor versus assessing the violence of the reaction and the sensitivity.</w:t>
      </w:r>
    </w:p>
    <w:p w:rsidR="00B16BC3" w:rsidRDefault="00356948" w:rsidP="00356948">
      <w:pPr>
        <w:pStyle w:val="H1G"/>
      </w:pPr>
      <w:r>
        <w:tab/>
      </w:r>
      <w:r>
        <w:tab/>
      </w:r>
      <w:r w:rsidR="00B16BC3">
        <w:t>INERIS Presentation</w:t>
      </w:r>
    </w:p>
    <w:p w:rsidR="00B16BC3" w:rsidRDefault="003256F6" w:rsidP="00356948">
      <w:pPr>
        <w:pStyle w:val="SingleTxtG"/>
      </w:pPr>
      <w:r>
        <w:t>7</w:t>
      </w:r>
      <w:r w:rsidR="00356948">
        <w:t>.</w:t>
      </w:r>
      <w:r w:rsidR="00356948">
        <w:tab/>
      </w:r>
      <w:r w:rsidR="00B16BC3">
        <w:t xml:space="preserve">INERIS provided a summary of the testing </w:t>
      </w:r>
      <w:r w:rsidR="00356948">
        <w:t>it</w:t>
      </w:r>
      <w:r w:rsidR="00B16BC3">
        <w:t xml:space="preserve"> conducted on various types of lithium batteries. </w:t>
      </w:r>
      <w:r w:rsidR="00356948">
        <w:t>It had</w:t>
      </w:r>
      <w:r w:rsidR="00B16BC3">
        <w:t xml:space="preserve"> reviewed the variety of effects that result</w:t>
      </w:r>
      <w:r w:rsidR="00356948">
        <w:t>ed</w:t>
      </w:r>
      <w:r w:rsidR="00B16BC3">
        <w:t xml:space="preserve"> from lithium battery incidents/fires and compared those effects </w:t>
      </w:r>
      <w:r>
        <w:t>de pending on</w:t>
      </w:r>
      <w:r w:rsidR="00B16BC3">
        <w:t xml:space="preserve"> battery chemistry. </w:t>
      </w:r>
      <w:r w:rsidR="00356948">
        <w:t>It</w:t>
      </w:r>
      <w:r w:rsidR="00B16BC3">
        <w:t xml:space="preserve"> identified:</w:t>
      </w:r>
    </w:p>
    <w:p w:rsidR="00B16BC3" w:rsidRDefault="00E658BE" w:rsidP="00E658BE">
      <w:pPr>
        <w:pStyle w:val="SingleTxtG"/>
        <w:ind w:left="1701"/>
      </w:pPr>
      <w:r>
        <w:t>(a)</w:t>
      </w:r>
      <w:r>
        <w:tab/>
        <w:t>Toxic effects:</w:t>
      </w:r>
      <w:r w:rsidR="00B16BC3">
        <w:t xml:space="preserve"> great variability </w:t>
      </w:r>
      <w:r w:rsidR="003256F6">
        <w:t>depending on</w:t>
      </w:r>
      <w:r w:rsidR="00B16BC3">
        <w:t xml:space="preserve"> battery chemistries</w:t>
      </w:r>
      <w:r>
        <w:t>;</w:t>
      </w:r>
    </w:p>
    <w:p w:rsidR="00B16BC3" w:rsidRDefault="00E658BE" w:rsidP="00E658BE">
      <w:pPr>
        <w:pStyle w:val="SingleTxtG"/>
        <w:ind w:left="1701"/>
      </w:pPr>
      <w:r>
        <w:lastRenderedPageBreak/>
        <w:t>(b)</w:t>
      </w:r>
      <w:r>
        <w:tab/>
        <w:t>Thermal effects:</w:t>
      </w:r>
      <w:r w:rsidR="00B16BC3">
        <w:t xml:space="preserve"> great variability </w:t>
      </w:r>
      <w:r w:rsidR="003256F6">
        <w:t>depending on</w:t>
      </w:r>
      <w:r w:rsidR="00B16BC3">
        <w:t xml:space="preserve"> battery chemistries</w:t>
      </w:r>
      <w:r>
        <w:t>;</w:t>
      </w:r>
    </w:p>
    <w:p w:rsidR="00B16BC3" w:rsidRDefault="00E658BE" w:rsidP="00E658BE">
      <w:pPr>
        <w:pStyle w:val="SingleTxtG"/>
        <w:ind w:left="1701"/>
      </w:pPr>
      <w:r>
        <w:t>(c)</w:t>
      </w:r>
      <w:r>
        <w:tab/>
        <w:t>Mechanical effects:</w:t>
      </w:r>
      <w:r w:rsidR="00B16BC3">
        <w:t xml:space="preserve"> not enough data to make significant comparisons</w:t>
      </w:r>
      <w:r>
        <w:t>.</w:t>
      </w:r>
    </w:p>
    <w:p w:rsidR="00B16BC3" w:rsidRDefault="003256F6" w:rsidP="00E658BE">
      <w:pPr>
        <w:pStyle w:val="SingleTxtG"/>
      </w:pPr>
      <w:r>
        <w:t>8.</w:t>
      </w:r>
      <w:r>
        <w:tab/>
        <w:t>INERIS had</w:t>
      </w:r>
      <w:r w:rsidR="00E658BE">
        <w:t xml:space="preserve"> also compared </w:t>
      </w:r>
      <w:r w:rsidR="00B16BC3">
        <w:t xml:space="preserve">the effects noted above with </w:t>
      </w:r>
      <w:r w:rsidR="00E658BE">
        <w:t xml:space="preserve">those resulting from </w:t>
      </w:r>
      <w:r>
        <w:t xml:space="preserve">tests on </w:t>
      </w:r>
      <w:r w:rsidR="00B16BC3">
        <w:t>other common materials including aerosols, DVDs, plastic drums, and a palle</w:t>
      </w:r>
      <w:r>
        <w:t>t of containerized salad (food):</w:t>
      </w:r>
      <w:r w:rsidR="00B16BC3">
        <w:t xml:space="preserve"> </w:t>
      </w:r>
    </w:p>
    <w:p w:rsidR="00B16BC3" w:rsidRDefault="00E658BE" w:rsidP="00E658BE">
      <w:pPr>
        <w:pStyle w:val="SingleTxtG"/>
        <w:ind w:left="1701"/>
      </w:pPr>
      <w:r>
        <w:t>(a)</w:t>
      </w:r>
      <w:r>
        <w:tab/>
      </w:r>
      <w:r w:rsidR="00B16BC3">
        <w:t>Thermal effects</w:t>
      </w:r>
      <w:r>
        <w:t>:</w:t>
      </w:r>
      <w:r w:rsidR="00B16BC3">
        <w:t xml:space="preserve"> </w:t>
      </w:r>
      <w:r>
        <w:t>INERIS had</w:t>
      </w:r>
      <w:r w:rsidR="00B16BC3">
        <w:t xml:space="preserve"> concluded that one battery pack tested represented a risk higher than a pallet of aerosols, while a second </w:t>
      </w:r>
      <w:r w:rsidR="003256F6">
        <w:t>battery pack tested represented a risk of</w:t>
      </w:r>
      <w:r w:rsidR="00B16BC3">
        <w:t xml:space="preserve"> the same magnitude as </w:t>
      </w:r>
      <w:r w:rsidR="003256F6">
        <w:t>for</w:t>
      </w:r>
      <w:r w:rsidR="00B16BC3">
        <w:t xml:space="preserve"> DVDs, plastic containers of salads, and plastic drums. The results indicated two clear gr</w:t>
      </w:r>
      <w:r w:rsidR="003256F6">
        <w:t>oupings of thermal power levels one</w:t>
      </w:r>
      <w:r w:rsidR="00B16BC3">
        <w:t xml:space="preserve"> above 140 megawatts (MW) and </w:t>
      </w:r>
      <w:r w:rsidR="003256F6">
        <w:t>a second one</w:t>
      </w:r>
      <w:r w:rsidR="00B16BC3">
        <w:t xml:space="preserve"> below 70 MW. </w:t>
      </w:r>
    </w:p>
    <w:p w:rsidR="00B16BC3" w:rsidRDefault="00E658BE" w:rsidP="00E658BE">
      <w:pPr>
        <w:pStyle w:val="SingleTxtG"/>
        <w:ind w:left="1701"/>
      </w:pPr>
      <w:r>
        <w:t>(b)</w:t>
      </w:r>
      <w:r>
        <w:tab/>
      </w:r>
      <w:r w:rsidR="00B16BC3">
        <w:t>Flame emittance and height</w:t>
      </w:r>
      <w:r>
        <w:t>:</w:t>
      </w:r>
      <w:r w:rsidR="00B16BC3">
        <w:t xml:space="preserve"> </w:t>
      </w:r>
      <w:r w:rsidR="003256F6">
        <w:t xml:space="preserve">the </w:t>
      </w:r>
      <w:r w:rsidR="00B16BC3">
        <w:t xml:space="preserve">results were similar </w:t>
      </w:r>
      <w:r w:rsidR="003256F6">
        <w:t>to those for</w:t>
      </w:r>
      <w:r w:rsidR="00B16BC3">
        <w:t xml:space="preserve"> thermal effect tests.</w:t>
      </w:r>
    </w:p>
    <w:p w:rsidR="00B16BC3" w:rsidRDefault="00E658BE" w:rsidP="00E658BE">
      <w:pPr>
        <w:pStyle w:val="SingleTxtG"/>
        <w:ind w:left="1701"/>
      </w:pPr>
      <w:r>
        <w:t>(c)</w:t>
      </w:r>
      <w:r>
        <w:tab/>
      </w:r>
      <w:r w:rsidR="00B16BC3">
        <w:t>Toxic effects</w:t>
      </w:r>
      <w:r>
        <w:t>:</w:t>
      </w:r>
      <w:r w:rsidR="00B16BC3">
        <w:t xml:space="preserve"> </w:t>
      </w:r>
      <w:r w:rsidR="003256F6">
        <w:t xml:space="preserve">INERIS </w:t>
      </w:r>
      <w:r w:rsidR="00B16BC3">
        <w:t xml:space="preserve">reviewed </w:t>
      </w:r>
      <w:r w:rsidR="003256F6">
        <w:t xml:space="preserve">the </w:t>
      </w:r>
      <w:r w:rsidR="00B16BC3">
        <w:t>concentration of gaseous effluents and compared the toxicity level in ppm. Lithium batteries presented a mid-level hazard compared to other materials. Plastic drums represented the highest toxicity, a magnitude greater than lithium batteries.</w:t>
      </w:r>
    </w:p>
    <w:p w:rsidR="003F66F7" w:rsidRDefault="003256F6" w:rsidP="00BC6399">
      <w:pPr>
        <w:pStyle w:val="SingleTxtG"/>
      </w:pPr>
      <w:r>
        <w:t>9</w:t>
      </w:r>
      <w:r w:rsidR="00BC6399">
        <w:t>.</w:t>
      </w:r>
      <w:r w:rsidR="00BC6399">
        <w:tab/>
      </w:r>
      <w:r w:rsidR="003F66F7">
        <w:t xml:space="preserve">The results of the study indicated great variability on toxic and thermal effects between different battery types with many of the effects being lower than other commonly shipped goods. </w:t>
      </w:r>
      <w:r>
        <w:t>INERIS</w:t>
      </w:r>
      <w:r w:rsidR="003F66F7">
        <w:t xml:space="preserve"> concluded </w:t>
      </w:r>
      <w:r>
        <w:t>th</w:t>
      </w:r>
      <w:r w:rsidR="003F66F7">
        <w:t>a</w:t>
      </w:r>
      <w:r>
        <w:t>t a</w:t>
      </w:r>
      <w:r w:rsidR="003F66F7">
        <w:t xml:space="preserve"> classification system based on toxic and thermal effects would be relevant.</w:t>
      </w:r>
    </w:p>
    <w:p w:rsidR="003F66F7" w:rsidRDefault="003256F6" w:rsidP="00BC6399">
      <w:pPr>
        <w:pStyle w:val="SingleTxtG"/>
      </w:pPr>
      <w:r>
        <w:t>10</w:t>
      </w:r>
      <w:r w:rsidR="00BC6399">
        <w:t>.</w:t>
      </w:r>
      <w:r w:rsidR="00BC6399">
        <w:tab/>
      </w:r>
      <w:r w:rsidR="003F66F7">
        <w:t xml:space="preserve">Participants discussed whether it was important to look at the specific hazards represented by the lithium batteries or whether those effects should be compared to other goods. Some suggested the unique properties of lithium batteries should be accepted as the basis and a system </w:t>
      </w:r>
      <w:r w:rsidR="00BC6399">
        <w:t>had to</w:t>
      </w:r>
      <w:r w:rsidR="003F66F7">
        <w:t xml:space="preserve"> address known concerns, regardless of how those values compared to other materials. But the group recognized </w:t>
      </w:r>
      <w:r>
        <w:t xml:space="preserve">that </w:t>
      </w:r>
      <w:r w:rsidR="003F66F7">
        <w:t xml:space="preserve">a first step </w:t>
      </w:r>
      <w:r w:rsidR="00BC6399">
        <w:t>should</w:t>
      </w:r>
      <w:r w:rsidR="003F66F7">
        <w:t xml:space="preserve"> be to determine the differe</w:t>
      </w:r>
      <w:r>
        <w:t xml:space="preserve">nt hazards represented and </w:t>
      </w:r>
      <w:r w:rsidR="00824E04">
        <w:t xml:space="preserve">that </w:t>
      </w:r>
      <w:r>
        <w:t xml:space="preserve">then, in a later step, </w:t>
      </w:r>
      <w:r w:rsidR="003F66F7">
        <w:t>risk-mitigation factors that may re</w:t>
      </w:r>
      <w:r>
        <w:t>duce or eliminate those hazards</w:t>
      </w:r>
      <w:r w:rsidR="00824E04">
        <w:t xml:space="preserve"> should be determined</w:t>
      </w:r>
      <w:r w:rsidR="003F66F7">
        <w:t xml:space="preserve">. A multi-modal approach </w:t>
      </w:r>
      <w:r w:rsidR="00BC6399">
        <w:t>should</w:t>
      </w:r>
      <w:r w:rsidR="003F66F7">
        <w:t xml:space="preserve"> be considered. The group was reminded </w:t>
      </w:r>
      <w:r w:rsidR="00BC6399">
        <w:t xml:space="preserve">of </w:t>
      </w:r>
      <w:r w:rsidR="003F66F7">
        <w:t xml:space="preserve">the efforts being conducted by the </w:t>
      </w:r>
      <w:r>
        <w:t xml:space="preserve">SAE </w:t>
      </w:r>
      <w:r w:rsidR="003F66F7">
        <w:t>G-27</w:t>
      </w:r>
      <w:r w:rsidR="00824E04">
        <w:t xml:space="preserve"> Lithium Battery Packaging P</w:t>
      </w:r>
      <w:r>
        <w:t>erformance Committee (“G-27”)</w:t>
      </w:r>
      <w:r w:rsidR="003F66F7">
        <w:t xml:space="preserve"> reviewing lithium battery packaging</w:t>
      </w:r>
      <w:r w:rsidR="00824E04">
        <w:t>s</w:t>
      </w:r>
      <w:r w:rsidR="003F66F7">
        <w:t xml:space="preserve"> </w:t>
      </w:r>
      <w:r w:rsidR="00BC6399">
        <w:t xml:space="preserve">for transport </w:t>
      </w:r>
      <w:r w:rsidR="003F66F7">
        <w:t xml:space="preserve">by air. The Chairman reminded the group </w:t>
      </w:r>
      <w:r w:rsidR="00BC6399">
        <w:t xml:space="preserve">that </w:t>
      </w:r>
      <w:r w:rsidR="003F66F7">
        <w:t xml:space="preserve">the issue would not be solved during this meeting and </w:t>
      </w:r>
      <w:r w:rsidR="00BC6399">
        <w:t xml:space="preserve">that it </w:t>
      </w:r>
      <w:r w:rsidR="003F66F7">
        <w:t xml:space="preserve">would take more than one biennium to reach a final result. Hazards </w:t>
      </w:r>
      <w:r w:rsidR="00BC6399">
        <w:t>had to</w:t>
      </w:r>
      <w:r w:rsidR="003F66F7">
        <w:t xml:space="preserve"> be identified first, and tests </w:t>
      </w:r>
      <w:r w:rsidR="00824E04">
        <w:t xml:space="preserve">had to be </w:t>
      </w:r>
      <w:r w:rsidR="003F66F7">
        <w:t>de</w:t>
      </w:r>
      <w:r w:rsidR="002547A2">
        <w:t>fined to collect data. But it</w:t>
      </w:r>
      <w:r w:rsidR="003F66F7">
        <w:t xml:space="preserve"> </w:t>
      </w:r>
      <w:r w:rsidR="00BC6399">
        <w:t xml:space="preserve">was </w:t>
      </w:r>
      <w:r w:rsidR="003F66F7">
        <w:t xml:space="preserve">also important to understand how </w:t>
      </w:r>
      <w:r w:rsidR="00824E04">
        <w:t xml:space="preserve">to </w:t>
      </w:r>
      <w:r w:rsidR="003F66F7">
        <w:t>identify representative samples (size, battery/cell chemistry, design).</w:t>
      </w:r>
    </w:p>
    <w:p w:rsidR="003F66F7" w:rsidRDefault="003256F6" w:rsidP="00BC6399">
      <w:pPr>
        <w:pStyle w:val="SingleTxtG"/>
      </w:pPr>
      <w:r>
        <w:t>11</w:t>
      </w:r>
      <w:r w:rsidR="00BC6399">
        <w:t>.</w:t>
      </w:r>
      <w:r w:rsidR="00BC6399">
        <w:tab/>
      </w:r>
      <w:r w:rsidR="003F66F7">
        <w:t xml:space="preserve">Some indicated </w:t>
      </w:r>
      <w:r w:rsidR="00824E04">
        <w:t xml:space="preserve">that </w:t>
      </w:r>
      <w:r w:rsidR="003F66F7">
        <w:t xml:space="preserve">industry battery performance </w:t>
      </w:r>
      <w:r w:rsidR="002547A2">
        <w:t>was</w:t>
      </w:r>
      <w:r w:rsidR="003F66F7">
        <w:t xml:space="preserve"> governed by the intended use of the cell/battery and existing government regulations. Marketability and profitability </w:t>
      </w:r>
      <w:r w:rsidR="00824E04">
        <w:t>were</w:t>
      </w:r>
      <w:r w:rsidR="003F66F7">
        <w:t xml:space="preserve"> key drivers in industry. It </w:t>
      </w:r>
      <w:r w:rsidR="002547A2">
        <w:t>was</w:t>
      </w:r>
      <w:r w:rsidR="003F66F7">
        <w:t xml:space="preserve"> important to ensure </w:t>
      </w:r>
      <w:r w:rsidR="00824E04">
        <w:t xml:space="preserve">that </w:t>
      </w:r>
      <w:r w:rsidR="003F66F7">
        <w:t xml:space="preserve">new tests </w:t>
      </w:r>
      <w:r w:rsidR="002547A2">
        <w:t>would</w:t>
      </w:r>
      <w:r w:rsidR="003F66F7">
        <w:t xml:space="preserve"> not lead to unintended consequences (</w:t>
      </w:r>
      <w:r w:rsidR="00413472">
        <w:t xml:space="preserve">e.g. </w:t>
      </w:r>
      <w:r w:rsidR="003F66F7">
        <w:t xml:space="preserve">new designs </w:t>
      </w:r>
      <w:r w:rsidR="00824E04">
        <w:t>would</w:t>
      </w:r>
      <w:r w:rsidR="003F66F7">
        <w:t xml:space="preserve"> pass </w:t>
      </w:r>
      <w:r w:rsidR="00413472">
        <w:t xml:space="preserve">the </w:t>
      </w:r>
      <w:r w:rsidR="003F66F7">
        <w:t xml:space="preserve">tests but </w:t>
      </w:r>
      <w:r w:rsidR="00824E04">
        <w:t xml:space="preserve">the </w:t>
      </w:r>
      <w:r w:rsidR="003F66F7">
        <w:t xml:space="preserve">hazards </w:t>
      </w:r>
      <w:r w:rsidR="00824E04">
        <w:t xml:space="preserve">would </w:t>
      </w:r>
      <w:r w:rsidR="003F66F7">
        <w:t>still exist).</w:t>
      </w:r>
    </w:p>
    <w:p w:rsidR="003F66F7" w:rsidRDefault="002547A2" w:rsidP="002547A2">
      <w:pPr>
        <w:pStyle w:val="H1G"/>
      </w:pPr>
      <w:r>
        <w:tab/>
      </w:r>
      <w:r>
        <w:tab/>
      </w:r>
      <w:r w:rsidR="003F66F7">
        <w:t xml:space="preserve">RECHARGE Presentation </w:t>
      </w:r>
      <w:r w:rsidR="000804C6">
        <w:t>No.1</w:t>
      </w:r>
    </w:p>
    <w:p w:rsidR="003F66F7" w:rsidRDefault="003256F6" w:rsidP="002547A2">
      <w:pPr>
        <w:pStyle w:val="SingleTxtG"/>
      </w:pPr>
      <w:r>
        <w:t>12</w:t>
      </w:r>
      <w:r w:rsidR="002547A2">
        <w:t>.</w:t>
      </w:r>
      <w:r w:rsidR="002547A2">
        <w:tab/>
      </w:r>
      <w:r w:rsidR="003F66F7">
        <w:t>RECHARGE discussed the potential hazards of lithium batteries identifying:</w:t>
      </w:r>
    </w:p>
    <w:p w:rsidR="003F66F7" w:rsidRDefault="00BB2918" w:rsidP="002547A2">
      <w:pPr>
        <w:pStyle w:val="SingleTxtG"/>
        <w:ind w:left="1701"/>
      </w:pPr>
      <w:r>
        <w:t>(a)</w:t>
      </w:r>
      <w:r>
        <w:tab/>
      </w:r>
      <w:r w:rsidR="003F66F7">
        <w:t xml:space="preserve">Electrical </w:t>
      </w:r>
    </w:p>
    <w:p w:rsidR="003F66F7" w:rsidRDefault="000804C6" w:rsidP="002547A2">
      <w:pPr>
        <w:pStyle w:val="SingleTxtG"/>
        <w:ind w:left="1701"/>
      </w:pPr>
      <w:r>
        <w:t>(b)</w:t>
      </w:r>
      <w:r>
        <w:tab/>
      </w:r>
      <w:r w:rsidR="003F66F7">
        <w:t>Thermal runaway</w:t>
      </w:r>
    </w:p>
    <w:p w:rsidR="003F66F7" w:rsidRDefault="000804C6" w:rsidP="002547A2">
      <w:pPr>
        <w:pStyle w:val="SingleTxtG"/>
        <w:ind w:left="1701"/>
      </w:pPr>
      <w:r>
        <w:t>(c)</w:t>
      </w:r>
      <w:r>
        <w:tab/>
      </w:r>
      <w:r w:rsidR="003F66F7">
        <w:t>Chemical (electrolyte leakage)</w:t>
      </w:r>
    </w:p>
    <w:p w:rsidR="003F66F7" w:rsidRDefault="000804C6" w:rsidP="002547A2">
      <w:pPr>
        <w:pStyle w:val="SingleTxtG"/>
        <w:ind w:left="1701"/>
      </w:pPr>
      <w:r>
        <w:t>(d)</w:t>
      </w:r>
      <w:r>
        <w:tab/>
      </w:r>
      <w:r w:rsidR="003F66F7">
        <w:t>Mechanical</w:t>
      </w:r>
    </w:p>
    <w:p w:rsidR="003F66F7" w:rsidRDefault="003256F6" w:rsidP="000804C6">
      <w:pPr>
        <w:pStyle w:val="SingleTxtG"/>
      </w:pPr>
      <w:r>
        <w:lastRenderedPageBreak/>
        <w:t>13</w:t>
      </w:r>
      <w:r w:rsidR="000804C6">
        <w:t>.</w:t>
      </w:r>
      <w:r w:rsidR="000804C6">
        <w:tab/>
      </w:r>
      <w:r w:rsidR="003F66F7">
        <w:t xml:space="preserve">In </w:t>
      </w:r>
      <w:r w:rsidR="003F66F7" w:rsidRPr="000804C6">
        <w:t>the</w:t>
      </w:r>
      <w:r w:rsidR="003F66F7">
        <w:t xml:space="preserve"> case of thermal runaway:</w:t>
      </w:r>
    </w:p>
    <w:p w:rsidR="003F66F7" w:rsidRDefault="000804C6" w:rsidP="002547A2">
      <w:pPr>
        <w:pStyle w:val="SingleTxtG"/>
        <w:ind w:left="1701"/>
      </w:pPr>
      <w:r>
        <w:t>(a)</w:t>
      </w:r>
      <w:r>
        <w:tab/>
      </w:r>
      <w:r w:rsidR="003F66F7">
        <w:t>Gas emission -toxicity and volume</w:t>
      </w:r>
    </w:p>
    <w:p w:rsidR="003F66F7" w:rsidRDefault="000804C6" w:rsidP="002547A2">
      <w:pPr>
        <w:pStyle w:val="SingleTxtG"/>
        <w:ind w:left="1701"/>
      </w:pPr>
      <w:r>
        <w:t>(b)</w:t>
      </w:r>
      <w:r>
        <w:tab/>
      </w:r>
      <w:r w:rsidR="003F66F7">
        <w:t>Flame and heat emission</w:t>
      </w:r>
    </w:p>
    <w:p w:rsidR="003F66F7" w:rsidRDefault="000804C6" w:rsidP="002547A2">
      <w:pPr>
        <w:pStyle w:val="SingleTxtG"/>
        <w:ind w:left="1701"/>
      </w:pPr>
      <w:r>
        <w:t>(c)</w:t>
      </w:r>
      <w:r>
        <w:tab/>
      </w:r>
      <w:r w:rsidR="003F66F7">
        <w:t>Rapid disassembly</w:t>
      </w:r>
    </w:p>
    <w:p w:rsidR="003F66F7" w:rsidRDefault="000804C6" w:rsidP="002547A2">
      <w:pPr>
        <w:pStyle w:val="SingleTxtG"/>
        <w:ind w:left="1701"/>
      </w:pPr>
      <w:r>
        <w:t>(d)</w:t>
      </w:r>
      <w:r>
        <w:tab/>
      </w:r>
      <w:r w:rsidR="003F66F7">
        <w:t>Electrolyte leakage</w:t>
      </w:r>
    </w:p>
    <w:p w:rsidR="003F66F7" w:rsidRDefault="003256F6" w:rsidP="000804C6">
      <w:pPr>
        <w:pStyle w:val="SingleTxtG"/>
      </w:pPr>
      <w:r>
        <w:t>14</w:t>
      </w:r>
      <w:r w:rsidR="000804C6">
        <w:t>.</w:t>
      </w:r>
      <w:r w:rsidR="000804C6">
        <w:tab/>
      </w:r>
      <w:r w:rsidR="003F66F7">
        <w:t xml:space="preserve">RECHARGE explained </w:t>
      </w:r>
      <w:r w:rsidR="00824E04">
        <w:t xml:space="preserve">that </w:t>
      </w:r>
      <w:r w:rsidR="003F66F7">
        <w:t xml:space="preserve">thermal runaway </w:t>
      </w:r>
      <w:r w:rsidR="000804C6">
        <w:t>was</w:t>
      </w:r>
      <w:r w:rsidR="003F66F7">
        <w:t xml:space="preserve"> actually a series or chain of chemical reactions, several of which </w:t>
      </w:r>
      <w:r w:rsidR="000804C6">
        <w:t>produced</w:t>
      </w:r>
      <w:r w:rsidR="003F66F7">
        <w:t xml:space="preserve"> heat and gas. The process </w:t>
      </w:r>
      <w:r w:rsidR="000804C6">
        <w:t>was</w:t>
      </w:r>
      <w:r w:rsidR="003F66F7">
        <w:t xml:space="preserve"> not a single reaction but several </w:t>
      </w:r>
      <w:r w:rsidR="000804C6">
        <w:t xml:space="preserve">reactions </w:t>
      </w:r>
      <w:r w:rsidR="003F66F7">
        <w:t>in a feedback loop. Event propagation occur</w:t>
      </w:r>
      <w:r w:rsidR="000804C6">
        <w:t>red</w:t>
      </w:r>
      <w:r w:rsidR="003F66F7">
        <w:t xml:space="preserve"> because of heat transfer, flames, and burning of flammable gas within the battery, casing, or high unit density in packaging. Cooling systems </w:t>
      </w:r>
      <w:r w:rsidR="000804C6">
        <w:t>could</w:t>
      </w:r>
      <w:r w:rsidR="003F66F7">
        <w:t xml:space="preserve"> dissipate heat across cells or out of the battery. Thermal insulation </w:t>
      </w:r>
      <w:r w:rsidR="000804C6">
        <w:t>could</w:t>
      </w:r>
      <w:r w:rsidR="003F66F7">
        <w:t xml:space="preserve"> also reduce heat transfer to other cells. </w:t>
      </w:r>
      <w:r w:rsidR="000804C6">
        <w:t>RECHARGE had</w:t>
      </w:r>
      <w:r w:rsidR="003F66F7">
        <w:t xml:space="preserve"> studied insulation properties with different materials (i.e. vermiculite, sand). </w:t>
      </w:r>
      <w:r w:rsidR="000804C6">
        <w:t>It had</w:t>
      </w:r>
      <w:r w:rsidR="003F66F7">
        <w:t xml:space="preserve"> also reviewed event probability – risk of battery resulting in a thermal event based on the status of the battery and battery design. Acknowledging the fact that a high severity of hazard would have a low acceptance in transport but a low severity hazard m</w:t>
      </w:r>
      <w:r w:rsidR="000804C6">
        <w:t>ight</w:t>
      </w:r>
      <w:r w:rsidR="003F66F7">
        <w:t xml:space="preserve"> have a higher acceptance, RECHARGE concluded a system c</w:t>
      </w:r>
      <w:r w:rsidR="000804C6">
        <w:t>ould</w:t>
      </w:r>
      <w:r w:rsidR="003F66F7">
        <w:t xml:space="preserve"> be developed to mitigate or eliminate severe hazards in transport while permitting lower hazards to exist if controlled.</w:t>
      </w:r>
    </w:p>
    <w:p w:rsidR="003F66F7" w:rsidRDefault="003256F6" w:rsidP="000804C6">
      <w:pPr>
        <w:pStyle w:val="SingleTxtG"/>
      </w:pPr>
      <w:r>
        <w:t>15</w:t>
      </w:r>
      <w:r w:rsidR="000804C6">
        <w:t>.</w:t>
      </w:r>
      <w:r w:rsidR="000804C6">
        <w:tab/>
      </w:r>
      <w:r w:rsidR="003F66F7">
        <w:t xml:space="preserve">The IWG discussed the difficulty in determining </w:t>
      </w:r>
      <w:r w:rsidR="00824E04">
        <w:t xml:space="preserve">the </w:t>
      </w:r>
      <w:r w:rsidR="003F66F7">
        <w:t xml:space="preserve">probability of an event. How </w:t>
      </w:r>
      <w:r w:rsidR="000804C6">
        <w:t>was</w:t>
      </w:r>
      <w:r w:rsidR="003F66F7">
        <w:t xml:space="preserve"> this determined in all cases? The group also considered the fact that various hazard properties c</w:t>
      </w:r>
      <w:r w:rsidR="000804C6">
        <w:t>ould</w:t>
      </w:r>
      <w:r w:rsidR="003F66F7">
        <w:t xml:space="preserve"> be mitigated in multiple ways. Participants were generally supportive of developing new classification criteria but had differing opinions on whether packaging or battery design needed to be considered as mitigating factors for classification. The Chairman and others felt strongly </w:t>
      </w:r>
      <w:r w:rsidR="000804C6">
        <w:t xml:space="preserve">that </w:t>
      </w:r>
      <w:r w:rsidR="003F66F7">
        <w:t xml:space="preserve">mitigating factors should be set aside for the short term and </w:t>
      </w:r>
      <w:r w:rsidR="000804C6">
        <w:t xml:space="preserve">that </w:t>
      </w:r>
      <w:r w:rsidR="003F66F7">
        <w:t>the group should focus on identifying intrinsic hazards, developing tests to identify relative hazards, and deal with mitigating factors at a future session.</w:t>
      </w:r>
    </w:p>
    <w:p w:rsidR="003F66F7" w:rsidRDefault="000804C6" w:rsidP="000804C6">
      <w:pPr>
        <w:pStyle w:val="H1G"/>
      </w:pPr>
      <w:r>
        <w:tab/>
      </w:r>
      <w:r>
        <w:tab/>
      </w:r>
      <w:r w:rsidR="003F66F7">
        <w:t xml:space="preserve">RECHARGE Presentation </w:t>
      </w:r>
      <w:r>
        <w:t>No.2</w:t>
      </w:r>
    </w:p>
    <w:p w:rsidR="003F66F7" w:rsidRDefault="003256F6" w:rsidP="00E672F2">
      <w:pPr>
        <w:pStyle w:val="SingleTxtG"/>
      </w:pPr>
      <w:r>
        <w:t>16</w:t>
      </w:r>
      <w:r w:rsidR="00E672F2">
        <w:t>.</w:t>
      </w:r>
      <w:r w:rsidR="00E672F2">
        <w:tab/>
      </w:r>
      <w:r w:rsidR="003F66F7">
        <w:t xml:space="preserve">RECHARGE gave a second presentation discussing factors that may be used to categorize hazards. The approach included reviewing the maximum hazard (effect) produced by a battery and the susceptibility that a battery would present the maximum hazard. Propagation ability </w:t>
      </w:r>
      <w:r w:rsidR="00824E04">
        <w:t>could</w:t>
      </w:r>
      <w:r w:rsidR="003F66F7">
        <w:t xml:space="preserve"> be considered as one of the factors of susceptibility. </w:t>
      </w:r>
      <w:r w:rsidR="00E672F2">
        <w:t>RECHARGE</w:t>
      </w:r>
      <w:r w:rsidR="003F66F7">
        <w:t xml:space="preserve"> suggested a 3-step approach to classification:</w:t>
      </w:r>
    </w:p>
    <w:p w:rsidR="003F66F7" w:rsidRDefault="00E672F2" w:rsidP="00E672F2">
      <w:pPr>
        <w:pStyle w:val="SingleTxtG"/>
        <w:ind w:left="1701"/>
      </w:pPr>
      <w:r>
        <w:t>(a)</w:t>
      </w:r>
      <w:r>
        <w:tab/>
      </w:r>
      <w:r w:rsidR="003F66F7">
        <w:t>Determination of maximum potential hazard effect</w:t>
      </w:r>
      <w:r w:rsidR="003256F6">
        <w:t>;</w:t>
      </w:r>
    </w:p>
    <w:p w:rsidR="003F66F7" w:rsidRDefault="00E672F2" w:rsidP="00E672F2">
      <w:pPr>
        <w:pStyle w:val="SingleTxtG"/>
        <w:ind w:left="1701"/>
      </w:pPr>
      <w:r>
        <w:t>(b)</w:t>
      </w:r>
      <w:r>
        <w:tab/>
      </w:r>
      <w:r w:rsidR="003F66F7">
        <w:t>Characteristics of susceptibility</w:t>
      </w:r>
      <w:r w:rsidR="003256F6">
        <w:t>;</w:t>
      </w:r>
    </w:p>
    <w:p w:rsidR="003F66F7" w:rsidRDefault="00E672F2" w:rsidP="00E672F2">
      <w:pPr>
        <w:pStyle w:val="SingleTxtG"/>
        <w:ind w:left="1701"/>
      </w:pPr>
      <w:r>
        <w:t>(c)</w:t>
      </w:r>
      <w:r>
        <w:tab/>
      </w:r>
      <w:r w:rsidR="003F66F7">
        <w:t>Consideration of mitigation factors.</w:t>
      </w:r>
    </w:p>
    <w:p w:rsidR="003F66F7" w:rsidRDefault="003256F6" w:rsidP="00352617">
      <w:pPr>
        <w:pStyle w:val="SingleTxtG"/>
      </w:pPr>
      <w:r>
        <w:t>17</w:t>
      </w:r>
      <w:r w:rsidR="00352617">
        <w:t>.</w:t>
      </w:r>
      <w:r w:rsidR="00352617">
        <w:tab/>
        <w:t>The</w:t>
      </w:r>
      <w:r w:rsidR="003F66F7">
        <w:t xml:space="preserve"> proposal included concepts of testing for maximum potential hazard and susceptibility, and identification of relative hazard levels based on the hazard and susceptibility data. Once test data </w:t>
      </w:r>
      <w:r w:rsidR="00352617">
        <w:t xml:space="preserve">had </w:t>
      </w:r>
      <w:r w:rsidR="003F66F7">
        <w:t>identified the relative hazard, mitigating factors could be used to reduce the hazard or susceptibility. The presentation gave a high overview of the philosophy of a new lithium battery classification system but did not detail the specific hazards that should be tested. RECHARGE concluded the presentation with a proposed scope of work for future work.</w:t>
      </w:r>
    </w:p>
    <w:p w:rsidR="003F66F7" w:rsidRDefault="003256F6" w:rsidP="00352617">
      <w:pPr>
        <w:pStyle w:val="SingleTxtG"/>
      </w:pPr>
      <w:r>
        <w:t>18</w:t>
      </w:r>
      <w:r w:rsidR="00352617">
        <w:t>.</w:t>
      </w:r>
      <w:r w:rsidR="00352617">
        <w:tab/>
      </w:r>
      <w:r w:rsidR="003F66F7">
        <w:t xml:space="preserve">The IWG requested expansion on how susceptibility would be tested. Examples given included considering the temperature at which a battery may begin a thermal event, or whether cells would propagate within a battery. The Chairman suggested </w:t>
      </w:r>
      <w:r w:rsidR="00203FEE">
        <w:t xml:space="preserve">that, </w:t>
      </w:r>
      <w:r w:rsidR="003F66F7">
        <w:t xml:space="preserve">at present, the work discussed in the IWG </w:t>
      </w:r>
      <w:r w:rsidR="00203FEE">
        <w:t>should</w:t>
      </w:r>
      <w:r w:rsidR="003F66F7">
        <w:t xml:space="preserve"> be in parallel and in addition to the </w:t>
      </w:r>
      <w:r w:rsidR="00203FEE">
        <w:t xml:space="preserve">work on section </w:t>
      </w:r>
      <w:r w:rsidR="00203FEE">
        <w:lastRenderedPageBreak/>
        <w:t>38.3 of the Manual of Tests and Criteria (“UN 38.3”)</w:t>
      </w:r>
      <w:r w:rsidR="003F66F7">
        <w:t>, but that changes to UN38.3 could be considered at a future session. The proposed scope of work was generally supported as a basis for moving forward.</w:t>
      </w:r>
    </w:p>
    <w:p w:rsidR="003F66F7" w:rsidRDefault="00203FEE" w:rsidP="00446A66">
      <w:pPr>
        <w:pStyle w:val="SingleTxtG"/>
      </w:pPr>
      <w:r>
        <w:t>19</w:t>
      </w:r>
      <w:r w:rsidR="00446A66">
        <w:t>.</w:t>
      </w:r>
      <w:r w:rsidR="00446A66">
        <w:tab/>
      </w:r>
      <w:r w:rsidR="003F66F7">
        <w:t xml:space="preserve">The question was raised whether changes to the UN38.3 testing requirements could also be discussed. The Chairman explained </w:t>
      </w:r>
      <w:r w:rsidR="00446A66">
        <w:t xml:space="preserve">that </w:t>
      </w:r>
      <w:r w:rsidR="003F66F7">
        <w:t xml:space="preserve">the current mandate of the IWG does not include </w:t>
      </w:r>
      <w:r w:rsidR="00446A66">
        <w:t xml:space="preserve">the </w:t>
      </w:r>
      <w:r w:rsidR="003F66F7">
        <w:t xml:space="preserve">review of the UN38.3 requirements. Concerns about the existing UN38.3 </w:t>
      </w:r>
      <w:r w:rsidR="00446A66">
        <w:t>could</w:t>
      </w:r>
      <w:r w:rsidR="003F66F7">
        <w:t xml:space="preserve"> be considered as a separate work item. The work of the IWG m</w:t>
      </w:r>
      <w:r w:rsidR="00446A66">
        <w:t>ight</w:t>
      </w:r>
      <w:r w:rsidR="003F66F7">
        <w:t xml:space="preserve"> not be directly related to UN38.3, but the result of discussions m</w:t>
      </w:r>
      <w:r w:rsidR="00446A66">
        <w:t>ight</w:t>
      </w:r>
      <w:r w:rsidR="003F66F7">
        <w:t xml:space="preserve"> have consequences </w:t>
      </w:r>
      <w:r w:rsidR="00446A66">
        <w:t>on</w:t>
      </w:r>
      <w:r w:rsidR="003F66F7">
        <w:t xml:space="preserve"> UN38.3 and could be considered in the future. UN 38.3 is a pass/fail condition. If a design type passes, it </w:t>
      </w:r>
      <w:r w:rsidR="00446A66">
        <w:t>is acceptable for transport as</w:t>
      </w:r>
      <w:r w:rsidR="003F66F7">
        <w:t xml:space="preserve"> Class 9. If it fails, it is not accept</w:t>
      </w:r>
      <w:r w:rsidR="00446A66">
        <w:t xml:space="preserve">able for general transport as </w:t>
      </w:r>
      <w:r w:rsidR="003F66F7">
        <w:t xml:space="preserve">Class 9. The new method would consider the worst case situation and as a result, all cells and batteries would likely “fail” the test. Therefore, identifying the key factors to be monitored </w:t>
      </w:r>
      <w:r w:rsidR="00446A66">
        <w:t>was</w:t>
      </w:r>
      <w:r w:rsidR="003F66F7">
        <w:t xml:space="preserve"> more relevant in the new process </w:t>
      </w:r>
      <w:r w:rsidR="00446A66">
        <w:t>than passing</w:t>
      </w:r>
      <w:r w:rsidR="003F66F7">
        <w:t xml:space="preserve"> UN38.3.</w:t>
      </w:r>
    </w:p>
    <w:p w:rsidR="003F66F7" w:rsidRDefault="00203FEE" w:rsidP="00446A66">
      <w:pPr>
        <w:pStyle w:val="SingleTxtG"/>
      </w:pPr>
      <w:r>
        <w:t>20</w:t>
      </w:r>
      <w:r w:rsidR="00446A66">
        <w:t>.</w:t>
      </w:r>
      <w:r w:rsidR="00446A66">
        <w:tab/>
      </w:r>
      <w:r w:rsidR="003F66F7">
        <w:t xml:space="preserve">The Chairman suggested </w:t>
      </w:r>
      <w:r w:rsidR="00446A66">
        <w:t xml:space="preserve">that </w:t>
      </w:r>
      <w:r w:rsidR="003F66F7">
        <w:t xml:space="preserve">the group discuss the worst case condition, review the hazards that should be measured, and consider test methods that may be used to quantify the hazard. He reiterated </w:t>
      </w:r>
      <w:r w:rsidR="00824E04">
        <w:t xml:space="preserve">that </w:t>
      </w:r>
      <w:r w:rsidR="003F66F7">
        <w:t xml:space="preserve">all recommendations that </w:t>
      </w:r>
      <w:r w:rsidR="00824E04">
        <w:t xml:space="preserve">would </w:t>
      </w:r>
      <w:r w:rsidR="003F66F7">
        <w:t xml:space="preserve">come from the IWG </w:t>
      </w:r>
      <w:r w:rsidR="00446A66">
        <w:t xml:space="preserve">would have to be discussed by the </w:t>
      </w:r>
      <w:r w:rsidR="003F66F7">
        <w:t>Sub</w:t>
      </w:r>
      <w:r w:rsidR="00446A66">
        <w:t>-C</w:t>
      </w:r>
      <w:r w:rsidR="003F66F7">
        <w:t xml:space="preserve">ommittee eventually. Therefore the work </w:t>
      </w:r>
      <w:r w:rsidR="00446A66">
        <w:t>had to be</w:t>
      </w:r>
      <w:r w:rsidR="003F66F7">
        <w:t xml:space="preserve"> justified by data in the IWG. </w:t>
      </w:r>
    </w:p>
    <w:p w:rsidR="003F66F7" w:rsidRDefault="00203FEE" w:rsidP="00446A66">
      <w:pPr>
        <w:pStyle w:val="SingleTxtG"/>
      </w:pPr>
      <w:r>
        <w:t>21</w:t>
      </w:r>
      <w:r w:rsidR="00446A66">
        <w:t>.</w:t>
      </w:r>
      <w:r w:rsidR="00446A66">
        <w:tab/>
      </w:r>
      <w:r w:rsidR="003F66F7">
        <w:t xml:space="preserve">The group questioned which hazards </w:t>
      </w:r>
      <w:r w:rsidR="00446A66">
        <w:t>were</w:t>
      </w:r>
      <w:r w:rsidR="003F66F7">
        <w:t xml:space="preserve"> not currently identified through testing under UN38.3. UN38.3 verifies the safety of the cell and battery design for transport, but the hazards are not quantified. The current test methods result in a wide range of reactions from very low dangers to very significant dangers. The new method should identify the reactions that are of concern, measure the reaction, and provide a method for relating the danger. Packaging should be considered after the hazards and test methods are established. Some participants questioned whether the efforts of the G-27 should be considered </w:t>
      </w:r>
      <w:r w:rsidR="003F66F7">
        <w:rPr>
          <w:i/>
        </w:rPr>
        <w:t>in lieu</w:t>
      </w:r>
      <w:r w:rsidR="003F66F7">
        <w:t xml:space="preserve"> of complete changes to classification. They voiced concern that</w:t>
      </w:r>
      <w:r w:rsidR="00824E04">
        <w:t>,</w:t>
      </w:r>
      <w:r w:rsidR="003F66F7">
        <w:t xml:space="preserve"> as hazards of lithium batteries are identified in the IWG, the group as a whole </w:t>
      </w:r>
      <w:r>
        <w:t>would</w:t>
      </w:r>
      <w:r w:rsidR="003F66F7">
        <w:t xml:space="preserve"> consider all hazards as “worst case” </w:t>
      </w:r>
      <w:r>
        <w:t>to</w:t>
      </w:r>
      <w:r w:rsidR="003F66F7">
        <w:t xml:space="preserve"> be mitigated, when in reality hazardous effects may already be confined to the package or through battery design under the current system. Others explained the current system is not capable of applying to new technologies, and based on information from modal bodies, does not contain enough granularity to allow for proper characterization of relative danger. Therefore new processes need</w:t>
      </w:r>
      <w:r w:rsidR="00446A66">
        <w:t>ed</w:t>
      </w:r>
      <w:r w:rsidR="003F66F7">
        <w:t xml:space="preserve"> to be cons</w:t>
      </w:r>
      <w:r w:rsidR="00446A66">
        <w:t>idered. While the air mode had</w:t>
      </w:r>
      <w:r w:rsidR="003F66F7">
        <w:t xml:space="preserve"> been the most vocal for change and raised the issue because all hazards represented by lithium batteries </w:t>
      </w:r>
      <w:r w:rsidR="00446A66">
        <w:t>were</w:t>
      </w:r>
      <w:r w:rsidR="003F66F7">
        <w:t xml:space="preserve"> not fully identified under the current system, the current system presents problems in all modes. Once the IWG </w:t>
      </w:r>
      <w:r w:rsidR="00413472">
        <w:t>had</w:t>
      </w:r>
      <w:r w:rsidR="003F66F7">
        <w:t xml:space="preserve"> decided on a course of action and </w:t>
      </w:r>
      <w:r w:rsidR="00413472">
        <w:t>this cause of action had</w:t>
      </w:r>
      <w:r w:rsidR="00446A66">
        <w:t xml:space="preserve"> been</w:t>
      </w:r>
      <w:r w:rsidR="003F66F7">
        <w:t xml:space="preserve"> endorsed by the Sub</w:t>
      </w:r>
      <w:r w:rsidR="00446A66">
        <w:t>-Committee, the m</w:t>
      </w:r>
      <w:r w:rsidR="003F66F7">
        <w:t>odal bodies m</w:t>
      </w:r>
      <w:r w:rsidR="00446A66">
        <w:t>ight</w:t>
      </w:r>
      <w:r w:rsidR="003F66F7">
        <w:t xml:space="preserve"> consider how they w</w:t>
      </w:r>
      <w:r w:rsidR="00446A66">
        <w:t>ould</w:t>
      </w:r>
      <w:r w:rsidR="003F66F7">
        <w:t xml:space="preserve"> address the hazards through packaging, hazard communication, or exceptions. </w:t>
      </w:r>
    </w:p>
    <w:p w:rsidR="003F66F7" w:rsidRDefault="00203FEE" w:rsidP="00446A66">
      <w:pPr>
        <w:pStyle w:val="SingleTxtG"/>
      </w:pPr>
      <w:r>
        <w:t>22</w:t>
      </w:r>
      <w:r w:rsidR="00446A66">
        <w:t>.</w:t>
      </w:r>
      <w:r w:rsidR="00446A66">
        <w:tab/>
      </w:r>
      <w:r w:rsidR="003F66F7">
        <w:t>The IWG discussed the importance of defining the hazards and identifying acceptable criteria for each of the hazards before moving to testing and mitigation taking into account the possibility of future technologies. The Chairman agreed and indicated the system should be independent of technology.</w:t>
      </w:r>
    </w:p>
    <w:p w:rsidR="003F66F7" w:rsidRDefault="00446A66" w:rsidP="00446A66">
      <w:pPr>
        <w:pStyle w:val="H1G"/>
      </w:pPr>
      <w:r>
        <w:tab/>
      </w:r>
      <w:r>
        <w:tab/>
      </w:r>
      <w:r w:rsidR="003F66F7">
        <w:t>FAA Presentation</w:t>
      </w:r>
    </w:p>
    <w:p w:rsidR="003F66F7" w:rsidRDefault="00203FEE" w:rsidP="00446A66">
      <w:pPr>
        <w:pStyle w:val="SingleTxtG"/>
      </w:pPr>
      <w:r>
        <w:t>23</w:t>
      </w:r>
      <w:r w:rsidR="00446A66">
        <w:t>.</w:t>
      </w:r>
      <w:r w:rsidR="00446A66">
        <w:tab/>
      </w:r>
      <w:r w:rsidR="003F66F7">
        <w:t xml:space="preserve">The FAA gave an overview of lithium battery testing </w:t>
      </w:r>
      <w:r w:rsidR="00446A66">
        <w:t>that had been</w:t>
      </w:r>
      <w:r w:rsidR="003F66F7">
        <w:t xml:space="preserve"> conducted at the FAA Fire Safety Branch in Atlantic City, New Jersey, USA. In Report TC-16/37, Primary tests were to determine if Halon or existing packaging</w:t>
      </w:r>
      <w:r>
        <w:t>s</w:t>
      </w:r>
      <w:r w:rsidR="003F66F7">
        <w:t xml:space="preserve"> prevent propagation of thermal runaway in Class C cargo compartments. Results indicated </w:t>
      </w:r>
      <w:r>
        <w:t xml:space="preserve">that </w:t>
      </w:r>
      <w:r w:rsidR="003F66F7">
        <w:t xml:space="preserve">existing packaging do not prevent cell to cell propagation, and Halon was inefficient in extinguishing lithium ion fires completely. In these tests the FAA demonstrated that propagation of thermal runaway did </w:t>
      </w:r>
      <w:r w:rsidR="003F66F7">
        <w:lastRenderedPageBreak/>
        <w:t xml:space="preserve">not occur for the majority of cells tested when the </w:t>
      </w:r>
      <w:r w:rsidR="00446A66">
        <w:t>State of Charge (</w:t>
      </w:r>
      <w:r w:rsidR="003F66F7">
        <w:t>SOC</w:t>
      </w:r>
      <w:r w:rsidR="00446A66">
        <w:t>)</w:t>
      </w:r>
      <w:r w:rsidR="003F66F7">
        <w:t xml:space="preserve"> was reduced to 30%. </w:t>
      </w:r>
    </w:p>
    <w:p w:rsidR="003F66F7" w:rsidRDefault="00FC4B3F" w:rsidP="00446A66">
      <w:pPr>
        <w:pStyle w:val="SingleTxtG"/>
      </w:pPr>
      <w:r>
        <w:t>24</w:t>
      </w:r>
      <w:r w:rsidR="00446A66">
        <w:t>.</w:t>
      </w:r>
      <w:r w:rsidR="00446A66">
        <w:tab/>
      </w:r>
      <w:r w:rsidR="003F66F7">
        <w:t>Other reports issued include</w:t>
      </w:r>
      <w:r w:rsidR="00CA194F">
        <w:t>d</w:t>
      </w:r>
      <w:r w:rsidR="003F66F7">
        <w:t xml:space="preserve"> TC-TN 16/22 and TC-16/17 which determined thermal heat production and cell failure effects. </w:t>
      </w:r>
    </w:p>
    <w:p w:rsidR="003F66F7" w:rsidRDefault="00FC4B3F" w:rsidP="00CA194F">
      <w:pPr>
        <w:pStyle w:val="SingleTxtG"/>
      </w:pPr>
      <w:r>
        <w:t>25</w:t>
      </w:r>
      <w:r w:rsidR="00CA194F">
        <w:t>.</w:t>
      </w:r>
      <w:r w:rsidR="00CA194F">
        <w:tab/>
      </w:r>
      <w:r w:rsidR="003F66F7">
        <w:t xml:space="preserve">Some members questioned why the aviation industry uses Halon as an extinguishing agent. The FAA explained alternate solutions are being researched but have not been adopted yet. The group questioned whether there was a clear relationship between the energy released in a thermal runaway </w:t>
      </w:r>
      <w:r w:rsidR="00824E04">
        <w:t>and</w:t>
      </w:r>
      <w:r w:rsidR="003F66F7">
        <w:t xml:space="preserve"> the stored electrical energy. The FAA noted their testing confirmed more energy was released in the thermal runaway than the total energy stored electrically in the battery. </w:t>
      </w:r>
    </w:p>
    <w:p w:rsidR="003F66F7" w:rsidRDefault="00FC4B3F" w:rsidP="00CA194F">
      <w:pPr>
        <w:pStyle w:val="SingleTxtG"/>
      </w:pPr>
      <w:r>
        <w:t>26</w:t>
      </w:r>
      <w:r w:rsidR="00CA194F">
        <w:t>.</w:t>
      </w:r>
      <w:r w:rsidR="00CA194F">
        <w:tab/>
      </w:r>
      <w:r w:rsidR="003F66F7">
        <w:t>All three reports are available from the FAA Testing Center Website:</w:t>
      </w:r>
    </w:p>
    <w:p w:rsidR="003F66F7" w:rsidRDefault="00565DED" w:rsidP="00565DED">
      <w:pPr>
        <w:pStyle w:val="SingleTxtG"/>
        <w:ind w:left="1701"/>
      </w:pPr>
      <w:r>
        <w:t>(a)</w:t>
      </w:r>
      <w:r>
        <w:tab/>
      </w:r>
      <w:r w:rsidR="003F66F7">
        <w:t>Report DOT/FAA/TC-16/37 titled: Summary of FAA Studies Related to the Hazards Produced by Lithium Cells in Thermal Runaway in Aircraft Cargo Compartments, (July 2016), is a compilation of test data and results from projects conducted by the Fire Safety branch over the past 15 years.</w:t>
      </w:r>
    </w:p>
    <w:p w:rsidR="003F66F7" w:rsidRDefault="00565DED" w:rsidP="00565DED">
      <w:pPr>
        <w:pStyle w:val="SingleTxtG"/>
        <w:ind w:left="1701"/>
      </w:pPr>
      <w:r>
        <w:t>(</w:t>
      </w:r>
      <w:hyperlink r:id="rId11">
        <w:r w:rsidR="003F66F7">
          <w:rPr>
            <w:rStyle w:val="LienInternet"/>
            <w:rFonts w:cstheme="minorBidi"/>
          </w:rPr>
          <w:t>https://www.fire.tc.faa.gov/pdf/TC-16-37.pdf</w:t>
        </w:r>
      </w:hyperlink>
      <w:r>
        <w:rPr>
          <w:rStyle w:val="LienInternet"/>
          <w:rFonts w:cstheme="minorBidi"/>
        </w:rPr>
        <w:t>)</w:t>
      </w:r>
    </w:p>
    <w:p w:rsidR="003F66F7" w:rsidRDefault="00565DED" w:rsidP="00565DED">
      <w:pPr>
        <w:pStyle w:val="SingleTxtG"/>
        <w:ind w:left="1701"/>
      </w:pPr>
      <w:r>
        <w:t>(b)</w:t>
      </w:r>
      <w:r>
        <w:tab/>
      </w:r>
      <w:r w:rsidR="003F66F7">
        <w:t>Report DOT/FAA/TC-16/17 titled: Fire Hazard Analysis for Various Lithium Batteries, (March 2017), is a report of fire test conducted on lithium ion cells (pouch, cylindrical) and lithium metal cells (cylindrical) of various cathode chemistries and sizes to evaluate their failure effects.</w:t>
      </w:r>
    </w:p>
    <w:p w:rsidR="003F66F7" w:rsidRDefault="00565DED" w:rsidP="00565DED">
      <w:pPr>
        <w:pStyle w:val="SingleTxtG"/>
        <w:ind w:left="1701"/>
      </w:pPr>
      <w:r>
        <w:t>(</w:t>
      </w:r>
      <w:hyperlink r:id="rId12">
        <w:r w:rsidR="003F66F7">
          <w:rPr>
            <w:rStyle w:val="LienInternet"/>
            <w:rFonts w:cstheme="minorBidi"/>
          </w:rPr>
          <w:t>https://www.fire.tc.faa.gov/pdf/TC-16-17.pdf</w:t>
        </w:r>
      </w:hyperlink>
      <w:r>
        <w:rPr>
          <w:rStyle w:val="LienInternet"/>
          <w:rFonts w:cstheme="minorBidi"/>
        </w:rPr>
        <w:t>)</w:t>
      </w:r>
      <w:r w:rsidR="003F66F7">
        <w:t xml:space="preserve">  </w:t>
      </w:r>
    </w:p>
    <w:p w:rsidR="003F66F7" w:rsidRDefault="00565DED" w:rsidP="00565DED">
      <w:pPr>
        <w:pStyle w:val="SingleTxtG"/>
        <w:ind w:left="1701"/>
      </w:pPr>
      <w:r>
        <w:t>(c)</w:t>
      </w:r>
      <w:r>
        <w:tab/>
      </w:r>
      <w:r w:rsidR="003F66F7">
        <w:t>Technical Note DOT/FAA/TC-TN16/22 titled: Energy Release by Rechargeable Lithium-Ion Batteries in Thermal Runaway (April 2016), and its publication: Richard E. Lyon, Richard N. Walters. “Energetics of lithium ion battery failure.” Journal of Hazardous Materials 318 (2016) 164-172.  It is on the energy released by failure of rechargeable 18650 cylindrical lithium ion cells/batteries measured in a bomb calorimeter for four different commercial cathode chemistries over the full range of charge using a method developed for this purpose.</w:t>
      </w:r>
    </w:p>
    <w:p w:rsidR="003F66F7" w:rsidRDefault="00565DED" w:rsidP="00565DED">
      <w:pPr>
        <w:pStyle w:val="SingleTxtG"/>
        <w:ind w:left="1701"/>
      </w:pPr>
      <w:r>
        <w:t>(</w:t>
      </w:r>
      <w:hyperlink r:id="rId13">
        <w:r w:rsidR="003F66F7">
          <w:rPr>
            <w:rStyle w:val="LienInternet"/>
            <w:rFonts w:cstheme="minorBidi"/>
          </w:rPr>
          <w:t>https://www.fire.tc.faa.gov/pdf/TC-TN16-22.pdf</w:t>
        </w:r>
      </w:hyperlink>
      <w:r>
        <w:rPr>
          <w:rStyle w:val="LienInternet"/>
          <w:rFonts w:cstheme="minorBidi"/>
        </w:rPr>
        <w:t>)</w:t>
      </w:r>
      <w:r w:rsidR="003F66F7">
        <w:t xml:space="preserve"> </w:t>
      </w:r>
    </w:p>
    <w:p w:rsidR="003F66F7" w:rsidRDefault="00565DED" w:rsidP="00565DED">
      <w:pPr>
        <w:pStyle w:val="SingleTxtG"/>
        <w:ind w:left="1701"/>
      </w:pPr>
      <w:r>
        <w:t>(</w:t>
      </w:r>
      <w:hyperlink r:id="rId14">
        <w:r w:rsidR="003F66F7">
          <w:rPr>
            <w:rStyle w:val="LienInternet"/>
            <w:rFonts w:cstheme="minorBidi"/>
          </w:rPr>
          <w:t>http://www.sciencedirect.com/science/article/pii/S0304389416306008</w:t>
        </w:r>
      </w:hyperlink>
      <w:r>
        <w:rPr>
          <w:rStyle w:val="LienInternet"/>
          <w:rFonts w:cstheme="minorBidi"/>
        </w:rPr>
        <w:t>)</w:t>
      </w:r>
      <w:r w:rsidR="003F66F7">
        <w:t xml:space="preserve">  </w:t>
      </w:r>
    </w:p>
    <w:p w:rsidR="003F66F7" w:rsidRDefault="00565DED" w:rsidP="00565DED">
      <w:pPr>
        <w:pStyle w:val="SingleTxtG"/>
        <w:ind w:left="1701"/>
      </w:pPr>
      <w:r>
        <w:t>(d)</w:t>
      </w:r>
      <w:r>
        <w:tab/>
      </w:r>
      <w:r w:rsidR="003F66F7">
        <w:t xml:space="preserve">Additional information, videos and data are available from the FAA Test Center website. </w:t>
      </w:r>
      <w:hyperlink r:id="rId15">
        <w:r w:rsidR="003F66F7">
          <w:rPr>
            <w:rStyle w:val="LienInternet"/>
            <w:rFonts w:cstheme="minorBidi"/>
          </w:rPr>
          <w:t>www.fire.tc.faa.gov</w:t>
        </w:r>
      </w:hyperlink>
      <w:r w:rsidR="003F66F7">
        <w:t>.</w:t>
      </w:r>
    </w:p>
    <w:p w:rsidR="003F66F7" w:rsidRDefault="00565DED" w:rsidP="00565DED">
      <w:pPr>
        <w:pStyle w:val="H1G"/>
      </w:pPr>
      <w:r>
        <w:tab/>
      </w:r>
      <w:r>
        <w:tab/>
      </w:r>
      <w:r w:rsidR="003F66F7">
        <w:t>SAE G-27 Presentation</w:t>
      </w:r>
    </w:p>
    <w:p w:rsidR="003F66F7" w:rsidRDefault="00FC4B3F" w:rsidP="00565DED">
      <w:pPr>
        <w:pStyle w:val="SingleTxtG"/>
      </w:pPr>
      <w:r>
        <w:t>27</w:t>
      </w:r>
      <w:r w:rsidR="00565DED">
        <w:t>.</w:t>
      </w:r>
      <w:r w:rsidR="00565DED">
        <w:tab/>
      </w:r>
      <w:r w:rsidR="003F66F7">
        <w:t>Genera</w:t>
      </w:r>
      <w:r w:rsidR="003F66F7" w:rsidRPr="00565DED">
        <w:rPr>
          <w:rStyle w:val="SingleTxtGChar"/>
        </w:rPr>
        <w:t>l</w:t>
      </w:r>
      <w:r w:rsidR="00565DED">
        <w:t xml:space="preserve"> Motors provided an update</w:t>
      </w:r>
      <w:r w:rsidR="003F66F7">
        <w:t xml:space="preserve"> on the ongoing effort within the SAE G-27 to develop a minimum performance standard for packaging</w:t>
      </w:r>
      <w:r w:rsidR="00565DED">
        <w:t>s</w:t>
      </w:r>
      <w:r w:rsidR="003F66F7">
        <w:t xml:space="preserve"> used to </w:t>
      </w:r>
      <w:r w:rsidR="00565DED">
        <w:t>transport</w:t>
      </w:r>
      <w:r w:rsidR="003F66F7">
        <w:t xml:space="preserve"> lithium batteries by air. Two concerns directed the effort:</w:t>
      </w:r>
    </w:p>
    <w:p w:rsidR="003F66F7" w:rsidRDefault="00565DED" w:rsidP="00565DED">
      <w:pPr>
        <w:pStyle w:val="SingleTxtG"/>
        <w:ind w:left="1701"/>
      </w:pPr>
      <w:r>
        <w:t>(a)</w:t>
      </w:r>
      <w:r>
        <w:tab/>
        <w:t>Uncontrolled fire in cargo c</w:t>
      </w:r>
      <w:r w:rsidR="003F66F7">
        <w:t>ompartment</w:t>
      </w:r>
    </w:p>
    <w:p w:rsidR="003F66F7" w:rsidRDefault="00565DED" w:rsidP="00565DED">
      <w:pPr>
        <w:pStyle w:val="SingleTxtG"/>
        <w:ind w:left="1701"/>
      </w:pPr>
      <w:r>
        <w:t>(b)</w:t>
      </w:r>
      <w:r>
        <w:tab/>
      </w:r>
      <w:r w:rsidR="00824E04">
        <w:t>Critical o</w:t>
      </w:r>
      <w:r w:rsidR="003F66F7">
        <w:t>verpressure in cargo compartment</w:t>
      </w:r>
    </w:p>
    <w:p w:rsidR="003F66F7" w:rsidRDefault="00FC4B3F" w:rsidP="00565DED">
      <w:pPr>
        <w:pStyle w:val="SingleTxtG"/>
      </w:pPr>
      <w:r>
        <w:t>28</w:t>
      </w:r>
      <w:r w:rsidR="00565DED">
        <w:t>.</w:t>
      </w:r>
      <w:r w:rsidR="00565DED">
        <w:tab/>
        <w:t>G27 was continuing</w:t>
      </w:r>
      <w:r w:rsidR="003F66F7">
        <w:t xml:space="preserve"> to develop test methods to determine </w:t>
      </w:r>
      <w:r>
        <w:t>whether</w:t>
      </w:r>
      <w:r w:rsidR="003F66F7">
        <w:t xml:space="preserve"> packaging</w:t>
      </w:r>
      <w:r w:rsidR="00565DED">
        <w:t>s</w:t>
      </w:r>
      <w:r w:rsidR="003F66F7">
        <w:t xml:space="preserve"> w</w:t>
      </w:r>
      <w:r w:rsidR="00565DED">
        <w:t>ould</w:t>
      </w:r>
      <w:r>
        <w:t xml:space="preserve"> </w:t>
      </w:r>
      <w:r w:rsidR="003F66F7">
        <w:t>ensure that hazardous effects are limited to the package (i.e. no flame emitted, no projection hazards, no ignition of vapo</w:t>
      </w:r>
      <w:r w:rsidR="00565DED">
        <w:t>u</w:t>
      </w:r>
      <w:r w:rsidR="003F66F7">
        <w:t>rs</w:t>
      </w:r>
      <w:r w:rsidR="00824E04">
        <w:t xml:space="preserve">, </w:t>
      </w:r>
      <w:r>
        <w:t>limits to</w:t>
      </w:r>
      <w:r w:rsidR="003F66F7">
        <w:t xml:space="preserve"> maximum external package</w:t>
      </w:r>
      <w:r>
        <w:t xml:space="preserve"> temperature</w:t>
      </w:r>
      <w:r w:rsidR="003F66F7">
        <w:t xml:space="preserve">, and package integrity). G-27 is also considering a test that would indicate the cell is completely safe. Current draft testing methods were discussed. </w:t>
      </w:r>
    </w:p>
    <w:p w:rsidR="003F66F7" w:rsidRDefault="00FC4B3F" w:rsidP="00565DED">
      <w:pPr>
        <w:pStyle w:val="SingleTxtG"/>
      </w:pPr>
      <w:r>
        <w:lastRenderedPageBreak/>
        <w:t>29</w:t>
      </w:r>
      <w:r w:rsidR="00565DED">
        <w:t>.</w:t>
      </w:r>
      <w:r w:rsidR="00565DED">
        <w:tab/>
      </w:r>
      <w:r w:rsidR="003F66F7">
        <w:t>Participants discussed the concerns over the vapo</w:t>
      </w:r>
      <w:r w:rsidR="00565DED">
        <w:t>u</w:t>
      </w:r>
      <w:r w:rsidR="003F66F7">
        <w:t>r or gases that are produced from thermal runway events. The testing currently d</w:t>
      </w:r>
      <w:r w:rsidR="00565DED">
        <w:t>id</w:t>
      </w:r>
      <w:r w:rsidR="003F66F7">
        <w:t xml:space="preserve"> not distinguish between vapo</w:t>
      </w:r>
      <w:r w:rsidR="00565DED">
        <w:t>u</w:t>
      </w:r>
      <w:r w:rsidR="003F66F7">
        <w:t xml:space="preserve">r or gas production. They indicated there </w:t>
      </w:r>
      <w:r w:rsidR="00565DED">
        <w:t>were</w:t>
      </w:r>
      <w:r w:rsidR="003F66F7">
        <w:t xml:space="preserve"> multiple ways of failur</w:t>
      </w:r>
      <w:r w:rsidR="00C73D15">
        <w:t xml:space="preserve">e including ejection of a cell </w:t>
      </w:r>
      <w:r w:rsidR="003F66F7">
        <w:t xml:space="preserve">or flame from the package. SOC </w:t>
      </w:r>
      <w:r w:rsidR="00C73D15">
        <w:t>was</w:t>
      </w:r>
      <w:r w:rsidR="003F66F7">
        <w:t xml:space="preserve"> also being considered requiring testing at 110% of the SOC </w:t>
      </w:r>
      <w:r w:rsidR="00C73D15">
        <w:t xml:space="preserve">of batteries </w:t>
      </w:r>
      <w:r w:rsidR="003F66F7">
        <w:t xml:space="preserve">as offered for transport. The group questioned whether heat-absorbing or dissipating materials were being reviewed in the effort. Others explained that the packaging industry </w:t>
      </w:r>
      <w:r w:rsidR="00C73D15">
        <w:t>was</w:t>
      </w:r>
      <w:r w:rsidR="003F66F7">
        <w:t xml:space="preserve"> actively developing new packaging</w:t>
      </w:r>
      <w:r w:rsidR="00C73D15">
        <w:t xml:space="preserve"> designs</w:t>
      </w:r>
      <w:r w:rsidR="003F66F7">
        <w:t>, and some of those designs include</w:t>
      </w:r>
      <w:r w:rsidR="00C73D15">
        <w:t>d</w:t>
      </w:r>
      <w:r w:rsidR="003F66F7">
        <w:t xml:space="preserve"> heat dissipating materials. </w:t>
      </w:r>
    </w:p>
    <w:p w:rsidR="003F66F7" w:rsidRDefault="00FC4B3F" w:rsidP="00C73D15">
      <w:pPr>
        <w:pStyle w:val="SingleTxtG"/>
      </w:pPr>
      <w:r>
        <w:t>30</w:t>
      </w:r>
      <w:r w:rsidR="00C73D15">
        <w:t>.</w:t>
      </w:r>
      <w:r w:rsidR="00C73D15">
        <w:tab/>
      </w:r>
      <w:r w:rsidR="003F66F7">
        <w:t>Concerns were voiced on how the G-27 results would be integrated into the regulations and implemented into industry. The result</w:t>
      </w:r>
      <w:r w:rsidR="00C73D15">
        <w:t>s</w:t>
      </w:r>
      <w:r w:rsidR="003F66F7">
        <w:t xml:space="preserve"> </w:t>
      </w:r>
      <w:r w:rsidR="00C73D15">
        <w:t>could be</w:t>
      </w:r>
      <w:r w:rsidR="003F66F7">
        <w:t xml:space="preserve"> very complicated and could lead to shipper confusion as to which packagings </w:t>
      </w:r>
      <w:r w:rsidR="00C73D15">
        <w:t>had been</w:t>
      </w:r>
      <w:r w:rsidR="003F66F7">
        <w:t xml:space="preserve"> tested and approved for which types of batteries. The group was reminded </w:t>
      </w:r>
      <w:r>
        <w:t xml:space="preserve">that </w:t>
      </w:r>
      <w:r w:rsidR="003F66F7">
        <w:t xml:space="preserve">the G-27 effort </w:t>
      </w:r>
      <w:r w:rsidR="00C73D15">
        <w:t>was</w:t>
      </w:r>
      <w:r w:rsidR="003F66F7">
        <w:t xml:space="preserve"> to test packaging</w:t>
      </w:r>
      <w:r w:rsidR="00C73D15">
        <w:t>s</w:t>
      </w:r>
      <w:r w:rsidR="003F66F7">
        <w:t xml:space="preserve"> designed to contain a battery, whereas the IWG </w:t>
      </w:r>
      <w:r w:rsidR="00C73D15">
        <w:t>was</w:t>
      </w:r>
      <w:r w:rsidR="003F66F7">
        <w:t xml:space="preserve"> looking at how to classify the relative dangers presented by lithium batteries. The IWG discussed the fact that test methods being considered start with a failure of a cell that then propagates, not necessarily heating or causing an entire battery to start the event. C</w:t>
      </w:r>
      <w:r w:rsidR="00C73D15">
        <w:t>ould</w:t>
      </w:r>
      <w:r w:rsidR="003F66F7">
        <w:t xml:space="preserve"> tests be developed to use short ci</w:t>
      </w:r>
      <w:r w:rsidR="00C73D15">
        <w:t xml:space="preserve">rcuits as the event initiator? </w:t>
      </w:r>
      <w:r w:rsidR="003F66F7">
        <w:t xml:space="preserve">The discussion concluded with the indication that the G-27 </w:t>
      </w:r>
      <w:r w:rsidR="00C73D15">
        <w:t>planned</w:t>
      </w:r>
      <w:r w:rsidR="003F66F7">
        <w:t xml:space="preserve"> to complete the standard in late 2017.</w:t>
      </w:r>
    </w:p>
    <w:p w:rsidR="003F66F7" w:rsidRDefault="00C73D15" w:rsidP="00C73D15">
      <w:pPr>
        <w:pStyle w:val="H1G"/>
      </w:pPr>
      <w:r>
        <w:tab/>
      </w:r>
      <w:r>
        <w:tab/>
      </w:r>
      <w:r w:rsidR="00FC4B3F">
        <w:t>Hazardous effects b</w:t>
      </w:r>
      <w:r w:rsidR="003F66F7">
        <w:t>rainstorming</w:t>
      </w:r>
    </w:p>
    <w:p w:rsidR="003F66F7" w:rsidRDefault="00FC4B3F" w:rsidP="00C73D15">
      <w:pPr>
        <w:pStyle w:val="SingleTxtG"/>
      </w:pPr>
      <w:r>
        <w:t>31</w:t>
      </w:r>
      <w:r w:rsidR="00C73D15">
        <w:t>.</w:t>
      </w:r>
      <w:r w:rsidR="00C73D15">
        <w:tab/>
      </w:r>
      <w:r w:rsidR="003F66F7">
        <w:t>The IWG conducted an open, brainstorming event to collect and discuss hazardous effects that should be considered as part of the classificat</w:t>
      </w:r>
      <w:r w:rsidR="00C73D15">
        <w:t>ion process. The Hazard Table (see a</w:t>
      </w:r>
      <w:r w:rsidR="003F66F7">
        <w:t>nnex) lists identified hazards, reasons for concern, parameters to be measured, and general notes on the issue.</w:t>
      </w:r>
    </w:p>
    <w:p w:rsidR="003F66F7" w:rsidRDefault="00FC4B3F" w:rsidP="00C73D15">
      <w:pPr>
        <w:pStyle w:val="SingleTxtG"/>
      </w:pPr>
      <w:r>
        <w:t>32</w:t>
      </w:r>
      <w:r w:rsidR="00C73D15">
        <w:t>.</w:t>
      </w:r>
      <w:r w:rsidR="00C73D15">
        <w:tab/>
      </w:r>
      <w:r w:rsidR="003F66F7">
        <w:t xml:space="preserve">The IWG recommended </w:t>
      </w:r>
      <w:r w:rsidR="00C73D15">
        <w:t xml:space="preserve">that </w:t>
      </w:r>
      <w:r w:rsidR="003F66F7">
        <w:t xml:space="preserve">participants </w:t>
      </w:r>
      <w:r w:rsidR="00C73D15">
        <w:t xml:space="preserve">should </w:t>
      </w:r>
      <w:r w:rsidR="003F66F7">
        <w:t>continue to obtain and submit information on open questions to determine appropriate tests associated with different hazard categories.</w:t>
      </w:r>
    </w:p>
    <w:p w:rsidR="003F66F7" w:rsidRDefault="00C73D15" w:rsidP="00C73D15">
      <w:pPr>
        <w:pStyle w:val="H1G"/>
      </w:pPr>
      <w:r>
        <w:tab/>
      </w:r>
      <w:r>
        <w:tab/>
      </w:r>
      <w:r w:rsidR="003F66F7">
        <w:t>Initiation discussion</w:t>
      </w:r>
    </w:p>
    <w:p w:rsidR="003F66F7" w:rsidRDefault="00FC4B3F" w:rsidP="00CE3A30">
      <w:pPr>
        <w:pStyle w:val="SingleTxtG"/>
      </w:pPr>
      <w:r>
        <w:t>33</w:t>
      </w:r>
      <w:r w:rsidR="00CE3A30">
        <w:t>.</w:t>
      </w:r>
      <w:r w:rsidR="00CE3A30">
        <w:tab/>
      </w:r>
      <w:r w:rsidR="003F66F7">
        <w:t xml:space="preserve">The IWG discussed the challenges with initiating the reaction. Using an external short-circuit approach to define conditions that would lead to a worst-case thermal runaway reaction would be very difficult. The current short circuit in UN38.3 would not give the intended worst-case result. The short circuit test is a misuse condition and does not reach the goal of a destructive test. Others felt a reaction was needed in all cases, and short circuit </w:t>
      </w:r>
      <w:r w:rsidR="00CE3A30">
        <w:t>might</w:t>
      </w:r>
      <w:r w:rsidR="003F66F7">
        <w:t xml:space="preserve"> not be readily reproducible. A bonfire test m</w:t>
      </w:r>
      <w:r w:rsidR="00CE3A30">
        <w:t>ight</w:t>
      </w:r>
      <w:r w:rsidR="003F66F7">
        <w:t xml:space="preserve"> be too severe but a flame source could be used (flammable liquid fire, etc.). Heat appear</w:t>
      </w:r>
      <w:r w:rsidR="00CE3A30">
        <w:t>ed</w:t>
      </w:r>
      <w:r w:rsidR="003F66F7">
        <w:t xml:space="preserve"> to be more reproducible than short circuit. Some felt cells and batteries m</w:t>
      </w:r>
      <w:r w:rsidR="00CE3A30">
        <w:t>ight</w:t>
      </w:r>
      <w:r w:rsidR="003F66F7">
        <w:t xml:space="preserve"> have different initiation solutions. The probability of more than </w:t>
      </w:r>
      <w:r w:rsidR="00CE3A30">
        <w:t>one</w:t>
      </w:r>
      <w:r w:rsidR="003F66F7">
        <w:t xml:space="preserve"> cell having a reaction </w:t>
      </w:r>
      <w:r w:rsidR="00CE3A30">
        <w:t>was</w:t>
      </w:r>
      <w:r w:rsidR="003F66F7">
        <w:t xml:space="preserve"> far greater than </w:t>
      </w:r>
      <w:r w:rsidR="00CE3A30">
        <w:t>two</w:t>
      </w:r>
      <w:r w:rsidR="003F66F7">
        <w:t xml:space="preserve"> or more. Thus, it was suggested perhaps only </w:t>
      </w:r>
      <w:r w:rsidR="00CE3A30">
        <w:t>one</w:t>
      </w:r>
      <w:r w:rsidR="003F66F7">
        <w:t xml:space="preserve"> cell reaction in a battery needed to be simulated. </w:t>
      </w:r>
    </w:p>
    <w:p w:rsidR="003F66F7" w:rsidRDefault="00FC4B3F" w:rsidP="00CE3A30">
      <w:pPr>
        <w:pStyle w:val="SingleTxtG"/>
      </w:pPr>
      <w:r>
        <w:t>34</w:t>
      </w:r>
      <w:r w:rsidR="00CE3A30">
        <w:t>.</w:t>
      </w:r>
      <w:r w:rsidR="00CE3A30">
        <w:tab/>
      </w:r>
      <w:r w:rsidR="003F66F7">
        <w:t xml:space="preserve">The IWG agreed </w:t>
      </w:r>
      <w:r w:rsidR="00CE3A30">
        <w:t xml:space="preserve">that </w:t>
      </w:r>
      <w:r w:rsidR="003F66F7">
        <w:t xml:space="preserve">the test procedure should ensure that thermal runaway or thermal reaction </w:t>
      </w:r>
      <w:r w:rsidR="00CE3A30">
        <w:t>was</w:t>
      </w:r>
      <w:r w:rsidR="003F66F7">
        <w:t xml:space="preserve"> certain. Electrical initiations are not certain. The test investigations should study whether the reactions are different with different initiation methods (fire, radiant heat, electrical). The amount of energy released during an event should be compared to the amount of energy used to initiate the reaction. Since some test methods </w:t>
      </w:r>
      <w:r w:rsidR="00CE3A30">
        <w:t>were</w:t>
      </w:r>
      <w:r w:rsidR="003F66F7">
        <w:t xml:space="preserve"> more stressful than other test methods, screening tests could be considered. Some participants felt it important for tests to be flexible to accommodate various designs and chemistries. It was noted </w:t>
      </w:r>
      <w:r w:rsidR="00CE3A30">
        <w:t xml:space="preserve">that </w:t>
      </w:r>
      <w:r w:rsidR="003F66F7">
        <w:t xml:space="preserve">the G-27 discussed the same issue and came to the conclusion that a heating cartridge was the preferred method. The Chairman </w:t>
      </w:r>
      <w:r w:rsidR="00CE3A30">
        <w:t>recalled that</w:t>
      </w:r>
      <w:r w:rsidR="003F66F7">
        <w:t xml:space="preserve"> the mandate from the Sub</w:t>
      </w:r>
      <w:r w:rsidR="00CE3A30">
        <w:t>-</w:t>
      </w:r>
      <w:r w:rsidR="00CE3A30">
        <w:lastRenderedPageBreak/>
        <w:t>C</w:t>
      </w:r>
      <w:r w:rsidR="003F66F7">
        <w:t xml:space="preserve">ommittee was to determine the hazards presented by lithium batteries and identify possible tests to measure the severity of the hazards. Tests </w:t>
      </w:r>
      <w:r w:rsidR="00CE3A30">
        <w:t>had to</w:t>
      </w:r>
      <w:r w:rsidR="003F66F7">
        <w:t xml:space="preserve"> be meaningful or practical in reality. Such tests would then become the basis for classification of lithium batteries in the future. Therefore, understanding the difference between reactions initiated by different methods w</w:t>
      </w:r>
      <w:r w:rsidR="00CE3A30">
        <w:t>ould</w:t>
      </w:r>
      <w:r w:rsidR="003F66F7">
        <w:t xml:space="preserve"> impact how the tests </w:t>
      </w:r>
      <w:r w:rsidR="00CE3A30">
        <w:t>would be</w:t>
      </w:r>
      <w:r w:rsidR="003F66F7">
        <w:t xml:space="preserve"> designed. Participants discussed the fact that every cell and battery represents both chemical and electrical hazards, but electrical initiation methods </w:t>
      </w:r>
      <w:r w:rsidR="00CE3A30">
        <w:t>were</w:t>
      </w:r>
      <w:r w:rsidR="003F66F7">
        <w:t xml:space="preserve"> more difficult to impose. Some participants confirmed from experience that pressure, heat, gas composition, and reaction vary greatly depending on </w:t>
      </w:r>
      <w:r w:rsidR="00CE3A30">
        <w:t xml:space="preserve">the </w:t>
      </w:r>
      <w:r w:rsidR="003F66F7">
        <w:t xml:space="preserve">initiation method. </w:t>
      </w:r>
    </w:p>
    <w:p w:rsidR="003F66F7" w:rsidRDefault="00FC4B3F" w:rsidP="00CE3A30">
      <w:pPr>
        <w:pStyle w:val="SingleTxtG"/>
      </w:pPr>
      <w:r>
        <w:t>35</w:t>
      </w:r>
      <w:r w:rsidR="00CE3A30">
        <w:t>.</w:t>
      </w:r>
      <w:r w:rsidR="00CE3A30">
        <w:tab/>
      </w:r>
      <w:r w:rsidR="003F66F7">
        <w:t xml:space="preserve">Some felt propagation </w:t>
      </w:r>
      <w:r w:rsidR="00CE3A30">
        <w:t>was</w:t>
      </w:r>
      <w:r w:rsidR="003F66F7">
        <w:t xml:space="preserve"> of critical concern, and therefore the initiat</w:t>
      </w:r>
      <w:r w:rsidR="00CE3A30">
        <w:t>ion method for the first cell might</w:t>
      </w:r>
      <w:r w:rsidR="003F66F7">
        <w:t xml:space="preserve"> not be as critical</w:t>
      </w:r>
      <w:r w:rsidR="00CE3A30">
        <w:t xml:space="preserve"> as long as thermal runaway began</w:t>
      </w:r>
      <w:r w:rsidR="003F66F7">
        <w:t xml:space="preserve">. If a cell </w:t>
      </w:r>
      <w:r w:rsidR="00CE3A30">
        <w:t>was</w:t>
      </w:r>
      <w:r w:rsidR="003F66F7">
        <w:t xml:space="preserve"> resistant to heating an</w:t>
      </w:r>
      <w:r w:rsidR="00CE3A30">
        <w:t>d thermal runaway, the cell became</w:t>
      </w:r>
      <w:r w:rsidR="003F66F7">
        <w:t xml:space="preserve"> a safer cell. But it </w:t>
      </w:r>
      <w:r w:rsidR="0000438B">
        <w:t>was</w:t>
      </w:r>
      <w:r w:rsidR="003F66F7">
        <w:t xml:space="preserve"> also important </w:t>
      </w:r>
      <w:r w:rsidR="0000438B">
        <w:t>to design a test that represent</w:t>
      </w:r>
      <w:r>
        <w:t>s</w:t>
      </w:r>
      <w:r w:rsidR="003F66F7">
        <w:t xml:space="preserve"> real life initiation methods.</w:t>
      </w:r>
    </w:p>
    <w:p w:rsidR="003F66F7" w:rsidRDefault="00FC4B3F" w:rsidP="0000438B">
      <w:pPr>
        <w:pStyle w:val="SingleTxtG"/>
      </w:pPr>
      <w:r>
        <w:t>36</w:t>
      </w:r>
      <w:r w:rsidR="0000438B">
        <w:t>.</w:t>
      </w:r>
      <w:r w:rsidR="0000438B">
        <w:tab/>
      </w:r>
      <w:r w:rsidR="003F66F7">
        <w:t xml:space="preserve">The Chairman summarized the discussion by indicating the question of how the different initiation methods impact the results. Research </w:t>
      </w:r>
      <w:r w:rsidR="0000438B">
        <w:t>could</w:t>
      </w:r>
      <w:r w:rsidR="003F66F7">
        <w:t xml:space="preserve"> be done through review of literature and existing te</w:t>
      </w:r>
      <w:r w:rsidR="0000438B">
        <w:t>st methods. If the data suggested a difference existed</w:t>
      </w:r>
      <w:r w:rsidR="003F66F7">
        <w:t xml:space="preserve">, additional investigative tests </w:t>
      </w:r>
      <w:r w:rsidR="0000438B">
        <w:t>could</w:t>
      </w:r>
      <w:r w:rsidR="003F66F7">
        <w:t xml:space="preserve"> be</w:t>
      </w:r>
      <w:r w:rsidR="0000438B">
        <w:t xml:space="preserve"> conducted. If the data confirmed</w:t>
      </w:r>
      <w:r w:rsidR="003F66F7">
        <w:t xml:space="preserve"> </w:t>
      </w:r>
      <w:r w:rsidR="0000438B">
        <w:t xml:space="preserve">that </w:t>
      </w:r>
      <w:r w:rsidR="003F66F7">
        <w:t>some methods create</w:t>
      </w:r>
      <w:r w:rsidR="0000438B">
        <w:t>d</w:t>
      </w:r>
      <w:r w:rsidR="003F66F7">
        <w:t xml:space="preserve"> bias, the eventual test methods </w:t>
      </w:r>
      <w:r w:rsidR="0000438B">
        <w:t>could</w:t>
      </w:r>
      <w:r w:rsidR="003F66F7">
        <w:t xml:space="preserve"> be adjusted to address the bias. </w:t>
      </w:r>
    </w:p>
    <w:p w:rsidR="003F66F7" w:rsidRDefault="0000438B" w:rsidP="0000438B">
      <w:pPr>
        <w:pStyle w:val="H1G"/>
      </w:pPr>
      <w:r>
        <w:tab/>
      </w:r>
      <w:r>
        <w:tab/>
      </w:r>
      <w:r w:rsidR="00FC4B3F">
        <w:t>Discussion on what needs to be t</w:t>
      </w:r>
      <w:r w:rsidR="003F66F7">
        <w:t>ested</w:t>
      </w:r>
    </w:p>
    <w:p w:rsidR="003F66F7" w:rsidRDefault="00097923" w:rsidP="003814AB">
      <w:pPr>
        <w:pStyle w:val="SingleTxtG"/>
      </w:pPr>
      <w:r>
        <w:t>3</w:t>
      </w:r>
      <w:r w:rsidR="00FC4B3F">
        <w:t>7</w:t>
      </w:r>
      <w:r w:rsidR="003814AB">
        <w:t>.</w:t>
      </w:r>
      <w:r w:rsidR="003814AB">
        <w:tab/>
      </w:r>
      <w:r w:rsidR="003F66F7">
        <w:t>The IWG discuss</w:t>
      </w:r>
      <w:r w:rsidR="00FC4B3F">
        <w:t>ed</w:t>
      </w:r>
      <w:r w:rsidR="003F66F7">
        <w:t xml:space="preserve"> what should be tested (the cell, the battery, modules, several of each). Participants shared </w:t>
      </w:r>
      <w:r w:rsidR="003814AB">
        <w:t>the opinion</w:t>
      </w:r>
      <w:r w:rsidR="003F66F7">
        <w:t xml:space="preserve"> that the reaction on the cell level </w:t>
      </w:r>
      <w:r w:rsidR="003814AB">
        <w:t>was</w:t>
      </w:r>
      <w:r w:rsidR="003F66F7">
        <w:t xml:space="preserve"> the critical element. Opinions were divided </w:t>
      </w:r>
      <w:r w:rsidR="00FC4B3F">
        <w:t xml:space="preserve">as to </w:t>
      </w:r>
      <w:r w:rsidR="003F66F7">
        <w:t xml:space="preserve">whether the test results on the battery would be equivalent to those </w:t>
      </w:r>
      <w:r w:rsidR="003814AB">
        <w:t xml:space="preserve">conducted on the cells alone. </w:t>
      </w:r>
      <w:r w:rsidR="003F66F7">
        <w:t>After some discussion, it was generally agreed that it would be dependent on the hazard to be assessed</w:t>
      </w:r>
      <w:r w:rsidR="00FC4B3F">
        <w:t>,</w:t>
      </w:r>
      <w:r w:rsidR="003F66F7">
        <w:t xml:space="preserve"> the nature of the abuse and the design of the battery. But if disassembly occur</w:t>
      </w:r>
      <w:r w:rsidR="003814AB">
        <w:t>red</w:t>
      </w:r>
      <w:r w:rsidR="003F66F7">
        <w:t xml:space="preserve"> or heat generation occur</w:t>
      </w:r>
      <w:r w:rsidR="003814AB">
        <w:t>red</w:t>
      </w:r>
      <w:r w:rsidR="003F66F7">
        <w:t xml:space="preserve"> batteries composed of such cells m</w:t>
      </w:r>
      <w:r w:rsidR="003814AB">
        <w:t>ight</w:t>
      </w:r>
      <w:r w:rsidR="003F66F7">
        <w:t xml:space="preserve"> also need to be tested. If testing of batteries bec</w:t>
      </w:r>
      <w:r w:rsidR="003814AB">
        <w:t>ame</w:t>
      </w:r>
      <w:r w:rsidR="003F66F7">
        <w:t xml:space="preserve"> independent, cost associated with testing </w:t>
      </w:r>
      <w:r w:rsidR="00FC4B3F">
        <w:t>might</w:t>
      </w:r>
      <w:r w:rsidR="003F66F7">
        <w:t xml:space="preserve"> become unreasonable. The IWG debated whether a package containing 1000 cells </w:t>
      </w:r>
      <w:r w:rsidR="003814AB">
        <w:t>was</w:t>
      </w:r>
      <w:r w:rsidR="003F66F7">
        <w:t xml:space="preserve"> equivalent to a battery containing 1000 cells. Some recommended conducting “investigative” tests to determine if a battery made of benign cells w</w:t>
      </w:r>
      <w:r w:rsidR="003814AB">
        <w:t>ould</w:t>
      </w:r>
      <w:r w:rsidR="003F66F7">
        <w:t xml:space="preserve"> result in a benign battery (does the reactivity of cells equate to the reactivity of the battery). The group acknowledged there m</w:t>
      </w:r>
      <w:r w:rsidR="00FC4B3F">
        <w:t>ight</w:t>
      </w:r>
      <w:r w:rsidR="003F66F7">
        <w:t xml:space="preserve"> be situations where reactive cells </w:t>
      </w:r>
      <w:r w:rsidR="00FC4B3F">
        <w:t>might</w:t>
      </w:r>
      <w:r w:rsidR="003F66F7">
        <w:t xml:space="preserve"> be protected in a battery case or pack. Several participants felt any testing scheme should include considerations for scaling up or scaling down testing based on cell/battery design and protections. Others pointed out </w:t>
      </w:r>
      <w:r w:rsidR="00FC4B3F">
        <w:t xml:space="preserve">that </w:t>
      </w:r>
      <w:r w:rsidR="003F66F7">
        <w:t>heat generation in a battery pack independent of cells may lead to the thermal events. Large batteries containing benign cells w</w:t>
      </w:r>
      <w:r w:rsidR="003814AB">
        <w:t>ould</w:t>
      </w:r>
      <w:r w:rsidR="003F66F7">
        <w:t xml:space="preserve"> have additional considerations including high voltage that may overpower any safety systems present. The presence of plastics or other materials in the pack/case m</w:t>
      </w:r>
      <w:r w:rsidR="003814AB">
        <w:t>ight</w:t>
      </w:r>
      <w:r w:rsidR="003F66F7">
        <w:t xml:space="preserve"> create smoke, vapor, etc.</w:t>
      </w:r>
    </w:p>
    <w:p w:rsidR="003F66F7" w:rsidRDefault="00097923" w:rsidP="003814AB">
      <w:pPr>
        <w:pStyle w:val="SingleTxtG"/>
      </w:pPr>
      <w:r>
        <w:t>3</w:t>
      </w:r>
      <w:r w:rsidR="00FC4B3F">
        <w:t>8</w:t>
      </w:r>
      <w:r w:rsidR="003814AB">
        <w:t>.</w:t>
      </w:r>
      <w:r w:rsidR="003814AB">
        <w:tab/>
      </w:r>
      <w:r w:rsidR="003F66F7">
        <w:t xml:space="preserve">The Chairman added </w:t>
      </w:r>
      <w:r w:rsidR="00FF314E">
        <w:t xml:space="preserve">that </w:t>
      </w:r>
      <w:r w:rsidR="003F66F7">
        <w:t>experience with the current UN38.3 testing indicate</w:t>
      </w:r>
      <w:r w:rsidR="003814AB">
        <w:t>d</w:t>
      </w:r>
      <w:r w:rsidR="003F66F7">
        <w:t xml:space="preserve"> there </w:t>
      </w:r>
      <w:r w:rsidR="00FF314E">
        <w:t>were</w:t>
      </w:r>
      <w:r w:rsidR="003F66F7">
        <w:t xml:space="preserve"> conditions that the battery </w:t>
      </w:r>
      <w:r w:rsidR="00FF314E">
        <w:t>could</w:t>
      </w:r>
      <w:r w:rsidR="003F66F7">
        <w:t xml:space="preserve"> experience that could lead to a thermal event </w:t>
      </w:r>
      <w:r w:rsidR="00FF314E">
        <w:t xml:space="preserve">and </w:t>
      </w:r>
      <w:r w:rsidR="003F66F7">
        <w:t xml:space="preserve">that are not addressed when testing the cell alone. Some pointed out the definition of “benign” is critical in this argument. A cell may not experience a thermal event but if it creates enough heat or leaks, it might create other hazards already </w:t>
      </w:r>
      <w:r w:rsidR="00FF314E">
        <w:t>observed</w:t>
      </w:r>
      <w:r w:rsidR="003F66F7">
        <w:t xml:space="preserve"> in incidents. Others argued </w:t>
      </w:r>
      <w:r w:rsidR="00FF314E">
        <w:t xml:space="preserve">that </w:t>
      </w:r>
      <w:r w:rsidR="003F66F7">
        <w:t xml:space="preserve">even benign cells could be placed into a battery in a “less safe” design. Thus, the battery or pack should </w:t>
      </w:r>
      <w:r w:rsidR="00FF314E">
        <w:t>be subject to</w:t>
      </w:r>
      <w:r w:rsidR="003F66F7">
        <w:t xml:space="preserve"> some testing requirements. One participant suggested to compare the </w:t>
      </w:r>
      <w:r w:rsidR="00FF314E">
        <w:t>case of lithium cells and batteries with that of dangerous goods packed in limited quantities</w:t>
      </w:r>
      <w:r w:rsidR="003F66F7">
        <w:t xml:space="preserve">. By limiting the amount of material per package, </w:t>
      </w:r>
      <w:r w:rsidR="00FF314E">
        <w:t>derogations</w:t>
      </w:r>
      <w:r w:rsidR="003F66F7">
        <w:t xml:space="preserve"> can be </w:t>
      </w:r>
      <w:r w:rsidR="00FF314E">
        <w:t>granted in relation to</w:t>
      </w:r>
      <w:r w:rsidR="003F66F7">
        <w:t xml:space="preserve"> hazard communication and packing. Additional requirements </w:t>
      </w:r>
      <w:r w:rsidR="00FF314E">
        <w:t>may be applicable for transport by sea or air,</w:t>
      </w:r>
      <w:r w:rsidR="003F66F7">
        <w:t xml:space="preserve"> but the concept remains. Could such a system </w:t>
      </w:r>
      <w:r w:rsidR="003F66F7">
        <w:lastRenderedPageBreak/>
        <w:t xml:space="preserve">apply to lithium batteries as well? It was noted the situation was not exactly the same when cells are connected together in batteries to create a new article, which is not the case </w:t>
      </w:r>
      <w:r w:rsidR="00CA722D">
        <w:t>when</w:t>
      </w:r>
      <w:r w:rsidR="003F66F7">
        <w:t xml:space="preserve"> inner packages </w:t>
      </w:r>
      <w:r w:rsidR="00CA722D">
        <w:t>containing dangerous goods are c</w:t>
      </w:r>
      <w:r w:rsidR="003F66F7">
        <w:t xml:space="preserve">ontained in an outer packaging. </w:t>
      </w:r>
    </w:p>
    <w:p w:rsidR="003F66F7" w:rsidRDefault="00097923" w:rsidP="003814AB">
      <w:pPr>
        <w:pStyle w:val="SingleTxtG"/>
      </w:pPr>
      <w:r>
        <w:t>3</w:t>
      </w:r>
      <w:r w:rsidR="00CA722D">
        <w:t>9</w:t>
      </w:r>
      <w:r w:rsidR="003814AB">
        <w:t>.</w:t>
      </w:r>
      <w:r w:rsidR="003814AB">
        <w:tab/>
      </w:r>
      <w:r w:rsidR="003F66F7">
        <w:t xml:space="preserve">Participants added </w:t>
      </w:r>
      <w:r w:rsidR="00CA722D">
        <w:t xml:space="preserve">that </w:t>
      </w:r>
      <w:r w:rsidR="003F66F7">
        <w:t xml:space="preserve">testing should consider whether cells </w:t>
      </w:r>
      <w:r w:rsidR="00CA722D">
        <w:t>would</w:t>
      </w:r>
      <w:r w:rsidR="003F66F7">
        <w:t xml:space="preserve"> push electrical charge to cells that are beginning to enter a t</w:t>
      </w:r>
      <w:r w:rsidR="00CA722D">
        <w:t>hermal runaway. This also raised</w:t>
      </w:r>
      <w:r>
        <w:t xml:space="preserve"> the question </w:t>
      </w:r>
      <w:r w:rsidR="003F66F7">
        <w:t xml:space="preserve">whether cells in parallel each at a 30% SOC should be considered </w:t>
      </w:r>
      <w:r w:rsidR="00CA722D">
        <w:t xml:space="preserve">as </w:t>
      </w:r>
      <w:r w:rsidR="003F66F7">
        <w:t>a single cell at 60% SOC. Others confirmed their experience supported this concern.</w:t>
      </w:r>
    </w:p>
    <w:p w:rsidR="003F66F7" w:rsidRDefault="00097923" w:rsidP="00D66211">
      <w:pPr>
        <w:pStyle w:val="SingleTxtG"/>
      </w:pPr>
      <w:r>
        <w:t>4</w:t>
      </w:r>
      <w:r w:rsidR="00CA722D">
        <w:t>0</w:t>
      </w:r>
      <w:r w:rsidR="00D66211">
        <w:t>.</w:t>
      </w:r>
      <w:r w:rsidR="00D66211">
        <w:tab/>
      </w:r>
      <w:r w:rsidR="003F66F7">
        <w:t xml:space="preserve">The IWG recommended </w:t>
      </w:r>
      <w:r w:rsidR="00CA722D">
        <w:t xml:space="preserve">that </w:t>
      </w:r>
      <w:r w:rsidR="003F66F7">
        <w:t xml:space="preserve">participants </w:t>
      </w:r>
      <w:r w:rsidR="00CA722D">
        <w:t xml:space="preserve">should </w:t>
      </w:r>
      <w:r w:rsidR="003F66F7">
        <w:t xml:space="preserve">share testing experience </w:t>
      </w:r>
      <w:r>
        <w:t>with</w:t>
      </w:r>
      <w:r w:rsidR="003F66F7">
        <w:t xml:space="preserve"> benign cells and battery packs. Additionally, the group considered including such testing in an investigative testing plan. Some noted emergency responders </w:t>
      </w:r>
      <w:r w:rsidR="00CA722D">
        <w:t>would</w:t>
      </w:r>
      <w:r w:rsidR="003F66F7">
        <w:t xml:space="preserve"> have a different perspective on the issue and recommended they be invited to participa</w:t>
      </w:r>
      <w:r>
        <w:t>te</w:t>
      </w:r>
      <w:r w:rsidR="003F66F7">
        <w:t xml:space="preserve"> in the discussion.</w:t>
      </w:r>
    </w:p>
    <w:p w:rsidR="003F66F7" w:rsidRDefault="00D66211" w:rsidP="00D66211">
      <w:pPr>
        <w:pStyle w:val="H1G"/>
      </w:pPr>
      <w:r>
        <w:tab/>
      </w:r>
      <w:r>
        <w:tab/>
      </w:r>
      <w:r w:rsidR="00CA722D">
        <w:t>Investigative test p</w:t>
      </w:r>
      <w:r w:rsidR="003F66F7">
        <w:t>lan</w:t>
      </w:r>
    </w:p>
    <w:p w:rsidR="003F66F7" w:rsidRDefault="00097923" w:rsidP="00D66211">
      <w:pPr>
        <w:pStyle w:val="SingleTxtG"/>
      </w:pPr>
      <w:r>
        <w:t>4</w:t>
      </w:r>
      <w:r w:rsidR="00CA722D">
        <w:t>1</w:t>
      </w:r>
      <w:r w:rsidR="00D66211">
        <w:t>.</w:t>
      </w:r>
      <w:r w:rsidR="00D66211">
        <w:tab/>
      </w:r>
      <w:r w:rsidR="003F66F7">
        <w:t xml:space="preserve">Based on the discussion, the Chairman indicated </w:t>
      </w:r>
      <w:r w:rsidR="00A75A47">
        <w:t>that France would prepare an informal paper for the July s</w:t>
      </w:r>
      <w:r w:rsidR="003F66F7">
        <w:t xml:space="preserve">ession of the </w:t>
      </w:r>
      <w:r w:rsidR="00A75A47">
        <w:t>S</w:t>
      </w:r>
      <w:r w:rsidR="003F66F7">
        <w:t>ub</w:t>
      </w:r>
      <w:r w:rsidR="00A75A47">
        <w:t>-C</w:t>
      </w:r>
      <w:r w:rsidR="003F66F7">
        <w:t xml:space="preserve">ommittee recommending an investigative testing plan to answer some of the questions raised during the week. </w:t>
      </w:r>
    </w:p>
    <w:p w:rsidR="003F66F7" w:rsidRDefault="00097923" w:rsidP="00A75A47">
      <w:pPr>
        <w:pStyle w:val="SingleTxtG"/>
      </w:pPr>
      <w:r>
        <w:t>4</w:t>
      </w:r>
      <w:r w:rsidR="00CA722D">
        <w:t>2</w:t>
      </w:r>
      <w:r w:rsidR="00A75A47">
        <w:t>.</w:t>
      </w:r>
      <w:r w:rsidR="00A75A47">
        <w:tab/>
      </w:r>
      <w:r w:rsidR="003F66F7">
        <w:t xml:space="preserve">The Chairman noted </w:t>
      </w:r>
      <w:r w:rsidR="00A75A47">
        <w:t xml:space="preserve">that </w:t>
      </w:r>
      <w:r w:rsidR="003F66F7">
        <w:t>France w</w:t>
      </w:r>
      <w:r w:rsidR="00A75A47">
        <w:t>ould ask for a lunchtime working group at the July s</w:t>
      </w:r>
      <w:r w:rsidR="003F66F7">
        <w:t>ession. Discussion topics for the session would include:</w:t>
      </w:r>
    </w:p>
    <w:p w:rsidR="003F66F7" w:rsidRDefault="00A75A47" w:rsidP="00A75A47">
      <w:pPr>
        <w:pStyle w:val="SingleTxtG"/>
        <w:ind w:left="1701"/>
      </w:pPr>
      <w:r>
        <w:t>(a)</w:t>
      </w:r>
      <w:r>
        <w:tab/>
      </w:r>
      <w:r w:rsidR="003F66F7">
        <w:t>Tests to be conducted</w:t>
      </w:r>
      <w:r>
        <w:t>;</w:t>
      </w:r>
    </w:p>
    <w:p w:rsidR="003F66F7" w:rsidRDefault="00A75A47" w:rsidP="00A75A47">
      <w:pPr>
        <w:pStyle w:val="SingleTxtG"/>
        <w:ind w:left="1701"/>
      </w:pPr>
      <w:r>
        <w:t>(b)</w:t>
      </w:r>
      <w:r>
        <w:tab/>
      </w:r>
      <w:r w:rsidR="003F66F7">
        <w:t>What would be a satisfactory representative sampling</w:t>
      </w:r>
      <w:r>
        <w:t>;</w:t>
      </w:r>
    </w:p>
    <w:p w:rsidR="003F66F7" w:rsidRDefault="00A75A47" w:rsidP="00A75A47">
      <w:pPr>
        <w:pStyle w:val="SingleTxtG"/>
        <w:ind w:left="1701"/>
      </w:pPr>
      <w:r>
        <w:t>(c)</w:t>
      </w:r>
      <w:r>
        <w:tab/>
      </w:r>
      <w:r w:rsidR="003F66F7">
        <w:t>Who would be able to participate in the investigative testing</w:t>
      </w:r>
      <w:r>
        <w:t>;</w:t>
      </w:r>
    </w:p>
    <w:p w:rsidR="003F66F7" w:rsidRDefault="00A75A47" w:rsidP="00A75A47">
      <w:pPr>
        <w:pStyle w:val="SingleTxtG"/>
        <w:ind w:left="1701"/>
      </w:pPr>
      <w:r>
        <w:t>(d)</w:t>
      </w:r>
      <w:r>
        <w:tab/>
      </w:r>
      <w:r w:rsidR="003F66F7">
        <w:t>Ensuring confidentiality when necessary and appropriate.</w:t>
      </w:r>
    </w:p>
    <w:p w:rsidR="003F66F7" w:rsidRDefault="00097923" w:rsidP="00A75A47">
      <w:pPr>
        <w:pStyle w:val="SingleTxtG"/>
      </w:pPr>
      <w:r>
        <w:t>4</w:t>
      </w:r>
      <w:r w:rsidR="00CA722D">
        <w:t>3</w:t>
      </w:r>
      <w:r w:rsidR="00A75A47">
        <w:t>.</w:t>
      </w:r>
      <w:r w:rsidR="00A75A47">
        <w:tab/>
      </w:r>
      <w:r w:rsidR="003F66F7">
        <w:t xml:space="preserve">Opinions were </w:t>
      </w:r>
      <w:r w:rsidR="00CA722D">
        <w:t>expressed</w:t>
      </w:r>
      <w:r w:rsidR="003F66F7">
        <w:t xml:space="preserve"> that battery chemistry may have a significant impact on testing results. Therefore, concepts of equivalency </w:t>
      </w:r>
      <w:r w:rsidR="00A75A47">
        <w:t>had to</w:t>
      </w:r>
      <w:r w:rsidR="003F66F7">
        <w:t xml:space="preserve"> be considered. PRBA indicated </w:t>
      </w:r>
      <w:r w:rsidR="00A75A47">
        <w:t>it</w:t>
      </w:r>
      <w:r w:rsidR="003F66F7">
        <w:t xml:space="preserve"> would work with BAJ and other battery associations around the world to bring additional resources to the testing efforts. It was reiterated that confidentiality </w:t>
      </w:r>
      <w:r w:rsidR="00A75A47">
        <w:t>would</w:t>
      </w:r>
      <w:r w:rsidR="003F66F7">
        <w:t xml:space="preserve"> be an important aspect of the testing to ensure </w:t>
      </w:r>
      <w:r w:rsidR="00A75A47">
        <w:t xml:space="preserve">that </w:t>
      </w:r>
      <w:r w:rsidR="003F66F7">
        <w:t>participation w</w:t>
      </w:r>
      <w:r w:rsidR="00A75A47">
        <w:t>ould</w:t>
      </w:r>
      <w:r w:rsidR="003F66F7">
        <w:t xml:space="preserve"> not be limited. </w:t>
      </w:r>
    </w:p>
    <w:p w:rsidR="003F66F7" w:rsidRDefault="00097923" w:rsidP="00A75A47">
      <w:pPr>
        <w:pStyle w:val="SingleTxtG"/>
      </w:pPr>
      <w:r>
        <w:t>4</w:t>
      </w:r>
      <w:r w:rsidR="00CA722D">
        <w:t>4</w:t>
      </w:r>
      <w:r w:rsidR="00A75A47">
        <w:t>.</w:t>
      </w:r>
      <w:r w:rsidR="00A75A47">
        <w:tab/>
      </w:r>
      <w:r w:rsidR="003F66F7">
        <w:t xml:space="preserve">The Chairman noted </w:t>
      </w:r>
      <w:r w:rsidR="00A75A47">
        <w:t xml:space="preserve">that </w:t>
      </w:r>
      <w:r w:rsidR="003F66F7">
        <w:t>the representative of RECHARGE offered to host the next session of the IWG in Europe. The date and location w</w:t>
      </w:r>
      <w:r w:rsidR="00A75A47">
        <w:t>ould</w:t>
      </w:r>
      <w:r w:rsidR="003F66F7">
        <w:t xml:space="preserve"> be decided after the July session of the Sub</w:t>
      </w:r>
      <w:r w:rsidR="00CA722D">
        <w:t>-C</w:t>
      </w:r>
      <w:r w:rsidR="003F66F7">
        <w:t xml:space="preserve">ommittee. </w:t>
      </w:r>
    </w:p>
    <w:p w:rsidR="003F66F7" w:rsidRDefault="00C91289" w:rsidP="00C91289">
      <w:pPr>
        <w:pStyle w:val="H1G"/>
      </w:pPr>
      <w:r>
        <w:tab/>
      </w:r>
      <w:r>
        <w:tab/>
      </w:r>
      <w:r w:rsidR="003F66F7">
        <w:t>Conclusion</w:t>
      </w:r>
    </w:p>
    <w:p w:rsidR="003F66F7" w:rsidRDefault="00097923" w:rsidP="00C91289">
      <w:pPr>
        <w:pStyle w:val="SingleTxtG"/>
      </w:pPr>
      <w:r>
        <w:t>4</w:t>
      </w:r>
      <w:r w:rsidR="00CA722D">
        <w:t>5</w:t>
      </w:r>
      <w:r w:rsidR="00C91289">
        <w:t>.</w:t>
      </w:r>
      <w:r w:rsidR="00C91289">
        <w:tab/>
      </w:r>
      <w:r w:rsidR="003F66F7">
        <w:t>The Sub</w:t>
      </w:r>
      <w:r w:rsidR="00C91289">
        <w:t>-C</w:t>
      </w:r>
      <w:r w:rsidR="003F66F7">
        <w:t xml:space="preserve">ommittee is invited to take note of </w:t>
      </w:r>
      <w:r w:rsidR="00C91289">
        <w:t xml:space="preserve">this </w:t>
      </w:r>
      <w:r w:rsidR="003F66F7">
        <w:t xml:space="preserve">report and </w:t>
      </w:r>
      <w:r w:rsidR="00C91289">
        <w:t xml:space="preserve">of </w:t>
      </w:r>
      <w:r w:rsidR="003F66F7">
        <w:t xml:space="preserve">the questions raised in the Table in the Annex, and </w:t>
      </w:r>
      <w:r w:rsidR="00C91289">
        <w:t xml:space="preserve">to take </w:t>
      </w:r>
      <w:r w:rsidR="003F66F7">
        <w:t>action as appropriate</w:t>
      </w:r>
      <w:r w:rsidR="00CA722D">
        <w:t>,</w:t>
      </w:r>
      <w:r w:rsidR="003F66F7">
        <w:t xml:space="preserve"> including development of revised terms of reference for future work</w:t>
      </w:r>
    </w:p>
    <w:p w:rsidR="003F66F7" w:rsidRDefault="003F66F7" w:rsidP="003F66F7">
      <w:pPr>
        <w:pStyle w:val="NormalWeb"/>
      </w:pPr>
    </w:p>
    <w:p w:rsidR="003F66F7" w:rsidRDefault="003F66F7" w:rsidP="003F66F7">
      <w:pPr>
        <w:pStyle w:val="NormalWeb"/>
      </w:pPr>
    </w:p>
    <w:p w:rsidR="003F66F7" w:rsidRDefault="003F66F7" w:rsidP="003F66F7">
      <w:pPr>
        <w:pStyle w:val="NormalWeb"/>
      </w:pPr>
    </w:p>
    <w:p w:rsidR="003F66F7" w:rsidRDefault="003F66F7">
      <w:pPr>
        <w:suppressAutoHyphens w:val="0"/>
        <w:spacing w:line="240" w:lineRule="auto"/>
        <w:rPr>
          <w:sz w:val="24"/>
          <w:szCs w:val="24"/>
        </w:rPr>
      </w:pPr>
      <w:r>
        <w:br w:type="page"/>
      </w:r>
    </w:p>
    <w:p w:rsidR="003F66F7" w:rsidRDefault="003F66F7" w:rsidP="00C91289">
      <w:pPr>
        <w:pStyle w:val="HChG"/>
      </w:pPr>
      <w:r>
        <w:lastRenderedPageBreak/>
        <w:t>A</w:t>
      </w:r>
      <w:r w:rsidR="00C91289">
        <w:t>nnex</w:t>
      </w:r>
      <w:r w:rsidR="00F37DC5">
        <w:t xml:space="preserve"> </w:t>
      </w:r>
    </w:p>
    <w:p w:rsidR="003F66F7" w:rsidRDefault="00C91289" w:rsidP="00C91289">
      <w:pPr>
        <w:pStyle w:val="HChG"/>
      </w:pPr>
      <w:r>
        <w:tab/>
      </w:r>
      <w:r>
        <w:tab/>
      </w:r>
      <w:r w:rsidR="003F66F7">
        <w:t>Haz</w:t>
      </w:r>
      <w:r w:rsidR="003F66F7" w:rsidRPr="00C91289">
        <w:rPr>
          <w:rStyle w:val="HChGChar"/>
        </w:rPr>
        <w:t>a</w:t>
      </w:r>
      <w:r w:rsidR="003F66F7">
        <w:t>rd Table</w:t>
      </w:r>
    </w:p>
    <w:p w:rsidR="003F66F7" w:rsidRDefault="003F66F7" w:rsidP="003F66F7">
      <w:pPr>
        <w:pStyle w:val="NormalWeb"/>
        <w:rPr>
          <w:b/>
          <w:sz w:val="20"/>
          <w:szCs w:val="20"/>
        </w:rPr>
      </w:pPr>
      <w:r>
        <w:rPr>
          <w:noProof/>
          <w:lang w:eastAsia="en-GB"/>
        </w:rPr>
        <w:drawing>
          <wp:inline distT="0" distB="0" distL="0" distR="0" wp14:anchorId="64C3A224" wp14:editId="40301BEA">
            <wp:extent cx="5943600" cy="32975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6"/>
                    <a:stretch>
                      <a:fillRect/>
                    </a:stretch>
                  </pic:blipFill>
                  <pic:spPr bwMode="auto">
                    <a:xfrm>
                      <a:off x="0" y="0"/>
                      <a:ext cx="5943600" cy="3297555"/>
                    </a:xfrm>
                    <a:prstGeom prst="rect">
                      <a:avLst/>
                    </a:prstGeom>
                  </pic:spPr>
                </pic:pic>
              </a:graphicData>
            </a:graphic>
          </wp:inline>
        </w:drawing>
      </w:r>
    </w:p>
    <w:p w:rsidR="003F66F7" w:rsidRDefault="003F66F7" w:rsidP="003F66F7">
      <w:pPr>
        <w:pStyle w:val="NormalWeb"/>
        <w:rPr>
          <w:b/>
          <w:sz w:val="20"/>
          <w:szCs w:val="20"/>
        </w:rPr>
      </w:pPr>
    </w:p>
    <w:p w:rsidR="003F66F7" w:rsidRDefault="003F66F7" w:rsidP="003F66F7">
      <w:pPr>
        <w:pStyle w:val="NormalWeb"/>
        <w:rPr>
          <w:b/>
          <w:sz w:val="20"/>
          <w:szCs w:val="20"/>
        </w:rPr>
      </w:pPr>
      <w:r>
        <w:rPr>
          <w:noProof/>
          <w:lang w:eastAsia="en-GB"/>
        </w:rPr>
        <w:drawing>
          <wp:inline distT="0" distB="0" distL="0" distR="0" wp14:anchorId="289D5E7F" wp14:editId="383EF984">
            <wp:extent cx="5977255" cy="107251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7"/>
                    <a:stretch>
                      <a:fillRect/>
                    </a:stretch>
                  </pic:blipFill>
                  <pic:spPr bwMode="auto">
                    <a:xfrm>
                      <a:off x="0" y="0"/>
                      <a:ext cx="5977255" cy="1072515"/>
                    </a:xfrm>
                    <a:prstGeom prst="rect">
                      <a:avLst/>
                    </a:prstGeom>
                  </pic:spPr>
                </pic:pic>
              </a:graphicData>
            </a:graphic>
          </wp:inline>
        </w:drawing>
      </w:r>
    </w:p>
    <w:p w:rsidR="003F66F7" w:rsidRDefault="003F66F7" w:rsidP="003F66F7">
      <w:pPr>
        <w:pStyle w:val="NormalWeb"/>
        <w:rPr>
          <w:b/>
          <w:sz w:val="20"/>
          <w:szCs w:val="20"/>
        </w:rPr>
      </w:pPr>
    </w:p>
    <w:p w:rsidR="003F66F7" w:rsidRDefault="003F66F7" w:rsidP="003F66F7">
      <w:pPr>
        <w:pStyle w:val="NormalWeb"/>
        <w:rPr>
          <w:b/>
          <w:sz w:val="20"/>
          <w:szCs w:val="20"/>
        </w:rPr>
      </w:pPr>
    </w:p>
    <w:p w:rsidR="003F66F7" w:rsidRDefault="003F66F7" w:rsidP="003F66F7">
      <w:pPr>
        <w:pStyle w:val="NormalWeb"/>
        <w:rPr>
          <w:b/>
          <w:sz w:val="20"/>
          <w:szCs w:val="20"/>
        </w:rPr>
      </w:pPr>
      <w:r>
        <w:rPr>
          <w:noProof/>
          <w:lang w:eastAsia="en-GB"/>
        </w:rPr>
        <w:lastRenderedPageBreak/>
        <w:drawing>
          <wp:inline distT="0" distB="0" distL="0" distR="0" wp14:anchorId="49E41E7D" wp14:editId="4F727AA6">
            <wp:extent cx="6057900" cy="31210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8"/>
                    <a:stretch>
                      <a:fillRect/>
                    </a:stretch>
                  </pic:blipFill>
                  <pic:spPr bwMode="auto">
                    <a:xfrm>
                      <a:off x="0" y="0"/>
                      <a:ext cx="6057900" cy="3121025"/>
                    </a:xfrm>
                    <a:prstGeom prst="rect">
                      <a:avLst/>
                    </a:prstGeom>
                  </pic:spPr>
                </pic:pic>
              </a:graphicData>
            </a:graphic>
          </wp:inline>
        </w:drawing>
      </w:r>
    </w:p>
    <w:p w:rsidR="003F66F7" w:rsidRDefault="003F66F7" w:rsidP="003F66F7">
      <w:pPr>
        <w:pStyle w:val="NormalWeb"/>
        <w:rPr>
          <w:b/>
          <w:sz w:val="20"/>
          <w:szCs w:val="20"/>
        </w:rPr>
      </w:pPr>
    </w:p>
    <w:p w:rsidR="003F66F7" w:rsidRDefault="003F66F7" w:rsidP="003F66F7">
      <w:pPr>
        <w:pStyle w:val="NormalWeb"/>
        <w:rPr>
          <w:b/>
          <w:sz w:val="20"/>
          <w:szCs w:val="20"/>
        </w:rPr>
      </w:pPr>
    </w:p>
    <w:p w:rsidR="003F66F7" w:rsidRDefault="003F66F7" w:rsidP="003F66F7">
      <w:pPr>
        <w:pStyle w:val="NormalWeb"/>
        <w:rPr>
          <w:b/>
          <w:sz w:val="20"/>
          <w:szCs w:val="20"/>
        </w:rPr>
      </w:pPr>
      <w:r>
        <w:rPr>
          <w:noProof/>
          <w:lang w:eastAsia="en-GB"/>
        </w:rPr>
        <w:drawing>
          <wp:inline distT="0" distB="0" distL="0" distR="0" wp14:anchorId="5FDEC1A6" wp14:editId="7FB7F257">
            <wp:extent cx="6017260" cy="143129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19"/>
                    <a:stretch>
                      <a:fillRect/>
                    </a:stretch>
                  </pic:blipFill>
                  <pic:spPr bwMode="auto">
                    <a:xfrm>
                      <a:off x="0" y="0"/>
                      <a:ext cx="6017260" cy="1431290"/>
                    </a:xfrm>
                    <a:prstGeom prst="rect">
                      <a:avLst/>
                    </a:prstGeom>
                  </pic:spPr>
                </pic:pic>
              </a:graphicData>
            </a:graphic>
          </wp:inline>
        </w:drawing>
      </w:r>
    </w:p>
    <w:p w:rsidR="003F66F7" w:rsidRDefault="003F66F7" w:rsidP="003F66F7">
      <w:pPr>
        <w:pStyle w:val="NormalWeb"/>
        <w:rPr>
          <w:b/>
          <w:sz w:val="20"/>
          <w:szCs w:val="20"/>
        </w:rPr>
      </w:pPr>
    </w:p>
    <w:p w:rsidR="003F66F7" w:rsidRDefault="003F66F7" w:rsidP="003F66F7">
      <w:pPr>
        <w:pStyle w:val="NormalWeb"/>
        <w:rPr>
          <w:b/>
          <w:sz w:val="20"/>
          <w:szCs w:val="20"/>
        </w:rPr>
      </w:pPr>
      <w:r>
        <w:rPr>
          <w:noProof/>
          <w:lang w:eastAsia="en-GB"/>
        </w:rPr>
        <w:drawing>
          <wp:inline distT="0" distB="0" distL="0" distR="0" wp14:anchorId="5C4F73E9" wp14:editId="6F1EA7CE">
            <wp:extent cx="6024880" cy="202819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20"/>
                    <a:stretch>
                      <a:fillRect/>
                    </a:stretch>
                  </pic:blipFill>
                  <pic:spPr bwMode="auto">
                    <a:xfrm>
                      <a:off x="0" y="0"/>
                      <a:ext cx="6024880" cy="2028190"/>
                    </a:xfrm>
                    <a:prstGeom prst="rect">
                      <a:avLst/>
                    </a:prstGeom>
                  </pic:spPr>
                </pic:pic>
              </a:graphicData>
            </a:graphic>
          </wp:inline>
        </w:drawing>
      </w:r>
    </w:p>
    <w:p w:rsidR="003F66F7" w:rsidRPr="004C210D" w:rsidRDefault="004C210D" w:rsidP="004C210D">
      <w:pPr>
        <w:pStyle w:val="NormalWeb"/>
        <w:spacing w:before="240"/>
        <w:ind w:left="1134" w:right="1134"/>
        <w:jc w:val="center"/>
        <w:rPr>
          <w:sz w:val="20"/>
          <w:szCs w:val="20"/>
          <w:u w:val="single"/>
        </w:rPr>
      </w:pPr>
      <w:r w:rsidRPr="004C210D">
        <w:rPr>
          <w:sz w:val="20"/>
          <w:szCs w:val="20"/>
          <w:u w:val="single"/>
        </w:rPr>
        <w:tab/>
      </w:r>
      <w:r w:rsidRPr="004C210D">
        <w:rPr>
          <w:sz w:val="20"/>
          <w:szCs w:val="20"/>
          <w:u w:val="single"/>
        </w:rPr>
        <w:tab/>
      </w:r>
      <w:r w:rsidRPr="004C210D">
        <w:rPr>
          <w:sz w:val="20"/>
          <w:szCs w:val="20"/>
          <w:u w:val="single"/>
        </w:rPr>
        <w:tab/>
      </w:r>
    </w:p>
    <w:p w:rsidR="003F66F7" w:rsidRDefault="003F66F7" w:rsidP="003F66F7">
      <w:pPr>
        <w:pStyle w:val="NormalWeb"/>
        <w:rPr>
          <w:b/>
          <w:sz w:val="20"/>
          <w:szCs w:val="20"/>
        </w:rPr>
      </w:pPr>
    </w:p>
    <w:p w:rsidR="003F66F7" w:rsidRDefault="003F66F7" w:rsidP="003F66F7">
      <w:pPr>
        <w:pStyle w:val="NormalWeb"/>
        <w:rPr>
          <w:b/>
          <w:sz w:val="20"/>
          <w:szCs w:val="20"/>
        </w:rPr>
      </w:pPr>
    </w:p>
    <w:p w:rsidR="003F66F7" w:rsidRDefault="003F66F7" w:rsidP="003F66F7">
      <w:pPr>
        <w:pStyle w:val="NormalWeb"/>
        <w:rPr>
          <w:b/>
          <w:sz w:val="20"/>
          <w:szCs w:val="20"/>
        </w:rPr>
      </w:pPr>
    </w:p>
    <w:sectPr w:rsidR="003F66F7" w:rsidSect="009D3E53">
      <w:headerReference w:type="even" r:id="rId21"/>
      <w:headerReference w:type="default" r:id="rId22"/>
      <w:footerReference w:type="even" r:id="rId23"/>
      <w:footerReference w:type="default" r:id="rId24"/>
      <w:headerReference w:type="first" r:id="rId25"/>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4833EA">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4833EA">
      <w:rPr>
        <w:b/>
        <w:noProof/>
        <w:sz w:val="18"/>
      </w:rPr>
      <w:t>11</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695B60" w:rsidRDefault="00695B60" w:rsidP="00695B60">
      <w:pPr>
        <w:pStyle w:val="SingleTxtG"/>
        <w:tabs>
          <w:tab w:val="left" w:pos="1418"/>
        </w:tabs>
      </w:pPr>
      <w:r>
        <w:rPr>
          <w:rStyle w:val="FootnoteReference"/>
          <w:i/>
          <w:sz w:val="20"/>
        </w:rPr>
        <w:footnoteRef/>
      </w:r>
      <w:r>
        <w:rPr>
          <w:rStyle w:val="FootnoteReference"/>
          <w:i/>
          <w:sz w:val="20"/>
        </w:rP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w:t>
      </w:r>
      <w:r w:rsidR="007316B3">
        <w:t>graph</w:t>
      </w:r>
      <w:r>
        <w:t> 14</w:t>
      </w:r>
      <w:r w:rsidRPr="00DB63B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B63E96">
      <w:t>2017</w:t>
    </w:r>
    <w:r w:rsidR="005458AF">
      <w:t>/</w:t>
    </w:r>
    <w:r w:rsidR="00A54480">
      <w:t>1</w:t>
    </w:r>
    <w:r w:rsidR="00913B0D">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w:t>
    </w:r>
    <w:r w:rsidR="004C210D">
      <w:t>7</w:t>
    </w:r>
    <w:r w:rsidR="005458AF">
      <w:t>/</w:t>
    </w:r>
    <w:r w:rsidR="004C210D">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43C6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nsid w:val="130429AF"/>
    <w:multiLevelType w:val="multilevel"/>
    <w:tmpl w:val="922C3C24"/>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05600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6312A"/>
    <w:multiLevelType w:val="multilevel"/>
    <w:tmpl w:val="CE6A2D06"/>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nsid w:val="4E3458F1"/>
    <w:multiLevelType w:val="multilevel"/>
    <w:tmpl w:val="B94E958A"/>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nsid w:val="581D293F"/>
    <w:multiLevelType w:val="hybridMultilevel"/>
    <w:tmpl w:val="225EF8CA"/>
    <w:lvl w:ilvl="0" w:tplc="2410BAD2">
      <w:start w:val="1"/>
      <w:numFmt w:val="decimal"/>
      <w:lvlText w:val="%1."/>
      <w:lvlJc w:val="left"/>
      <w:pPr>
        <w:tabs>
          <w:tab w:val="num" w:pos="567"/>
        </w:tabs>
        <w:ind w:left="1134" w:firstLine="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5F1748"/>
    <w:multiLevelType w:val="multilevel"/>
    <w:tmpl w:val="91DAE2A0"/>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6"/>
  </w:num>
  <w:num w:numId="13">
    <w:abstractNumId w:val="11"/>
  </w:num>
  <w:num w:numId="14">
    <w:abstractNumId w:val="28"/>
  </w:num>
  <w:num w:numId="15">
    <w:abstractNumId w:val="29"/>
  </w:num>
  <w:num w:numId="16">
    <w:abstractNumId w:val="17"/>
  </w:num>
  <w:num w:numId="17">
    <w:abstractNumId w:val="19"/>
  </w:num>
  <w:num w:numId="18">
    <w:abstractNumId w:val="21"/>
  </w:num>
  <w:num w:numId="19">
    <w:abstractNumId w:val="14"/>
  </w:num>
  <w:num w:numId="20">
    <w:abstractNumId w:val="30"/>
  </w:num>
  <w:num w:numId="21">
    <w:abstractNumId w:val="12"/>
  </w:num>
  <w:num w:numId="22">
    <w:abstractNumId w:val="23"/>
  </w:num>
  <w:num w:numId="23">
    <w:abstractNumId w:val="25"/>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20"/>
  </w:num>
  <w:num w:numId="29">
    <w:abstractNumId w:val="22"/>
  </w:num>
  <w:num w:numId="30">
    <w:abstractNumId w:val="18"/>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438B"/>
    <w:rsid w:val="000166D2"/>
    <w:rsid w:val="00016B6E"/>
    <w:rsid w:val="00023F08"/>
    <w:rsid w:val="00044590"/>
    <w:rsid w:val="00047F82"/>
    <w:rsid w:val="000504CE"/>
    <w:rsid w:val="00050F6B"/>
    <w:rsid w:val="00053E46"/>
    <w:rsid w:val="0005466E"/>
    <w:rsid w:val="000572CA"/>
    <w:rsid w:val="00072C8C"/>
    <w:rsid w:val="000804C6"/>
    <w:rsid w:val="00082AB3"/>
    <w:rsid w:val="00083B73"/>
    <w:rsid w:val="00091419"/>
    <w:rsid w:val="000931C0"/>
    <w:rsid w:val="00097923"/>
    <w:rsid w:val="000A482D"/>
    <w:rsid w:val="000B175B"/>
    <w:rsid w:val="000B3A0F"/>
    <w:rsid w:val="000C2086"/>
    <w:rsid w:val="000D58F6"/>
    <w:rsid w:val="000D734E"/>
    <w:rsid w:val="000E0415"/>
    <w:rsid w:val="000F0C23"/>
    <w:rsid w:val="000F6C26"/>
    <w:rsid w:val="000F7AB3"/>
    <w:rsid w:val="00105236"/>
    <w:rsid w:val="00117787"/>
    <w:rsid w:val="00131D42"/>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03FEE"/>
    <w:rsid w:val="00210B9C"/>
    <w:rsid w:val="00211E0B"/>
    <w:rsid w:val="00213AFD"/>
    <w:rsid w:val="00226F0D"/>
    <w:rsid w:val="002309A7"/>
    <w:rsid w:val="0023193F"/>
    <w:rsid w:val="00232EC4"/>
    <w:rsid w:val="0023334A"/>
    <w:rsid w:val="00234AEB"/>
    <w:rsid w:val="00237785"/>
    <w:rsid w:val="00241466"/>
    <w:rsid w:val="002524F3"/>
    <w:rsid w:val="002547A2"/>
    <w:rsid w:val="00254AD0"/>
    <w:rsid w:val="00255C1E"/>
    <w:rsid w:val="002656C7"/>
    <w:rsid w:val="002676CA"/>
    <w:rsid w:val="002725CA"/>
    <w:rsid w:val="00274950"/>
    <w:rsid w:val="00277A29"/>
    <w:rsid w:val="00280EB7"/>
    <w:rsid w:val="00281C3B"/>
    <w:rsid w:val="00297C91"/>
    <w:rsid w:val="002B1CDA"/>
    <w:rsid w:val="002B4076"/>
    <w:rsid w:val="002C1AE8"/>
    <w:rsid w:val="002C2549"/>
    <w:rsid w:val="002D460D"/>
    <w:rsid w:val="0030379C"/>
    <w:rsid w:val="003107FA"/>
    <w:rsid w:val="0032058E"/>
    <w:rsid w:val="003229D8"/>
    <w:rsid w:val="00323424"/>
    <w:rsid w:val="0032486A"/>
    <w:rsid w:val="003256F6"/>
    <w:rsid w:val="00337633"/>
    <w:rsid w:val="00347367"/>
    <w:rsid w:val="0034759C"/>
    <w:rsid w:val="00352617"/>
    <w:rsid w:val="00356948"/>
    <w:rsid w:val="0036127B"/>
    <w:rsid w:val="003637DE"/>
    <w:rsid w:val="00364103"/>
    <w:rsid w:val="00375E8A"/>
    <w:rsid w:val="003814AB"/>
    <w:rsid w:val="0039277A"/>
    <w:rsid w:val="00392D73"/>
    <w:rsid w:val="003972E0"/>
    <w:rsid w:val="003A0447"/>
    <w:rsid w:val="003A0C75"/>
    <w:rsid w:val="003A5CDB"/>
    <w:rsid w:val="003C2CC4"/>
    <w:rsid w:val="003D4B23"/>
    <w:rsid w:val="003D679A"/>
    <w:rsid w:val="003E4916"/>
    <w:rsid w:val="003E5A57"/>
    <w:rsid w:val="003F66F7"/>
    <w:rsid w:val="004043C0"/>
    <w:rsid w:val="00413472"/>
    <w:rsid w:val="0042233A"/>
    <w:rsid w:val="004262E2"/>
    <w:rsid w:val="00431FA3"/>
    <w:rsid w:val="004325CB"/>
    <w:rsid w:val="00432930"/>
    <w:rsid w:val="00432CB4"/>
    <w:rsid w:val="004347D8"/>
    <w:rsid w:val="00437F3F"/>
    <w:rsid w:val="00442DF8"/>
    <w:rsid w:val="00446A66"/>
    <w:rsid w:val="00446DE4"/>
    <w:rsid w:val="00451925"/>
    <w:rsid w:val="00454036"/>
    <w:rsid w:val="00465AFB"/>
    <w:rsid w:val="00470BF5"/>
    <w:rsid w:val="00477D30"/>
    <w:rsid w:val="00483009"/>
    <w:rsid w:val="004833EA"/>
    <w:rsid w:val="004914ED"/>
    <w:rsid w:val="004A7253"/>
    <w:rsid w:val="004B2C9D"/>
    <w:rsid w:val="004C210D"/>
    <w:rsid w:val="004C35BA"/>
    <w:rsid w:val="004C6FBA"/>
    <w:rsid w:val="004C71B6"/>
    <w:rsid w:val="004E05DD"/>
    <w:rsid w:val="004F0095"/>
    <w:rsid w:val="004F0881"/>
    <w:rsid w:val="004F60F8"/>
    <w:rsid w:val="00522AC0"/>
    <w:rsid w:val="00522F9B"/>
    <w:rsid w:val="00527910"/>
    <w:rsid w:val="005420F2"/>
    <w:rsid w:val="005458AF"/>
    <w:rsid w:val="00547C8F"/>
    <w:rsid w:val="005500DD"/>
    <w:rsid w:val="005501BE"/>
    <w:rsid w:val="00562335"/>
    <w:rsid w:val="00563498"/>
    <w:rsid w:val="00565DED"/>
    <w:rsid w:val="00572F83"/>
    <w:rsid w:val="00590144"/>
    <w:rsid w:val="0059588D"/>
    <w:rsid w:val="00597FF3"/>
    <w:rsid w:val="005A4196"/>
    <w:rsid w:val="005B03C6"/>
    <w:rsid w:val="005B3DB3"/>
    <w:rsid w:val="005B77F6"/>
    <w:rsid w:val="005C6796"/>
    <w:rsid w:val="005C7602"/>
    <w:rsid w:val="005D2018"/>
    <w:rsid w:val="005D5DD6"/>
    <w:rsid w:val="005E731E"/>
    <w:rsid w:val="005F5D9C"/>
    <w:rsid w:val="00604E72"/>
    <w:rsid w:val="00611FC4"/>
    <w:rsid w:val="00615623"/>
    <w:rsid w:val="006176FB"/>
    <w:rsid w:val="006200EB"/>
    <w:rsid w:val="00625E3D"/>
    <w:rsid w:val="00630C9C"/>
    <w:rsid w:val="0063158E"/>
    <w:rsid w:val="00632868"/>
    <w:rsid w:val="0063419C"/>
    <w:rsid w:val="006377C4"/>
    <w:rsid w:val="00640B26"/>
    <w:rsid w:val="00642F72"/>
    <w:rsid w:val="006500BA"/>
    <w:rsid w:val="006531B9"/>
    <w:rsid w:val="00663EED"/>
    <w:rsid w:val="00665835"/>
    <w:rsid w:val="00666E76"/>
    <w:rsid w:val="00673F39"/>
    <w:rsid w:val="00676449"/>
    <w:rsid w:val="00677B83"/>
    <w:rsid w:val="00695B60"/>
    <w:rsid w:val="006A1372"/>
    <w:rsid w:val="006A1D67"/>
    <w:rsid w:val="006A7392"/>
    <w:rsid w:val="006B4408"/>
    <w:rsid w:val="006C0D34"/>
    <w:rsid w:val="006D12B1"/>
    <w:rsid w:val="006D6FAC"/>
    <w:rsid w:val="006E564B"/>
    <w:rsid w:val="00704CDB"/>
    <w:rsid w:val="00705B77"/>
    <w:rsid w:val="00711C13"/>
    <w:rsid w:val="0072055C"/>
    <w:rsid w:val="0072632A"/>
    <w:rsid w:val="007277E4"/>
    <w:rsid w:val="007316B3"/>
    <w:rsid w:val="00740691"/>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24E04"/>
    <w:rsid w:val="0083392A"/>
    <w:rsid w:val="008443BC"/>
    <w:rsid w:val="00847442"/>
    <w:rsid w:val="00854B0D"/>
    <w:rsid w:val="00860540"/>
    <w:rsid w:val="00871FD5"/>
    <w:rsid w:val="00875EAC"/>
    <w:rsid w:val="00884FD0"/>
    <w:rsid w:val="00890E72"/>
    <w:rsid w:val="00894BC2"/>
    <w:rsid w:val="00895E97"/>
    <w:rsid w:val="008979B1"/>
    <w:rsid w:val="008A6B25"/>
    <w:rsid w:val="008A6C4F"/>
    <w:rsid w:val="008B57B7"/>
    <w:rsid w:val="008C1297"/>
    <w:rsid w:val="008C1C03"/>
    <w:rsid w:val="008D53CE"/>
    <w:rsid w:val="008E0E46"/>
    <w:rsid w:val="008F79EE"/>
    <w:rsid w:val="00900A39"/>
    <w:rsid w:val="00904FD7"/>
    <w:rsid w:val="00913B0D"/>
    <w:rsid w:val="00945A5D"/>
    <w:rsid w:val="00946A04"/>
    <w:rsid w:val="00953226"/>
    <w:rsid w:val="00957117"/>
    <w:rsid w:val="00962AD6"/>
    <w:rsid w:val="00963CBA"/>
    <w:rsid w:val="0097518C"/>
    <w:rsid w:val="009854F2"/>
    <w:rsid w:val="00986450"/>
    <w:rsid w:val="00987659"/>
    <w:rsid w:val="0099124E"/>
    <w:rsid w:val="00991261"/>
    <w:rsid w:val="009C48E5"/>
    <w:rsid w:val="009D1AAE"/>
    <w:rsid w:val="009D3E53"/>
    <w:rsid w:val="009E38E3"/>
    <w:rsid w:val="009F0F06"/>
    <w:rsid w:val="009F1F45"/>
    <w:rsid w:val="00A1427D"/>
    <w:rsid w:val="00A54480"/>
    <w:rsid w:val="00A72F22"/>
    <w:rsid w:val="00A73040"/>
    <w:rsid w:val="00A748A6"/>
    <w:rsid w:val="00A75A47"/>
    <w:rsid w:val="00A75B6F"/>
    <w:rsid w:val="00A75EC9"/>
    <w:rsid w:val="00A8523D"/>
    <w:rsid w:val="00A879A4"/>
    <w:rsid w:val="00A87CAE"/>
    <w:rsid w:val="00A93914"/>
    <w:rsid w:val="00A93EFD"/>
    <w:rsid w:val="00AA04C0"/>
    <w:rsid w:val="00AC1D2F"/>
    <w:rsid w:val="00AD22A1"/>
    <w:rsid w:val="00AD4A2A"/>
    <w:rsid w:val="00AE06E2"/>
    <w:rsid w:val="00AE5C5F"/>
    <w:rsid w:val="00AF523B"/>
    <w:rsid w:val="00AF56F0"/>
    <w:rsid w:val="00B06A8F"/>
    <w:rsid w:val="00B16BC3"/>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B2918"/>
    <w:rsid w:val="00BC1BF4"/>
    <w:rsid w:val="00BC4EA5"/>
    <w:rsid w:val="00BC6399"/>
    <w:rsid w:val="00BC74E9"/>
    <w:rsid w:val="00BD0239"/>
    <w:rsid w:val="00BE618E"/>
    <w:rsid w:val="00BF169C"/>
    <w:rsid w:val="00BF7DE7"/>
    <w:rsid w:val="00C031EF"/>
    <w:rsid w:val="00C07513"/>
    <w:rsid w:val="00C07A73"/>
    <w:rsid w:val="00C26ECE"/>
    <w:rsid w:val="00C44E98"/>
    <w:rsid w:val="00C463DD"/>
    <w:rsid w:val="00C62F76"/>
    <w:rsid w:val="00C663E5"/>
    <w:rsid w:val="00C70190"/>
    <w:rsid w:val="00C73D15"/>
    <w:rsid w:val="00C745C3"/>
    <w:rsid w:val="00C91289"/>
    <w:rsid w:val="00C94877"/>
    <w:rsid w:val="00CA194F"/>
    <w:rsid w:val="00CA2FB6"/>
    <w:rsid w:val="00CA722D"/>
    <w:rsid w:val="00CB2FC3"/>
    <w:rsid w:val="00CB3924"/>
    <w:rsid w:val="00CB44CD"/>
    <w:rsid w:val="00CB4E01"/>
    <w:rsid w:val="00CB567B"/>
    <w:rsid w:val="00CC5473"/>
    <w:rsid w:val="00CD3225"/>
    <w:rsid w:val="00CD4DBA"/>
    <w:rsid w:val="00CD5FED"/>
    <w:rsid w:val="00CD6E3A"/>
    <w:rsid w:val="00CE277C"/>
    <w:rsid w:val="00CE3A30"/>
    <w:rsid w:val="00CE46BA"/>
    <w:rsid w:val="00CE4A8F"/>
    <w:rsid w:val="00CE56E5"/>
    <w:rsid w:val="00CE5C55"/>
    <w:rsid w:val="00CF438E"/>
    <w:rsid w:val="00CF5E82"/>
    <w:rsid w:val="00CF74F9"/>
    <w:rsid w:val="00CF7E49"/>
    <w:rsid w:val="00D12328"/>
    <w:rsid w:val="00D1524C"/>
    <w:rsid w:val="00D16675"/>
    <w:rsid w:val="00D2031B"/>
    <w:rsid w:val="00D25FE2"/>
    <w:rsid w:val="00D265D3"/>
    <w:rsid w:val="00D31BA1"/>
    <w:rsid w:val="00D40043"/>
    <w:rsid w:val="00D42E97"/>
    <w:rsid w:val="00D43252"/>
    <w:rsid w:val="00D46231"/>
    <w:rsid w:val="00D6027D"/>
    <w:rsid w:val="00D625F6"/>
    <w:rsid w:val="00D63ED2"/>
    <w:rsid w:val="00D66211"/>
    <w:rsid w:val="00D71E33"/>
    <w:rsid w:val="00D729F2"/>
    <w:rsid w:val="00D753D8"/>
    <w:rsid w:val="00D770FE"/>
    <w:rsid w:val="00D92235"/>
    <w:rsid w:val="00D948D6"/>
    <w:rsid w:val="00D96CC5"/>
    <w:rsid w:val="00D978C6"/>
    <w:rsid w:val="00DA10B3"/>
    <w:rsid w:val="00DA4AA3"/>
    <w:rsid w:val="00DA67AD"/>
    <w:rsid w:val="00DA6D5E"/>
    <w:rsid w:val="00DB33C3"/>
    <w:rsid w:val="00DB63BF"/>
    <w:rsid w:val="00DD3691"/>
    <w:rsid w:val="00DD62B9"/>
    <w:rsid w:val="00DE71E5"/>
    <w:rsid w:val="00DF1C31"/>
    <w:rsid w:val="00DF6FE9"/>
    <w:rsid w:val="00E130AB"/>
    <w:rsid w:val="00E1345B"/>
    <w:rsid w:val="00E1679E"/>
    <w:rsid w:val="00E25396"/>
    <w:rsid w:val="00E35FF6"/>
    <w:rsid w:val="00E511CB"/>
    <w:rsid w:val="00E55A9E"/>
    <w:rsid w:val="00E5644E"/>
    <w:rsid w:val="00E658BE"/>
    <w:rsid w:val="00E672F2"/>
    <w:rsid w:val="00E7260F"/>
    <w:rsid w:val="00E81230"/>
    <w:rsid w:val="00E8535A"/>
    <w:rsid w:val="00E877D6"/>
    <w:rsid w:val="00E96630"/>
    <w:rsid w:val="00E96952"/>
    <w:rsid w:val="00EA0C92"/>
    <w:rsid w:val="00EA3854"/>
    <w:rsid w:val="00EA50C2"/>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37DC5"/>
    <w:rsid w:val="00F40E75"/>
    <w:rsid w:val="00F52545"/>
    <w:rsid w:val="00F54674"/>
    <w:rsid w:val="00F608CD"/>
    <w:rsid w:val="00F638EE"/>
    <w:rsid w:val="00F65682"/>
    <w:rsid w:val="00F9407A"/>
    <w:rsid w:val="00FB521E"/>
    <w:rsid w:val="00FB7353"/>
    <w:rsid w:val="00FC48A3"/>
    <w:rsid w:val="00FC4B3F"/>
    <w:rsid w:val="00FC68B7"/>
    <w:rsid w:val="00FD6B2B"/>
    <w:rsid w:val="00FE4B06"/>
    <w:rsid w:val="00FF03BB"/>
    <w:rsid w:val="00FF179E"/>
    <w:rsid w:val="00FF314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5C"/>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qFormat/>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character" w:customStyle="1" w:styleId="H1GChar">
    <w:name w:val="_ H_1_G Char"/>
    <w:link w:val="H1G"/>
    <w:qFormat/>
    <w:locked/>
    <w:rsid w:val="00CA2FB6"/>
    <w:rPr>
      <w:b/>
      <w:sz w:val="24"/>
      <w:lang w:val="en-GB"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Ancredenotedebasdepage">
    <w:name w:val="Ancre de note de bas de page"/>
    <w:rsid w:val="00695B60"/>
    <w:rPr>
      <w:vertAlign w:val="superscript"/>
    </w:rPr>
  </w:style>
  <w:style w:type="paragraph" w:styleId="ListParagraph">
    <w:name w:val="List Paragraph"/>
    <w:basedOn w:val="Normal"/>
    <w:qFormat/>
    <w:rsid w:val="00913B0D"/>
    <w:pPr>
      <w:spacing w:after="200"/>
      <w:ind w:left="720"/>
      <w:contextualSpacing/>
    </w:pPr>
    <w:rPr>
      <w:color w:val="00000A"/>
    </w:rPr>
  </w:style>
  <w:style w:type="character" w:customStyle="1" w:styleId="LienInternet">
    <w:name w:val="Lien Internet"/>
    <w:uiPriority w:val="99"/>
    <w:rsid w:val="00913B0D"/>
    <w:rPr>
      <w:color w:val="00000A"/>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5C"/>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qFormat/>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character" w:customStyle="1" w:styleId="H1GChar">
    <w:name w:val="_ H_1_G Char"/>
    <w:link w:val="H1G"/>
    <w:qFormat/>
    <w:locked/>
    <w:rsid w:val="00CA2FB6"/>
    <w:rPr>
      <w:b/>
      <w:sz w:val="24"/>
      <w:lang w:val="en-GB"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Ancredenotedebasdepage">
    <w:name w:val="Ancre de note de bas de page"/>
    <w:rsid w:val="00695B60"/>
    <w:rPr>
      <w:vertAlign w:val="superscript"/>
    </w:rPr>
  </w:style>
  <w:style w:type="paragraph" w:styleId="ListParagraph">
    <w:name w:val="List Paragraph"/>
    <w:basedOn w:val="Normal"/>
    <w:qFormat/>
    <w:rsid w:val="00913B0D"/>
    <w:pPr>
      <w:spacing w:after="200"/>
      <w:ind w:left="720"/>
      <w:contextualSpacing/>
    </w:pPr>
    <w:rPr>
      <w:color w:val="00000A"/>
    </w:rPr>
  </w:style>
  <w:style w:type="character" w:customStyle="1" w:styleId="LienInternet">
    <w:name w:val="Lien Internet"/>
    <w:uiPriority w:val="99"/>
    <w:rsid w:val="00913B0D"/>
    <w:rPr>
      <w:color w:val="00000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095">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re.tc.faa.gov/pdf/TC-TN16-22.pdf"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ire.tc.faa.gov/pdf/TC-16-17.pdf" TargetMode="External"/><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re.tc.faa.gov/pdf/TC-16-37.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ire.tc.faa.gov/" TargetMode="External"/><Relationship Id="rId23" Type="http://schemas.openxmlformats.org/officeDocument/2006/relationships/footer" Target="footer1.xml"/><Relationship Id="rId10" Type="http://schemas.openxmlformats.org/officeDocument/2006/relationships/hyperlink" Target="http://www.prba.org/lithium-battery-transport-information/un-lithium-battery-working-group-on-classification/"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ciencedirect.com/science/article/pii/S0304389416306008"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B936-9B15-4019-B476-33ECEC60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440</TotalTime>
  <Pages>11</Pages>
  <Words>4238</Words>
  <Characters>23169</Characters>
  <Application>Microsoft Office Word</Application>
  <DocSecurity>0</DocSecurity>
  <Lines>404</Lines>
  <Paragraphs>123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33</cp:revision>
  <cp:lastPrinted>2017-04-21T09:17:00Z</cp:lastPrinted>
  <dcterms:created xsi:type="dcterms:W3CDTF">2017-04-03T14:17:00Z</dcterms:created>
  <dcterms:modified xsi:type="dcterms:W3CDTF">2017-04-21T09:18:00Z</dcterms:modified>
</cp:coreProperties>
</file>