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F01738">
        <w:trPr>
          <w:trHeight w:hRule="exact" w:val="851"/>
        </w:trPr>
        <w:tc>
          <w:tcPr>
            <w:tcW w:w="1276" w:type="dxa"/>
            <w:tcBorders>
              <w:bottom w:val="single" w:sz="4" w:space="0" w:color="auto"/>
            </w:tcBorders>
          </w:tcPr>
          <w:p w:rsidR="00132EA9" w:rsidRPr="00DB58B5" w:rsidRDefault="00132EA9" w:rsidP="00E040B9">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E040B9" w:rsidP="00E040B9">
            <w:pPr>
              <w:jc w:val="right"/>
            </w:pPr>
            <w:r w:rsidRPr="00E040B9">
              <w:rPr>
                <w:sz w:val="40"/>
              </w:rPr>
              <w:t>ST</w:t>
            </w:r>
            <w:r>
              <w:t>/SG/AC.10/C.3/2017/13</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val="en-GB" w:eastAsia="en-GB"/>
              </w:rPr>
              <w:drawing>
                <wp:inline distT="0" distB="0" distL="0" distR="0" wp14:anchorId="5B0FA79D" wp14:editId="029E19B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E040B9" w:rsidP="00F01738">
            <w:pPr>
              <w:spacing w:before="240"/>
            </w:pPr>
            <w:r>
              <w:t>Distr. générale</w:t>
            </w:r>
          </w:p>
          <w:p w:rsidR="00E040B9" w:rsidRDefault="00E040B9" w:rsidP="00E040B9">
            <w:pPr>
              <w:spacing w:line="240" w:lineRule="exact"/>
            </w:pPr>
            <w:r>
              <w:t>3 avril 2017</w:t>
            </w:r>
          </w:p>
          <w:p w:rsidR="00E040B9" w:rsidRDefault="00E040B9" w:rsidP="00E040B9">
            <w:pPr>
              <w:spacing w:line="240" w:lineRule="exact"/>
            </w:pPr>
            <w:r>
              <w:t>Français</w:t>
            </w:r>
          </w:p>
          <w:p w:rsidR="00E040B9" w:rsidRPr="00DB58B5" w:rsidRDefault="00E040B9" w:rsidP="00E040B9">
            <w:pPr>
              <w:spacing w:line="240" w:lineRule="exact"/>
            </w:pPr>
            <w:r>
              <w:t>Original : anglais</w:t>
            </w:r>
          </w:p>
        </w:tc>
      </w:tr>
    </w:tbl>
    <w:p w:rsidR="00E040B9" w:rsidRPr="00E20710" w:rsidRDefault="00E040B9" w:rsidP="00E040B9">
      <w:pPr>
        <w:spacing w:before="120" w:after="120"/>
        <w:rPr>
          <w:b/>
          <w:sz w:val="24"/>
          <w:szCs w:val="24"/>
        </w:rPr>
      </w:pPr>
      <w:r w:rsidRPr="00E20710">
        <w:rPr>
          <w:b/>
          <w:sz w:val="24"/>
          <w:szCs w:val="24"/>
        </w:rPr>
        <w:t>Comité d</w:t>
      </w:r>
      <w:r>
        <w:rPr>
          <w:b/>
          <w:sz w:val="24"/>
          <w:szCs w:val="24"/>
        </w:rPr>
        <w:t>’</w:t>
      </w:r>
      <w:r w:rsidRPr="00E20710">
        <w:rPr>
          <w:b/>
          <w:sz w:val="24"/>
          <w:szCs w:val="24"/>
        </w:rPr>
        <w:t>experts du transport</w:t>
      </w:r>
      <w:r>
        <w:rPr>
          <w:b/>
          <w:sz w:val="24"/>
          <w:szCs w:val="24"/>
        </w:rPr>
        <w:t xml:space="preserve"> </w:t>
      </w:r>
      <w:r w:rsidRPr="00E20710">
        <w:rPr>
          <w:b/>
          <w:sz w:val="24"/>
          <w:szCs w:val="24"/>
        </w:rPr>
        <w:t>des marchandises dangereuses</w:t>
      </w:r>
      <w:r>
        <w:rPr>
          <w:b/>
          <w:sz w:val="24"/>
          <w:szCs w:val="24"/>
        </w:rPr>
        <w:t xml:space="preserve"> </w:t>
      </w:r>
      <w:r w:rsidRPr="00883C0C">
        <w:rPr>
          <w:b/>
          <w:sz w:val="24"/>
          <w:szCs w:val="24"/>
        </w:rPr>
        <w:br/>
      </w:r>
      <w:r>
        <w:rPr>
          <w:b/>
          <w:sz w:val="24"/>
          <w:szCs w:val="24"/>
        </w:rPr>
        <w:t>e</w:t>
      </w:r>
      <w:r w:rsidRPr="00E20710">
        <w:rPr>
          <w:b/>
          <w:sz w:val="24"/>
          <w:szCs w:val="24"/>
        </w:rPr>
        <w:t>t</w:t>
      </w:r>
      <w:r>
        <w:rPr>
          <w:b/>
          <w:sz w:val="24"/>
          <w:szCs w:val="24"/>
        </w:rPr>
        <w:t xml:space="preserve"> </w:t>
      </w:r>
      <w:r w:rsidRPr="00E20710">
        <w:rPr>
          <w:b/>
          <w:sz w:val="24"/>
          <w:szCs w:val="24"/>
        </w:rPr>
        <w:t>du Système général harmonisé</w:t>
      </w:r>
      <w:r>
        <w:rPr>
          <w:b/>
          <w:sz w:val="24"/>
          <w:szCs w:val="24"/>
        </w:rPr>
        <w:t xml:space="preserve"> </w:t>
      </w:r>
      <w:r w:rsidRPr="00E20710">
        <w:rPr>
          <w:b/>
          <w:sz w:val="24"/>
          <w:szCs w:val="24"/>
        </w:rPr>
        <w:t>de classification</w:t>
      </w:r>
      <w:r>
        <w:rPr>
          <w:b/>
          <w:sz w:val="24"/>
          <w:szCs w:val="24"/>
        </w:rPr>
        <w:t xml:space="preserve"> </w:t>
      </w:r>
      <w:r w:rsidRPr="00E20710">
        <w:rPr>
          <w:b/>
          <w:sz w:val="24"/>
          <w:szCs w:val="24"/>
        </w:rPr>
        <w:t xml:space="preserve">et </w:t>
      </w:r>
      <w:r w:rsidRPr="00883C0C">
        <w:rPr>
          <w:b/>
          <w:sz w:val="24"/>
          <w:szCs w:val="24"/>
        </w:rPr>
        <w:br/>
      </w:r>
      <w:r w:rsidRPr="00E20710">
        <w:rPr>
          <w:b/>
          <w:sz w:val="24"/>
          <w:szCs w:val="24"/>
        </w:rPr>
        <w:t>d</w:t>
      </w:r>
      <w:r>
        <w:rPr>
          <w:b/>
          <w:sz w:val="24"/>
          <w:szCs w:val="24"/>
        </w:rPr>
        <w:t>’</w:t>
      </w:r>
      <w:r w:rsidRPr="00E20710">
        <w:rPr>
          <w:b/>
          <w:sz w:val="24"/>
          <w:szCs w:val="24"/>
        </w:rPr>
        <w:t>étiquetage</w:t>
      </w:r>
      <w:r>
        <w:rPr>
          <w:b/>
          <w:sz w:val="24"/>
          <w:szCs w:val="24"/>
        </w:rPr>
        <w:t xml:space="preserve"> </w:t>
      </w:r>
      <w:r w:rsidRPr="00E20710">
        <w:rPr>
          <w:b/>
          <w:sz w:val="24"/>
          <w:szCs w:val="24"/>
        </w:rPr>
        <w:t>des produits chimiques</w:t>
      </w:r>
    </w:p>
    <w:p w:rsidR="00E040B9" w:rsidRPr="00E20710" w:rsidRDefault="00E040B9" w:rsidP="00E040B9">
      <w:pPr>
        <w:spacing w:before="120"/>
        <w:rPr>
          <w:b/>
        </w:rPr>
      </w:pPr>
      <w:r w:rsidRPr="00E20710">
        <w:rPr>
          <w:b/>
        </w:rPr>
        <w:t>Sous-Comité d</w:t>
      </w:r>
      <w:r>
        <w:rPr>
          <w:b/>
        </w:rPr>
        <w:t>’</w:t>
      </w:r>
      <w:r w:rsidRPr="00E20710">
        <w:rPr>
          <w:b/>
        </w:rPr>
        <w:t xml:space="preserve">experts du transport </w:t>
      </w:r>
      <w:r w:rsidR="00EF7F7A">
        <w:rPr>
          <w:b/>
        </w:rPr>
        <w:br/>
      </w:r>
      <w:r w:rsidRPr="00E20710">
        <w:rPr>
          <w:b/>
        </w:rPr>
        <w:t>des marchandises dangereuses</w:t>
      </w:r>
    </w:p>
    <w:p w:rsidR="00E040B9" w:rsidRPr="00E20710" w:rsidRDefault="00E040B9" w:rsidP="00E040B9">
      <w:pPr>
        <w:spacing w:before="120"/>
        <w:rPr>
          <w:b/>
        </w:rPr>
      </w:pPr>
      <w:r w:rsidRPr="00E20710">
        <w:rPr>
          <w:b/>
        </w:rPr>
        <w:t>Cinquantième et unième session</w:t>
      </w:r>
    </w:p>
    <w:p w:rsidR="00E040B9" w:rsidRPr="00E20710" w:rsidRDefault="00E040B9" w:rsidP="00E040B9">
      <w:pPr>
        <w:rPr>
          <w:b/>
        </w:rPr>
      </w:pPr>
      <w:r w:rsidRPr="00E20710">
        <w:t xml:space="preserve">Genève, </w:t>
      </w:r>
      <w:r w:rsidRPr="00E20710">
        <w:rPr>
          <w:color w:val="333333"/>
        </w:rPr>
        <w:t>3-7 juillet 2017</w:t>
      </w:r>
      <w:r w:rsidRPr="00E20710">
        <w:rPr>
          <w:color w:val="333333"/>
        </w:rPr>
        <w:br/>
      </w:r>
      <w:r w:rsidRPr="00E20710">
        <w:t>Point 4 f) de l</w:t>
      </w:r>
      <w:r>
        <w:t>’</w:t>
      </w:r>
      <w:r w:rsidRPr="00E20710">
        <w:t>ordre du jour provisoire</w:t>
      </w:r>
      <w:r w:rsidRPr="00E20710">
        <w:rPr>
          <w:b/>
        </w:rPr>
        <w:br/>
      </w:r>
      <w:r w:rsidRPr="00E20710">
        <w:rPr>
          <w:b/>
          <w:bCs/>
        </w:rPr>
        <w:t>Systèmes de stockage de l</w:t>
      </w:r>
      <w:r>
        <w:rPr>
          <w:b/>
          <w:bCs/>
        </w:rPr>
        <w:t>’</w:t>
      </w:r>
      <w:r w:rsidRPr="00E20710">
        <w:rPr>
          <w:b/>
          <w:bCs/>
        </w:rPr>
        <w:t>électricité</w:t>
      </w:r>
      <w:r>
        <w:rPr>
          <w:b/>
          <w:bCs/>
        </w:rPr>
        <w:t> :</w:t>
      </w:r>
      <w:r w:rsidRPr="00E20710">
        <w:rPr>
          <w:b/>
          <w:bCs/>
        </w:rPr>
        <w:t xml:space="preserve"> </w:t>
      </w:r>
      <w:r w:rsidR="00EF7F7A">
        <w:rPr>
          <w:b/>
          <w:bCs/>
        </w:rPr>
        <w:br/>
      </w:r>
      <w:r w:rsidRPr="00E20710">
        <w:rPr>
          <w:b/>
          <w:bCs/>
        </w:rPr>
        <w:t>questions diverses</w:t>
      </w:r>
    </w:p>
    <w:p w:rsidR="00E040B9" w:rsidRPr="00F3008F" w:rsidRDefault="00E040B9" w:rsidP="00EF7F7A">
      <w:pPr>
        <w:pStyle w:val="HChG"/>
      </w:pPr>
      <w:r w:rsidRPr="00E20710">
        <w:tab/>
      </w:r>
      <w:r w:rsidRPr="00E20710">
        <w:tab/>
      </w:r>
      <w:r>
        <w:t xml:space="preserve">Dérogation concernant </w:t>
      </w:r>
      <w:r w:rsidRPr="00F3008F">
        <w:t>les</w:t>
      </w:r>
      <w:r>
        <w:t xml:space="preserve"> dispositifs de localis</w:t>
      </w:r>
      <w:r w:rsidRPr="00F3008F">
        <w:t xml:space="preserve">ation </w:t>
      </w:r>
      <w:r w:rsidRPr="00E20710">
        <w:br/>
      </w:r>
      <w:r w:rsidRPr="00F3008F">
        <w:t xml:space="preserve">des marchandises et les enregistreurs de données </w:t>
      </w:r>
      <w:r w:rsidRPr="00E20710">
        <w:br/>
      </w:r>
      <w:r>
        <w:t>alimentés par batterie au lithium</w:t>
      </w:r>
    </w:p>
    <w:p w:rsidR="00E040B9" w:rsidRPr="00F3008F" w:rsidRDefault="00E040B9" w:rsidP="00EF7F7A">
      <w:pPr>
        <w:pStyle w:val="H1G"/>
      </w:pPr>
      <w:r w:rsidRPr="00F3008F">
        <w:tab/>
      </w:r>
      <w:r w:rsidRPr="00F3008F">
        <w:tab/>
        <w:t>Communication de l</w:t>
      </w:r>
      <w:r>
        <w:t>’</w:t>
      </w:r>
      <w:r w:rsidRPr="00F3008F">
        <w:t>expert de l</w:t>
      </w:r>
      <w:r>
        <w:t>’</w:t>
      </w:r>
      <w:r w:rsidRPr="00F3008F">
        <w:t>Allemagne et de l</w:t>
      </w:r>
      <w:r>
        <w:t>’</w:t>
      </w:r>
      <w:r w:rsidRPr="00F3008F">
        <w:t>Association du</w:t>
      </w:r>
      <w:r w:rsidR="00EF7F7A">
        <w:t> </w:t>
      </w:r>
      <w:r w:rsidRPr="00F3008F">
        <w:t>transport aérien international (IATA)</w:t>
      </w:r>
      <w:r w:rsidR="00EF7F7A" w:rsidRPr="00EF7F7A">
        <w:rPr>
          <w:rStyle w:val="FootnoteReference"/>
          <w:b w:val="0"/>
          <w:sz w:val="20"/>
          <w:vertAlign w:val="baseline"/>
        </w:rPr>
        <w:footnoteReference w:customMarkFollows="1" w:id="2"/>
        <w:t>*</w:t>
      </w:r>
    </w:p>
    <w:p w:rsidR="00E040B9" w:rsidRPr="00883C0C" w:rsidRDefault="00E040B9" w:rsidP="00EF7F7A">
      <w:pPr>
        <w:pStyle w:val="HChG"/>
      </w:pPr>
      <w:r w:rsidRPr="00F3008F">
        <w:tab/>
      </w:r>
      <w:r w:rsidRPr="00F3008F">
        <w:tab/>
      </w:r>
      <w:r w:rsidRPr="00883C0C">
        <w:t>Introduction</w:t>
      </w:r>
    </w:p>
    <w:p w:rsidR="00E040B9" w:rsidRPr="003B7ED4" w:rsidRDefault="00E040B9" w:rsidP="00EF7F7A">
      <w:pPr>
        <w:pStyle w:val="ParNoG"/>
      </w:pPr>
      <w:r w:rsidRPr="003B7ED4">
        <w:t>Lors de la cinquantième session du Sous-Comité d</w:t>
      </w:r>
      <w:r>
        <w:t>’</w:t>
      </w:r>
      <w:r w:rsidRPr="003B7ED4">
        <w:t>experts du transport des marchandises dangereuses, l</w:t>
      </w:r>
      <w:r>
        <w:t>’</w:t>
      </w:r>
      <w:r w:rsidRPr="003B7ED4">
        <w:t>expert de l</w:t>
      </w:r>
      <w:r>
        <w:t>’</w:t>
      </w:r>
      <w:r w:rsidRPr="003B7ED4">
        <w:t xml:space="preserve">Allemagne a présenté une proposition visant à ajouter une nouvelle section 5.5.1 </w:t>
      </w:r>
      <w:r>
        <w:t xml:space="preserve">afin de tenir compte des engins de transport équipés de dispositifs de localisation </w:t>
      </w:r>
      <w:r w:rsidRPr="00F0466A">
        <w:t xml:space="preserve">alimentés par batterie au lithium </w:t>
      </w:r>
      <w:r w:rsidRPr="003B7ED4">
        <w:t>(</w:t>
      </w:r>
      <w:r>
        <w:t>voir</w:t>
      </w:r>
      <w:r w:rsidRPr="003B7ED4">
        <w:t xml:space="preserve"> ST/SG/AC.10/</w:t>
      </w:r>
      <w:r w:rsidR="00EF7F7A">
        <w:br/>
      </w:r>
      <w:r w:rsidRPr="003B7ED4">
        <w:t>C.3/2016/56).</w:t>
      </w:r>
    </w:p>
    <w:p w:rsidR="00E040B9" w:rsidRPr="00E91791" w:rsidRDefault="00E040B9" w:rsidP="00EF7F7A">
      <w:pPr>
        <w:pStyle w:val="ParNoG"/>
        <w:tabs>
          <w:tab w:val="clear" w:pos="1701"/>
        </w:tabs>
        <w:rPr>
          <w:rFonts w:ascii="TimesNewRomanPSMT" w:hAnsi="TimesNewRomanPSMT" w:cs="TimesNewRomanPSMT"/>
          <w:lang w:eastAsia="en-GB"/>
        </w:rPr>
      </w:pPr>
      <w:r w:rsidRPr="00CA4998">
        <w:t>Les avis sur cette proposition ont été partagés, certains experts craignant qu</w:t>
      </w:r>
      <w:r>
        <w:t>’</w:t>
      </w:r>
      <w:r w:rsidRPr="00CA4998">
        <w:t xml:space="preserve">elle porte trop exclusivement sur la prise en compte des dispositifs de localisation </w:t>
      </w:r>
      <w:r>
        <w:t>équipant les engins de transport et ne vise pas les dispositifs de localisation fixés à l’extérieur des colis ou des suremballages</w:t>
      </w:r>
      <w:r w:rsidRPr="00CA4998">
        <w:t>.</w:t>
      </w:r>
      <w:r>
        <w:t xml:space="preserve"> Par ailleurs, certains se sont dits préoccupés par la nécessité d’imposer </w:t>
      </w:r>
      <w:r w:rsidRPr="00E91791">
        <w:t>des prescriptions visant les batteries au lithium contenu</w:t>
      </w:r>
      <w:r>
        <w:t>es</w:t>
      </w:r>
      <w:r w:rsidRPr="00E91791">
        <w:t xml:space="preserve"> dans les dispositifs de</w:t>
      </w:r>
      <w:r w:rsidR="00E94AD3">
        <w:t> </w:t>
      </w:r>
      <w:r w:rsidRPr="00E91791">
        <w:t>localisation.</w:t>
      </w:r>
    </w:p>
    <w:p w:rsidR="00E040B9" w:rsidRPr="00F05A43" w:rsidRDefault="00E040B9" w:rsidP="00EF7F7A">
      <w:pPr>
        <w:pStyle w:val="ParNoG"/>
        <w:tabs>
          <w:tab w:val="clear" w:pos="1701"/>
        </w:tabs>
        <w:rPr>
          <w:rFonts w:ascii="TimesNewRomanPSMT" w:hAnsi="TimesNewRomanPSMT" w:cs="TimesNewRomanPSMT"/>
          <w:lang w:eastAsia="en-GB"/>
        </w:rPr>
      </w:pPr>
      <w:r w:rsidRPr="00F05A43">
        <w:rPr>
          <w:rFonts w:ascii="TimesNewRomanPSMT" w:hAnsi="TimesNewRomanPSMT" w:cs="TimesNewRomanPSMT"/>
          <w:lang w:eastAsia="en-GB"/>
        </w:rPr>
        <w:t xml:space="preserve">Le présent document tient compte des observations formulées </w:t>
      </w:r>
      <w:r w:rsidRPr="00F05A43">
        <w:t xml:space="preserve">lors de la cinquantième session et propose </w:t>
      </w:r>
      <w:r>
        <w:t xml:space="preserve">plutôt </w:t>
      </w:r>
      <w:r w:rsidRPr="00F05A43">
        <w:t>d</w:t>
      </w:r>
      <w:r>
        <w:t>’</w:t>
      </w:r>
      <w:r w:rsidRPr="00F05A43">
        <w:t>ajouter une clause aux</w:t>
      </w:r>
      <w:r>
        <w:t xml:space="preserve"> dérogations </w:t>
      </w:r>
      <w:r w:rsidRPr="00F05A43">
        <w:t xml:space="preserve">actuelles au Règlement énoncées au paragraphe </w:t>
      </w:r>
      <w:r w:rsidRPr="00F05A43">
        <w:rPr>
          <w:rFonts w:ascii="TimesNewRomanPSMT" w:hAnsi="TimesNewRomanPSMT" w:cs="TimesNewRomanPSMT"/>
          <w:lang w:eastAsia="en-GB"/>
        </w:rPr>
        <w:t xml:space="preserve">1.1.1.2 </w:t>
      </w:r>
      <w:r>
        <w:rPr>
          <w:rFonts w:ascii="TimesNewRomanPSMT" w:hAnsi="TimesNewRomanPSMT" w:cs="TimesNewRomanPSMT"/>
          <w:lang w:eastAsia="en-GB"/>
        </w:rPr>
        <w:t>afin d’inclure les dispositifs de localisation des marchandises et les enregistreurs de données qui sont alimentés par des batteries au lithium</w:t>
      </w:r>
      <w:r w:rsidRPr="00F05A43">
        <w:rPr>
          <w:rFonts w:ascii="TimesNewRomanPSMT" w:hAnsi="TimesNewRomanPSMT" w:cs="TimesNewRomanPSMT"/>
          <w:lang w:eastAsia="en-GB"/>
        </w:rPr>
        <w:t xml:space="preserve">. </w:t>
      </w:r>
    </w:p>
    <w:p w:rsidR="00E040B9" w:rsidRPr="00F05A43" w:rsidRDefault="00E040B9" w:rsidP="00EF7F7A">
      <w:pPr>
        <w:pStyle w:val="ParNoG"/>
        <w:tabs>
          <w:tab w:val="clear" w:pos="1701"/>
        </w:tabs>
      </w:pPr>
      <w:r w:rsidRPr="00F05A43">
        <w:rPr>
          <w:rFonts w:ascii="TimesNewRomanPSMT" w:hAnsi="TimesNewRomanPSMT" w:cs="TimesNewRomanPSMT"/>
          <w:lang w:eastAsia="en-GB"/>
        </w:rPr>
        <w:lastRenderedPageBreak/>
        <w:t xml:space="preserve">Pour répondre aux préoccupations exprimées </w:t>
      </w:r>
      <w:r w:rsidRPr="00F05A43">
        <w:t>lors de la cinquantième session</w:t>
      </w:r>
      <w:r w:rsidRPr="00F05A43">
        <w:rPr>
          <w:rFonts w:ascii="TimesNewRomanPSMT" w:hAnsi="TimesNewRomanPSMT" w:cs="TimesNewRomanPSMT"/>
          <w:lang w:eastAsia="en-GB"/>
        </w:rPr>
        <w:t xml:space="preserve"> en raison du fait que les</w:t>
      </w:r>
      <w:r>
        <w:rPr>
          <w:rFonts w:ascii="TimesNewRomanPSMT" w:hAnsi="TimesNewRomanPSMT" w:cs="TimesNewRomanPSMT"/>
          <w:lang w:eastAsia="en-GB"/>
        </w:rPr>
        <w:t xml:space="preserve"> appareils </w:t>
      </w:r>
      <w:r w:rsidRPr="00F05A43">
        <w:rPr>
          <w:rFonts w:ascii="TimesNewRomanPSMT" w:hAnsi="TimesNewRomanPSMT" w:cs="TimesNewRomanPSMT"/>
          <w:lang w:eastAsia="en-GB"/>
        </w:rPr>
        <w:t xml:space="preserve">de localisation des marchandises peuvent contenir </w:t>
      </w:r>
      <w:r>
        <w:rPr>
          <w:rFonts w:ascii="TimesNewRomanPSMT" w:hAnsi="TimesNewRomanPSMT" w:cs="TimesNewRomanPSMT"/>
          <w:lang w:eastAsia="en-GB"/>
        </w:rPr>
        <w:t xml:space="preserve">de grandes batteries au lithium, il est proposé de n’autoriser dans ces appareils que des piles ou batteries au lithium </w:t>
      </w:r>
      <w:r w:rsidRPr="00D41EB5">
        <w:rPr>
          <w:rFonts w:ascii="TimesNewRomanPSMT" w:hAnsi="TimesNewRomanPSMT" w:cs="TimesNewRomanPSMT"/>
          <w:lang w:eastAsia="en-GB"/>
        </w:rPr>
        <w:t xml:space="preserve">satisfaisant à la disposition spéciale </w:t>
      </w:r>
      <w:r w:rsidR="00EF7F7A">
        <w:rPr>
          <w:rFonts w:ascii="TimesNewRomanPSMT" w:hAnsi="TimesNewRomanPSMT" w:cs="TimesNewRomanPSMT"/>
          <w:lang w:eastAsia="en-GB"/>
        </w:rPr>
        <w:t>188 </w:t>
      </w:r>
      <w:r>
        <w:rPr>
          <w:rFonts w:ascii="TimesNewRomanPSMT" w:hAnsi="TimesNewRomanPSMT" w:cs="TimesNewRomanPSMT"/>
          <w:lang w:eastAsia="en-GB"/>
        </w:rPr>
        <w:t xml:space="preserve">a) ou </w:t>
      </w:r>
      <w:r w:rsidRPr="00F05A43">
        <w:rPr>
          <w:rFonts w:ascii="TimesNewRomanPSMT" w:hAnsi="TimesNewRomanPSMT" w:cs="TimesNewRomanPSMT"/>
          <w:lang w:eastAsia="en-GB"/>
        </w:rPr>
        <w:t>b)</w:t>
      </w:r>
      <w:r>
        <w:rPr>
          <w:rFonts w:ascii="TimesNewRomanPSMT" w:hAnsi="TimesNewRomanPSMT" w:cs="TimesNewRomanPSMT"/>
          <w:lang w:eastAsia="en-GB"/>
        </w:rPr>
        <w:t> ; en outre, les piles et batteries doivent satisfaire aux dispositions du paragraphe</w:t>
      </w:r>
      <w:r w:rsidRPr="00F05A43">
        <w:rPr>
          <w:rFonts w:ascii="TimesNewRomanPSMT" w:hAnsi="TimesNewRomanPSMT" w:cs="TimesNewRomanPSMT"/>
          <w:lang w:eastAsia="en-GB"/>
        </w:rPr>
        <w:t xml:space="preserve"> </w:t>
      </w:r>
      <w:r w:rsidR="00EF7F7A">
        <w:rPr>
          <w:rFonts w:ascii="TimesNewRomanPSMT" w:hAnsi="TimesNewRomanPSMT" w:cs="TimesNewRomanPSMT"/>
          <w:lang w:eastAsia="en-GB"/>
        </w:rPr>
        <w:t>2.9.4 </w:t>
      </w:r>
      <w:r w:rsidRPr="00F05A43">
        <w:rPr>
          <w:rFonts w:ascii="TimesNewRomanPSMT" w:hAnsi="TimesNewRomanPSMT" w:cs="TimesNewRomanPSMT"/>
          <w:lang w:eastAsia="en-GB"/>
        </w:rPr>
        <w:t xml:space="preserve">a) </w:t>
      </w:r>
      <w:r>
        <w:rPr>
          <w:rFonts w:ascii="TimesNewRomanPSMT" w:hAnsi="TimesNewRomanPSMT" w:cs="TimesNewRomanPSMT"/>
          <w:lang w:eastAsia="en-GB"/>
        </w:rPr>
        <w:t xml:space="preserve">et </w:t>
      </w:r>
      <w:r w:rsidRPr="00F05A43">
        <w:rPr>
          <w:rFonts w:ascii="TimesNewRomanPSMT" w:hAnsi="TimesNewRomanPSMT" w:cs="TimesNewRomanPSMT"/>
          <w:lang w:eastAsia="en-GB"/>
        </w:rPr>
        <w:t>e).</w:t>
      </w:r>
    </w:p>
    <w:p w:rsidR="00E040B9" w:rsidRPr="00632F33" w:rsidRDefault="00E040B9" w:rsidP="00EF7F7A">
      <w:pPr>
        <w:pStyle w:val="ParNoG"/>
        <w:tabs>
          <w:tab w:val="clear" w:pos="1701"/>
        </w:tabs>
      </w:pPr>
      <w:r w:rsidRPr="00632F33">
        <w:t xml:space="preserve">Sachant que </w:t>
      </w:r>
      <w:r w:rsidRPr="00632F33">
        <w:rPr>
          <w:rFonts w:ascii="TimesNewRomanPSMT" w:hAnsi="TimesNewRomanPSMT" w:cs="TimesNewRomanPSMT"/>
          <w:lang w:eastAsia="en-GB"/>
        </w:rPr>
        <w:t xml:space="preserve">les dispositifs de </w:t>
      </w:r>
      <w:r w:rsidRPr="00EF7F7A">
        <w:t>localisation</w:t>
      </w:r>
      <w:r w:rsidRPr="00632F33">
        <w:rPr>
          <w:rFonts w:ascii="TimesNewRomanPSMT" w:hAnsi="TimesNewRomanPSMT" w:cs="TimesNewRomanPSMT"/>
          <w:lang w:eastAsia="en-GB"/>
        </w:rPr>
        <w:t xml:space="preserve"> des marchandises et les enregistreurs de données</w:t>
      </w:r>
      <w:r w:rsidRPr="00632F33">
        <w:t xml:space="preserve"> peuvent ne pas être simplement fixés à l</w:t>
      </w:r>
      <w:r>
        <w:t>’</w:t>
      </w:r>
      <w:r w:rsidRPr="00632F33">
        <w:t>engin de transport, les enregistreurs de données en particulier étant largement utilisés par l</w:t>
      </w:r>
      <w:r>
        <w:t>’</w:t>
      </w:r>
      <w:r w:rsidRPr="00632F33">
        <w:t>industrie pharmaceutique et pouvant être fixés à l</w:t>
      </w:r>
      <w:r>
        <w:t>’</w:t>
      </w:r>
      <w:r w:rsidRPr="00632F33">
        <w:t xml:space="preserve">extérieur des colis ou des suremballages, le texte proposé </w:t>
      </w:r>
      <w:r>
        <w:t>étend</w:t>
      </w:r>
      <w:r w:rsidRPr="00632F33">
        <w:t xml:space="preserve"> également l</w:t>
      </w:r>
      <w:r>
        <w:t>a dérogation aux dispositifs fixés à l’extérieur des colis et des suremballage</w:t>
      </w:r>
      <w:r w:rsidR="00E94AD3">
        <w:t>s.</w:t>
      </w:r>
    </w:p>
    <w:p w:rsidR="00E040B9" w:rsidRPr="00D21F77" w:rsidRDefault="00E040B9" w:rsidP="00EF7F7A">
      <w:pPr>
        <w:pStyle w:val="H1G"/>
      </w:pPr>
      <w:r w:rsidRPr="00632F33">
        <w:tab/>
      </w:r>
      <w:r w:rsidRPr="00632F33">
        <w:tab/>
      </w:r>
      <w:r w:rsidRPr="00D21F77">
        <w:t>Proposition</w:t>
      </w:r>
    </w:p>
    <w:p w:rsidR="00E040B9" w:rsidRPr="00EF7F7A" w:rsidRDefault="00E040B9" w:rsidP="00EF7F7A">
      <w:pPr>
        <w:pStyle w:val="ParNoG"/>
        <w:tabs>
          <w:tab w:val="clear" w:pos="1701"/>
        </w:tabs>
        <w:rPr>
          <w:spacing w:val="-2"/>
        </w:rPr>
      </w:pPr>
      <w:r w:rsidRPr="00EF7F7A">
        <w:rPr>
          <w:spacing w:val="-2"/>
        </w:rPr>
        <w:t>Le Sous-Comité est invité à envisager de remanier le paragraphe 1.1.1.2 comme suit :</w:t>
      </w:r>
    </w:p>
    <w:p w:rsidR="00E040B9" w:rsidRPr="00EF7F7A" w:rsidRDefault="00EF7F7A" w:rsidP="00EF7F7A">
      <w:pPr>
        <w:pStyle w:val="SingleTxtG"/>
        <w:ind w:left="2835" w:hanging="1134"/>
        <w:rPr>
          <w:b/>
        </w:rPr>
      </w:pPr>
      <w:r>
        <w:rPr>
          <w:b/>
        </w:rPr>
        <w:t>1.1.1</w:t>
      </w:r>
      <w:r w:rsidR="00E040B9" w:rsidRPr="00EF7F7A">
        <w:rPr>
          <w:b/>
        </w:rPr>
        <w:tab/>
        <w:t>Champ d’application</w:t>
      </w:r>
    </w:p>
    <w:p w:rsidR="00E040B9" w:rsidRPr="00D21F77" w:rsidRDefault="00EF7F7A" w:rsidP="00EF7F7A">
      <w:pPr>
        <w:pStyle w:val="SingleTxtG"/>
        <w:tabs>
          <w:tab w:val="left" w:pos="2835"/>
        </w:tabs>
        <w:ind w:left="1701"/>
      </w:pPr>
      <w:r>
        <w:t>1.1.1.1</w:t>
      </w:r>
      <w:r w:rsidR="00E040B9" w:rsidRPr="00D21F77">
        <w:tab/>
        <w:t>Le présent Règlement énonce les dispositions détaillées s</w:t>
      </w:r>
      <w:r w:rsidR="00E040B9">
        <w:t>’</w:t>
      </w:r>
      <w:r w:rsidR="00E040B9" w:rsidRPr="00D21F77">
        <w:t>appliquant au transport des marchandises dangereuses. Sauf dérogation prévue dans le présent Règlement, il ne doit pas être présenté ni accepté de marchandises dangereuses au transport, si ces marchandises ne sont pas correctement classées, emballées, marquées, étiquetées, placardées, décrites et certifiées sur un document de transport et à tous autres égards conformes aux conditions de transport prévues dans le présent Règlement.</w:t>
      </w:r>
    </w:p>
    <w:p w:rsidR="00E040B9" w:rsidRPr="00EF7F7A" w:rsidRDefault="00E040B9" w:rsidP="00EF7F7A">
      <w:pPr>
        <w:pStyle w:val="SingleTxtG"/>
        <w:tabs>
          <w:tab w:val="left" w:pos="2835"/>
        </w:tabs>
        <w:ind w:left="1701"/>
        <w:rPr>
          <w:spacing w:val="-2"/>
        </w:rPr>
      </w:pPr>
      <w:r w:rsidRPr="00D21F77">
        <w:t>1.1.1.2</w:t>
      </w:r>
      <w:r w:rsidRPr="00D21F77">
        <w:tab/>
      </w:r>
      <w:r w:rsidRPr="00EF7F7A">
        <w:rPr>
          <w:spacing w:val="-2"/>
        </w:rPr>
        <w:t>Les dispositions du présent Règlement ne s’appliquent pas au transport :</w:t>
      </w:r>
    </w:p>
    <w:p w:rsidR="00E040B9" w:rsidRPr="00D21F77" w:rsidRDefault="00E040B9" w:rsidP="00EF7F7A">
      <w:pPr>
        <w:pStyle w:val="SingleTxtG"/>
        <w:ind w:left="2835"/>
      </w:pPr>
      <w:r w:rsidRPr="00D21F77">
        <w:t>a)</w:t>
      </w:r>
      <w:r w:rsidRPr="00D21F77">
        <w:tab/>
      </w:r>
      <w:r w:rsidR="00EF7F7A" w:rsidRPr="00D21F77">
        <w:t xml:space="preserve">De </w:t>
      </w:r>
      <w:r w:rsidRPr="00D21F77">
        <w:t>marchandises dangereuses qui sont nécessaires à la propulsion des engins de transport ou au fonctionnement de leur équipement spécialisé pendant le transport (groupes frigorifiques par exemple) ou qui sont requises du fait des règlements d</w:t>
      </w:r>
      <w:r>
        <w:t>’</w:t>
      </w:r>
      <w:r w:rsidRPr="00D21F77">
        <w:t>exploitation (extincteurs par exemple)</w:t>
      </w:r>
      <w:r>
        <w:t> ;</w:t>
      </w:r>
      <w:r w:rsidRPr="00D21F77">
        <w:t xml:space="preserve"> </w:t>
      </w:r>
    </w:p>
    <w:p w:rsidR="00E040B9" w:rsidRPr="00446419" w:rsidRDefault="00E040B9" w:rsidP="00EF7F7A">
      <w:pPr>
        <w:pStyle w:val="SingleTxtG"/>
        <w:ind w:left="2835"/>
      </w:pPr>
      <w:r w:rsidRPr="00446419">
        <w:t>b)</w:t>
      </w:r>
      <w:r w:rsidRPr="00446419">
        <w:tab/>
      </w:r>
      <w:r w:rsidR="00EF7F7A" w:rsidRPr="00446419">
        <w:t xml:space="preserve">De </w:t>
      </w:r>
      <w:r w:rsidRPr="00446419">
        <w:t>marchandises dangereuses dans leur emballage de vente au détail, qui sont transportées par des particuliers pour leur usage personnel</w:t>
      </w:r>
      <w:r>
        <w:t> ;</w:t>
      </w:r>
      <w:r w:rsidRPr="00446419">
        <w:t xml:space="preserve"> </w:t>
      </w:r>
      <w:r>
        <w:t>et</w:t>
      </w:r>
    </w:p>
    <w:p w:rsidR="00E040B9" w:rsidRPr="00D8744A" w:rsidRDefault="00E040B9" w:rsidP="00EF7F7A">
      <w:pPr>
        <w:pStyle w:val="SingleTxtG"/>
        <w:ind w:left="2835"/>
        <w:rPr>
          <w:u w:val="single"/>
        </w:rPr>
      </w:pPr>
      <w:r w:rsidRPr="00D8744A">
        <w:rPr>
          <w:u w:val="single"/>
        </w:rPr>
        <w:t>c)</w:t>
      </w:r>
      <w:r w:rsidRPr="00D8744A">
        <w:rPr>
          <w:u w:val="single"/>
        </w:rPr>
        <w:tab/>
      </w:r>
      <w:r w:rsidR="00EF7F7A" w:rsidRPr="00D8744A">
        <w:rPr>
          <w:u w:val="single"/>
        </w:rPr>
        <w:t xml:space="preserve">Des </w:t>
      </w:r>
      <w:r w:rsidRPr="00D8744A">
        <w:rPr>
          <w:rFonts w:ascii="TimesNewRomanPSMT" w:hAnsi="TimesNewRomanPSMT" w:cs="TimesNewRomanPSMT"/>
          <w:u w:val="single"/>
          <w:lang w:eastAsia="en-GB"/>
        </w:rPr>
        <w:t>dispositifs de localisation des marchandises et enregistreurs de données</w:t>
      </w:r>
      <w:r w:rsidRPr="00D8744A">
        <w:rPr>
          <w:u w:val="single"/>
        </w:rPr>
        <w:t xml:space="preserve"> </w:t>
      </w:r>
      <w:r w:rsidRPr="00D8744A">
        <w:rPr>
          <w:rFonts w:ascii="TimesNewRomanPSMT" w:hAnsi="TimesNewRomanPSMT" w:cs="TimesNewRomanPSMT"/>
          <w:u w:val="single"/>
          <w:lang w:eastAsia="en-GB"/>
        </w:rPr>
        <w:t>alimentés par batterie au lithium</w:t>
      </w:r>
      <w:r w:rsidRPr="00D8744A">
        <w:rPr>
          <w:u w:val="single"/>
        </w:rPr>
        <w:t xml:space="preserve"> fixés aux colis, suremballages ou engins de transport si ces appareils remplissent les conditions suivantes</w:t>
      </w:r>
      <w:r>
        <w:rPr>
          <w:u w:val="single"/>
        </w:rPr>
        <w:t> :</w:t>
      </w:r>
    </w:p>
    <w:p w:rsidR="00E040B9" w:rsidRPr="00EF7F7A" w:rsidRDefault="00E040B9" w:rsidP="00EF7F7A">
      <w:pPr>
        <w:pStyle w:val="SingleTxtG"/>
        <w:ind w:left="3402"/>
        <w:rPr>
          <w:u w:val="single"/>
        </w:rPr>
      </w:pPr>
      <w:r w:rsidRPr="00EF7F7A">
        <w:rPr>
          <w:u w:val="single"/>
        </w:rPr>
        <w:t>1.</w:t>
      </w:r>
      <w:r w:rsidRPr="00EF7F7A">
        <w:rPr>
          <w:u w:val="single"/>
        </w:rPr>
        <w:tab/>
        <w:t xml:space="preserve">Chaque </w:t>
      </w:r>
      <w:r w:rsidRPr="00EF7F7A">
        <w:rPr>
          <w:u w:val="single"/>
          <w:lang w:eastAsia="en-GB"/>
        </w:rPr>
        <w:t xml:space="preserve">pile ou </w:t>
      </w:r>
      <w:r w:rsidRPr="00EF7F7A">
        <w:rPr>
          <w:u w:val="single"/>
        </w:rPr>
        <w:t>batterie</w:t>
      </w:r>
      <w:r w:rsidRPr="00EF7F7A">
        <w:rPr>
          <w:u w:val="single"/>
          <w:lang w:eastAsia="en-GB"/>
        </w:rPr>
        <w:t xml:space="preserve"> doit satisfaire aux d</w:t>
      </w:r>
      <w:r w:rsidR="00EF7F7A">
        <w:rPr>
          <w:u w:val="single"/>
          <w:lang w:eastAsia="en-GB"/>
        </w:rPr>
        <w:t>ispositions du paragraphe 2.9.4 </w:t>
      </w:r>
      <w:r w:rsidRPr="00EF7F7A">
        <w:rPr>
          <w:u w:val="single"/>
          <w:lang w:eastAsia="en-GB"/>
        </w:rPr>
        <w:t>a) et e)</w:t>
      </w:r>
      <w:r w:rsidRPr="00EF7F7A">
        <w:rPr>
          <w:u w:val="single"/>
        </w:rPr>
        <w:t> ;</w:t>
      </w:r>
    </w:p>
    <w:p w:rsidR="00E040B9" w:rsidRPr="00EF7F7A" w:rsidRDefault="00E040B9" w:rsidP="00EF7F7A">
      <w:pPr>
        <w:pStyle w:val="SingleTxtG"/>
        <w:ind w:left="3402"/>
        <w:rPr>
          <w:u w:val="single"/>
        </w:rPr>
      </w:pPr>
      <w:r w:rsidRPr="00EF7F7A">
        <w:rPr>
          <w:u w:val="single"/>
        </w:rPr>
        <w:t>2.</w:t>
      </w:r>
      <w:r w:rsidRPr="00EF7F7A">
        <w:rPr>
          <w:u w:val="single"/>
        </w:rPr>
        <w:tab/>
        <w:t xml:space="preserve">La teneur en lithium métal ou la capacité en </w:t>
      </w:r>
      <w:proofErr w:type="spellStart"/>
      <w:r w:rsidRPr="00EF7F7A">
        <w:rPr>
          <w:u w:val="single"/>
        </w:rPr>
        <w:t>Watt-heures</w:t>
      </w:r>
      <w:proofErr w:type="spellEnd"/>
      <w:r w:rsidRPr="00EF7F7A">
        <w:rPr>
          <w:u w:val="single"/>
        </w:rPr>
        <w:t xml:space="preserve"> des piles et des batteries ne doivent pas dépasser les limites spécifiées dans </w:t>
      </w:r>
      <w:r w:rsidR="00EF7F7A">
        <w:rPr>
          <w:u w:val="single"/>
        </w:rPr>
        <w:t>la disposition spéciale 188 </w:t>
      </w:r>
      <w:r w:rsidRPr="00EF7F7A">
        <w:rPr>
          <w:u w:val="single"/>
        </w:rPr>
        <w:t>a) et b), selon le cas ; et</w:t>
      </w:r>
    </w:p>
    <w:p w:rsidR="00E040B9" w:rsidRPr="00EF7F7A" w:rsidRDefault="00E040B9" w:rsidP="00EF7F7A">
      <w:pPr>
        <w:pStyle w:val="SingleTxtG"/>
        <w:ind w:left="3402"/>
        <w:rPr>
          <w:u w:val="single"/>
        </w:rPr>
      </w:pPr>
      <w:r w:rsidRPr="00EF7F7A">
        <w:rPr>
          <w:u w:val="single"/>
        </w:rPr>
        <w:t>3.</w:t>
      </w:r>
      <w:r w:rsidRPr="00EF7F7A">
        <w:rPr>
          <w:u w:val="single"/>
        </w:rPr>
        <w:tab/>
        <w:t>Les batteries et les piles doivent être protégées par une enveloppe extérieure robuste d’une résistance et d’une conception adaptées ou par l’appareil qui les contient, afin d’empêcher tout endommagement dans des conditions normales de transport.</w:t>
      </w:r>
    </w:p>
    <w:p w:rsidR="00446FE5" w:rsidRPr="00E040B9" w:rsidRDefault="00E040B9" w:rsidP="00E040B9">
      <w:pPr>
        <w:pStyle w:val="SingleTxtG"/>
        <w:spacing w:before="240" w:after="0"/>
        <w:jc w:val="center"/>
        <w:rPr>
          <w:u w:val="single"/>
        </w:rPr>
      </w:pPr>
      <w:r>
        <w:rPr>
          <w:u w:val="single"/>
        </w:rPr>
        <w:tab/>
      </w:r>
      <w:r>
        <w:rPr>
          <w:u w:val="single"/>
        </w:rPr>
        <w:tab/>
      </w:r>
      <w:r>
        <w:rPr>
          <w:u w:val="single"/>
        </w:rPr>
        <w:tab/>
      </w:r>
    </w:p>
    <w:sectPr w:rsidR="00446FE5" w:rsidRPr="00E040B9" w:rsidSect="00E040B9">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A51" w:rsidRDefault="00716A51" w:rsidP="00F95C08">
      <w:pPr>
        <w:spacing w:line="240" w:lineRule="auto"/>
      </w:pPr>
    </w:p>
  </w:endnote>
  <w:endnote w:type="continuationSeparator" w:id="0">
    <w:p w:rsidR="00716A51" w:rsidRPr="00AC3823" w:rsidRDefault="00716A51" w:rsidP="00AC3823">
      <w:pPr>
        <w:pStyle w:val="Footer"/>
      </w:pPr>
    </w:p>
  </w:endnote>
  <w:endnote w:type="continuationNotice" w:id="1">
    <w:p w:rsidR="00716A51" w:rsidRDefault="00716A5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0B9" w:rsidRPr="00E040B9" w:rsidRDefault="00E040B9" w:rsidP="00E040B9">
    <w:pPr>
      <w:pStyle w:val="Footer"/>
      <w:tabs>
        <w:tab w:val="right" w:pos="9638"/>
      </w:tabs>
    </w:pPr>
    <w:r w:rsidRPr="00E040B9">
      <w:rPr>
        <w:b/>
        <w:sz w:val="18"/>
      </w:rPr>
      <w:fldChar w:fldCharType="begin"/>
    </w:r>
    <w:r w:rsidRPr="00E040B9">
      <w:rPr>
        <w:b/>
        <w:sz w:val="18"/>
      </w:rPr>
      <w:instrText xml:space="preserve"> PAGE  \* MERGEFORMAT </w:instrText>
    </w:r>
    <w:r w:rsidRPr="00E040B9">
      <w:rPr>
        <w:b/>
        <w:sz w:val="18"/>
      </w:rPr>
      <w:fldChar w:fldCharType="separate"/>
    </w:r>
    <w:r w:rsidR="000E2698">
      <w:rPr>
        <w:b/>
        <w:noProof/>
        <w:sz w:val="18"/>
      </w:rPr>
      <w:t>2</w:t>
    </w:r>
    <w:r w:rsidRPr="00E040B9">
      <w:rPr>
        <w:b/>
        <w:sz w:val="18"/>
      </w:rPr>
      <w:fldChar w:fldCharType="end"/>
    </w:r>
    <w:r>
      <w:rPr>
        <w:b/>
        <w:sz w:val="18"/>
      </w:rPr>
      <w:tab/>
    </w:r>
    <w:r>
      <w:t>GE.17-05109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0B9" w:rsidRPr="00E040B9" w:rsidRDefault="00E040B9" w:rsidP="00E040B9">
    <w:pPr>
      <w:pStyle w:val="Footer"/>
      <w:tabs>
        <w:tab w:val="right" w:pos="9638"/>
      </w:tabs>
      <w:rPr>
        <w:b/>
        <w:sz w:val="18"/>
      </w:rPr>
    </w:pPr>
    <w:r>
      <w:t>GE.17-05109</w:t>
    </w:r>
    <w:r>
      <w:tab/>
    </w:r>
    <w:r w:rsidRPr="00E040B9">
      <w:rPr>
        <w:b/>
        <w:sz w:val="18"/>
      </w:rPr>
      <w:fldChar w:fldCharType="begin"/>
    </w:r>
    <w:r w:rsidRPr="00E040B9">
      <w:rPr>
        <w:b/>
        <w:sz w:val="18"/>
      </w:rPr>
      <w:instrText xml:space="preserve"> PAGE  \* MERGEFORMAT </w:instrText>
    </w:r>
    <w:r w:rsidRPr="00E040B9">
      <w:rPr>
        <w:b/>
        <w:sz w:val="18"/>
      </w:rPr>
      <w:fldChar w:fldCharType="separate"/>
    </w:r>
    <w:r>
      <w:rPr>
        <w:b/>
        <w:noProof/>
        <w:sz w:val="18"/>
      </w:rPr>
      <w:t>3</w:t>
    </w:r>
    <w:r w:rsidRPr="00E040B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6F" w:rsidRPr="00E040B9" w:rsidRDefault="00E040B9" w:rsidP="00E040B9">
    <w:pPr>
      <w:pStyle w:val="Footer"/>
      <w:spacing w:before="120"/>
      <w:rPr>
        <w:sz w:val="20"/>
      </w:rPr>
    </w:pPr>
    <w:r>
      <w:rPr>
        <w:sz w:val="20"/>
      </w:rPr>
      <w:t>GE.</w:t>
    </w:r>
    <w:r w:rsidR="0068456F">
      <w:rPr>
        <w:noProof/>
        <w:lang w:val="en-GB" w:eastAsia="en-GB"/>
      </w:rPr>
      <w:drawing>
        <wp:anchor distT="0" distB="0" distL="114300" distR="114300" simplePos="0" relativeHeight="251659264" behindDoc="0" locked="0" layoutInCell="1" allowOverlap="0" wp14:anchorId="0E56C9FA" wp14:editId="328F2E7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17-05109 </w:t>
    </w:r>
    <w:r w:rsidR="00EF7F7A">
      <w:rPr>
        <w:sz w:val="20"/>
      </w:rPr>
      <w:t xml:space="preserve"> </w:t>
    </w:r>
    <w:r>
      <w:rPr>
        <w:sz w:val="20"/>
      </w:rPr>
      <w:t>(F)</w:t>
    </w:r>
    <w:r w:rsidR="00176BE8">
      <w:rPr>
        <w:sz w:val="20"/>
      </w:rPr>
      <w:t xml:space="preserve">    180417    080517</w:t>
    </w:r>
    <w:r>
      <w:rPr>
        <w:sz w:val="20"/>
      </w:rPr>
      <w:br/>
    </w:r>
    <w:r w:rsidRPr="00E040B9">
      <w:rPr>
        <w:rFonts w:ascii="C39T30Lfz" w:hAnsi="C39T30Lfz"/>
        <w:sz w:val="56"/>
      </w:rPr>
      <w:t></w:t>
    </w:r>
    <w:r w:rsidRPr="00E040B9">
      <w:rPr>
        <w:rFonts w:ascii="C39T30Lfz" w:hAnsi="C39T30Lfz"/>
        <w:sz w:val="56"/>
      </w:rPr>
      <w:t></w:t>
    </w:r>
    <w:r w:rsidRPr="00E040B9">
      <w:rPr>
        <w:rFonts w:ascii="C39T30Lfz" w:hAnsi="C39T30Lfz"/>
        <w:sz w:val="56"/>
      </w:rPr>
      <w:t></w:t>
    </w:r>
    <w:r w:rsidRPr="00E040B9">
      <w:rPr>
        <w:rFonts w:ascii="C39T30Lfz" w:hAnsi="C39T30Lfz"/>
        <w:sz w:val="56"/>
      </w:rPr>
      <w:t></w:t>
    </w:r>
    <w:r w:rsidRPr="00E040B9">
      <w:rPr>
        <w:rFonts w:ascii="C39T30Lfz" w:hAnsi="C39T30Lfz"/>
        <w:sz w:val="56"/>
      </w:rPr>
      <w:t></w:t>
    </w:r>
    <w:r w:rsidRPr="00E040B9">
      <w:rPr>
        <w:rFonts w:ascii="C39T30Lfz" w:hAnsi="C39T30Lfz"/>
        <w:sz w:val="56"/>
      </w:rPr>
      <w:t></w:t>
    </w:r>
    <w:r w:rsidRPr="00E040B9">
      <w:rPr>
        <w:rFonts w:ascii="C39T30Lfz" w:hAnsi="C39T30Lfz"/>
        <w:sz w:val="56"/>
      </w:rPr>
      <w:t></w:t>
    </w:r>
    <w:r w:rsidRPr="00E040B9">
      <w:rPr>
        <w:rFonts w:ascii="C39T30Lfz" w:hAnsi="C39T30Lfz"/>
        <w:sz w:val="56"/>
      </w:rPr>
      <w:t></w:t>
    </w:r>
    <w:r w:rsidRPr="00E040B9">
      <w:rPr>
        <w:rFonts w:ascii="C39T30Lfz" w:hAnsi="C39T30Lfz"/>
        <w:sz w:val="56"/>
      </w:rPr>
      <w:t></w:t>
    </w:r>
    <w:r>
      <w:rPr>
        <w:noProof/>
        <w:sz w:val="20"/>
        <w:lang w:val="en-GB" w:eastAsia="en-GB"/>
      </w:rPr>
      <w:drawing>
        <wp:anchor distT="0" distB="0" distL="114300" distR="114300" simplePos="0" relativeHeight="251660288" behindDoc="0" locked="0" layoutInCell="1" allowOverlap="1" wp14:anchorId="39F6A9B4" wp14:editId="46D93EC0">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7/1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7/1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A51" w:rsidRPr="00AC3823" w:rsidRDefault="00716A51" w:rsidP="00AC3823">
      <w:pPr>
        <w:pStyle w:val="Footer"/>
        <w:tabs>
          <w:tab w:val="right" w:pos="2155"/>
        </w:tabs>
        <w:spacing w:after="80" w:line="240" w:lineRule="atLeast"/>
        <w:ind w:left="680"/>
        <w:rPr>
          <w:u w:val="single"/>
        </w:rPr>
      </w:pPr>
      <w:r>
        <w:rPr>
          <w:u w:val="single"/>
        </w:rPr>
        <w:tab/>
      </w:r>
    </w:p>
  </w:footnote>
  <w:footnote w:type="continuationSeparator" w:id="0">
    <w:p w:rsidR="00716A51" w:rsidRPr="00AC3823" w:rsidRDefault="00716A51" w:rsidP="00AC3823">
      <w:pPr>
        <w:pStyle w:val="Footer"/>
        <w:tabs>
          <w:tab w:val="right" w:pos="2155"/>
        </w:tabs>
        <w:spacing w:after="80" w:line="240" w:lineRule="atLeast"/>
        <w:ind w:left="680"/>
        <w:rPr>
          <w:u w:val="single"/>
        </w:rPr>
      </w:pPr>
      <w:r>
        <w:rPr>
          <w:u w:val="single"/>
        </w:rPr>
        <w:tab/>
      </w:r>
    </w:p>
  </w:footnote>
  <w:footnote w:type="continuationNotice" w:id="1">
    <w:p w:rsidR="00716A51" w:rsidRPr="00AC3823" w:rsidRDefault="00716A51">
      <w:pPr>
        <w:spacing w:line="240" w:lineRule="auto"/>
        <w:rPr>
          <w:sz w:val="2"/>
          <w:szCs w:val="2"/>
        </w:rPr>
      </w:pPr>
    </w:p>
  </w:footnote>
  <w:footnote w:id="2">
    <w:p w:rsidR="00EF7F7A" w:rsidRPr="00EF7F7A" w:rsidRDefault="00EF7F7A">
      <w:pPr>
        <w:pStyle w:val="FootnoteText"/>
        <w:rPr>
          <w:spacing w:val="-2"/>
        </w:rPr>
      </w:pPr>
      <w:r w:rsidRPr="00EF7F7A">
        <w:rPr>
          <w:rStyle w:val="FootnoteReference"/>
          <w:spacing w:val="-2"/>
        </w:rPr>
        <w:tab/>
      </w:r>
      <w:r w:rsidRPr="00EF7F7A">
        <w:rPr>
          <w:rStyle w:val="FootnoteReference"/>
          <w:spacing w:val="-2"/>
          <w:sz w:val="20"/>
          <w:vertAlign w:val="baseline"/>
        </w:rPr>
        <w:t>*</w:t>
      </w:r>
      <w:r w:rsidRPr="00EF7F7A">
        <w:rPr>
          <w:rStyle w:val="FootnoteReference"/>
          <w:spacing w:val="-2"/>
          <w:sz w:val="20"/>
          <w:vertAlign w:val="baseline"/>
        </w:rPr>
        <w:tab/>
      </w:r>
      <w:r w:rsidRPr="00EF7F7A">
        <w:rPr>
          <w:spacing w:val="-2"/>
        </w:rPr>
        <w:t>Conformément au programme de travail du Sous-Comité d’experts du transport des marchandises dangereuses pour la période biennale 2017-2018, adopté par le Comité d’experts du transport des marchandises dangereuses et du Système général harmonisé de classification et d’étiquetage des produits chimiques à sa huitième session (voir ST/SG/AC.10/C.3/100, par. 98, et ST/SG/AC.10/44, par.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0B9" w:rsidRPr="00E040B9" w:rsidRDefault="000E2698">
    <w:pPr>
      <w:pStyle w:val="Header"/>
    </w:pPr>
    <w:r>
      <w:fldChar w:fldCharType="begin"/>
    </w:r>
    <w:r>
      <w:instrText xml:space="preserve"> TITLE  \* MERGEFORMAT </w:instrText>
    </w:r>
    <w:r>
      <w:fldChar w:fldCharType="separate"/>
    </w:r>
    <w:r w:rsidR="00E040B9">
      <w:t>ST/SG/AC.10/C.3/2017/13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0B9" w:rsidRPr="00E040B9" w:rsidRDefault="000E2698" w:rsidP="00E040B9">
    <w:pPr>
      <w:pStyle w:val="Header"/>
      <w:jc w:val="right"/>
    </w:pPr>
    <w:r>
      <w:fldChar w:fldCharType="begin"/>
    </w:r>
    <w:r>
      <w:instrText xml:space="preserve"> TITLE  \* MERGEFORMAT </w:instrText>
    </w:r>
    <w:r>
      <w:fldChar w:fldCharType="separate"/>
    </w:r>
    <w:r w:rsidR="00E040B9">
      <w:t>ST/SG/AC.10/C.3/2017/13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0"/>
  </w:num>
  <w:num w:numId="16">
    <w:abstractNumId w:val="10"/>
  </w:num>
  <w:num w:numId="17">
    <w:abstractNumId w:val="1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inkAnnotations="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A51"/>
    <w:rsid w:val="00017F94"/>
    <w:rsid w:val="00023842"/>
    <w:rsid w:val="000305D3"/>
    <w:rsid w:val="000334F9"/>
    <w:rsid w:val="0007796D"/>
    <w:rsid w:val="000B7790"/>
    <w:rsid w:val="000E2698"/>
    <w:rsid w:val="00111F2F"/>
    <w:rsid w:val="00132EA9"/>
    <w:rsid w:val="0014365E"/>
    <w:rsid w:val="00176178"/>
    <w:rsid w:val="00176BE8"/>
    <w:rsid w:val="001F525A"/>
    <w:rsid w:val="00223272"/>
    <w:rsid w:val="0024779E"/>
    <w:rsid w:val="00283190"/>
    <w:rsid w:val="002832AC"/>
    <w:rsid w:val="002D7C93"/>
    <w:rsid w:val="00441C3B"/>
    <w:rsid w:val="00446FE5"/>
    <w:rsid w:val="00452396"/>
    <w:rsid w:val="004E468C"/>
    <w:rsid w:val="005505B7"/>
    <w:rsid w:val="00573BE5"/>
    <w:rsid w:val="00586ED3"/>
    <w:rsid w:val="00596AA9"/>
    <w:rsid w:val="0068456F"/>
    <w:rsid w:val="0071601D"/>
    <w:rsid w:val="00716A51"/>
    <w:rsid w:val="007A62E6"/>
    <w:rsid w:val="0080684C"/>
    <w:rsid w:val="00871C75"/>
    <w:rsid w:val="008776DC"/>
    <w:rsid w:val="008B40CD"/>
    <w:rsid w:val="009572DA"/>
    <w:rsid w:val="009705C8"/>
    <w:rsid w:val="009C1CF4"/>
    <w:rsid w:val="00A30353"/>
    <w:rsid w:val="00AC3823"/>
    <w:rsid w:val="00AE323C"/>
    <w:rsid w:val="00B00181"/>
    <w:rsid w:val="00B00B0D"/>
    <w:rsid w:val="00B765F7"/>
    <w:rsid w:val="00BA0CA9"/>
    <w:rsid w:val="00C02897"/>
    <w:rsid w:val="00D3439C"/>
    <w:rsid w:val="00DB1831"/>
    <w:rsid w:val="00DD3BFD"/>
    <w:rsid w:val="00DF6678"/>
    <w:rsid w:val="00E040B9"/>
    <w:rsid w:val="00E94AD3"/>
    <w:rsid w:val="00EF2E22"/>
    <w:rsid w:val="00EF7F7A"/>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locked/>
    <w:rsid w:val="00E040B9"/>
    <w:rPr>
      <w:rFonts w:ascii="Times New Roman" w:hAnsi="Times New Roman" w:cs="Times New Roman"/>
      <w:b/>
      <w:sz w:val="28"/>
      <w:szCs w:val="20"/>
      <w:lang w:eastAsia="en-US"/>
    </w:rPr>
  </w:style>
  <w:style w:type="character" w:customStyle="1" w:styleId="SingleTxtGChar">
    <w:name w:val="_ Single Txt_G Char"/>
    <w:link w:val="SingleTxtG"/>
    <w:locked/>
    <w:rsid w:val="00E040B9"/>
    <w:rPr>
      <w:rFonts w:ascii="Times New Roman" w:hAnsi="Times New Roman" w:cs="Times New Roman"/>
      <w:sz w:val="20"/>
      <w:szCs w:val="20"/>
      <w:lang w:eastAsia="en-US"/>
    </w:rPr>
  </w:style>
  <w:style w:type="character" w:customStyle="1" w:styleId="H1GChar">
    <w:name w:val="_ H_1_G Char"/>
    <w:link w:val="H1G"/>
    <w:locked/>
    <w:rsid w:val="00E040B9"/>
    <w:rPr>
      <w:rFonts w:ascii="Times New Roman" w:hAnsi="Times New Roman" w:cs="Times New Roman"/>
      <w:b/>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locked/>
    <w:rsid w:val="00E040B9"/>
    <w:rPr>
      <w:rFonts w:ascii="Times New Roman" w:hAnsi="Times New Roman" w:cs="Times New Roman"/>
      <w:b/>
      <w:sz w:val="28"/>
      <w:szCs w:val="20"/>
      <w:lang w:eastAsia="en-US"/>
    </w:rPr>
  </w:style>
  <w:style w:type="character" w:customStyle="1" w:styleId="SingleTxtGChar">
    <w:name w:val="_ Single Txt_G Char"/>
    <w:link w:val="SingleTxtG"/>
    <w:locked/>
    <w:rsid w:val="00E040B9"/>
    <w:rPr>
      <w:rFonts w:ascii="Times New Roman" w:hAnsi="Times New Roman" w:cs="Times New Roman"/>
      <w:sz w:val="20"/>
      <w:szCs w:val="20"/>
      <w:lang w:eastAsia="en-US"/>
    </w:rPr>
  </w:style>
  <w:style w:type="character" w:customStyle="1" w:styleId="H1GChar">
    <w:name w:val="_ H_1_G Char"/>
    <w:link w:val="H1G"/>
    <w:locked/>
    <w:rsid w:val="00E040B9"/>
    <w:rPr>
      <w:rFonts w:ascii="Times New Roman"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698</Words>
  <Characters>3983</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ST/SG/AC.10/C.3/2017/13</vt:lpstr>
      <vt:lpstr/>
    </vt:vector>
  </TitlesOfParts>
  <Company>DCM</Company>
  <LinksUpToDate>false</LinksUpToDate>
  <CharactersWithSpaces>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ST/SG/AC.10/C.3/2017/13</dc:title>
  <dc:creator>Morin</dc:creator>
  <cp:lastModifiedBy>Laurence Berthet</cp:lastModifiedBy>
  <cp:revision>2</cp:revision>
  <cp:lastPrinted>2014-05-14T10:59:00Z</cp:lastPrinted>
  <dcterms:created xsi:type="dcterms:W3CDTF">2017-05-09T09:31:00Z</dcterms:created>
  <dcterms:modified xsi:type="dcterms:W3CDTF">2017-05-09T09:31:00Z</dcterms:modified>
</cp:coreProperties>
</file>