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1474" w:rsidTr="00BA24A5">
        <w:trPr>
          <w:trHeight w:hRule="exact" w:val="851"/>
        </w:trPr>
        <w:tc>
          <w:tcPr>
            <w:tcW w:w="1276" w:type="dxa"/>
            <w:tcBorders>
              <w:bottom w:val="single" w:sz="4" w:space="0" w:color="auto"/>
            </w:tcBorders>
          </w:tcPr>
          <w:p w:rsidR="00B31474" w:rsidRDefault="00B31474"/>
        </w:tc>
        <w:tc>
          <w:tcPr>
            <w:tcW w:w="2268" w:type="dxa"/>
            <w:tcBorders>
              <w:bottom w:val="single" w:sz="4" w:space="0" w:color="auto"/>
            </w:tcBorders>
            <w:vAlign w:val="bottom"/>
          </w:tcPr>
          <w:p w:rsidR="00B31474" w:rsidRDefault="00B31474">
            <w:pPr>
              <w:spacing w:after="80" w:line="300" w:lineRule="exact"/>
              <w:rPr>
                <w:sz w:val="28"/>
              </w:rPr>
            </w:pPr>
            <w:r>
              <w:rPr>
                <w:sz w:val="28"/>
              </w:rPr>
              <w:t>Nations Unies</w:t>
            </w:r>
          </w:p>
        </w:tc>
        <w:tc>
          <w:tcPr>
            <w:tcW w:w="6095" w:type="dxa"/>
            <w:gridSpan w:val="2"/>
            <w:tcBorders>
              <w:bottom w:val="single" w:sz="4" w:space="0" w:color="auto"/>
            </w:tcBorders>
            <w:vAlign w:val="bottom"/>
          </w:tcPr>
          <w:p w:rsidR="00B31474" w:rsidRDefault="005F25FC" w:rsidP="00F62ED1">
            <w:pPr>
              <w:jc w:val="right"/>
              <w:rPr>
                <w:lang w:val="en-US"/>
              </w:rPr>
            </w:pPr>
            <w:r w:rsidRPr="007E25DA">
              <w:rPr>
                <w:sz w:val="40"/>
              </w:rPr>
              <w:t>ST</w:t>
            </w:r>
            <w:r w:rsidR="00CB75C1">
              <w:t>/SG/AC.10/C.3/201</w:t>
            </w:r>
            <w:r w:rsidR="00F62ED1">
              <w:t>7</w:t>
            </w:r>
            <w:r>
              <w:t>/</w:t>
            </w:r>
            <w:r w:rsidR="004E0D80">
              <w:t>11</w:t>
            </w:r>
          </w:p>
        </w:tc>
      </w:tr>
      <w:tr w:rsidR="00B31474">
        <w:trPr>
          <w:trHeight w:hRule="exact" w:val="2835"/>
        </w:trPr>
        <w:tc>
          <w:tcPr>
            <w:tcW w:w="1276" w:type="dxa"/>
            <w:tcBorders>
              <w:top w:val="single" w:sz="4" w:space="0" w:color="auto"/>
              <w:bottom w:val="single" w:sz="12" w:space="0" w:color="auto"/>
            </w:tcBorders>
          </w:tcPr>
          <w:p w:rsidR="00B31474" w:rsidRDefault="001C5EEA">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46.5pt">
                  <v:imagedata r:id="rId9" o:title="_unlogo"/>
                </v:shape>
              </w:pict>
            </w:r>
          </w:p>
        </w:tc>
        <w:tc>
          <w:tcPr>
            <w:tcW w:w="5528" w:type="dxa"/>
            <w:gridSpan w:val="2"/>
            <w:tcBorders>
              <w:top w:val="single" w:sz="4" w:space="0" w:color="auto"/>
              <w:bottom w:val="single" w:sz="12" w:space="0" w:color="auto"/>
            </w:tcBorders>
          </w:tcPr>
          <w:p w:rsidR="00B31474" w:rsidRDefault="00E60D87">
            <w:pPr>
              <w:spacing w:before="120" w:line="420" w:lineRule="exact"/>
              <w:rPr>
                <w:b/>
                <w:sz w:val="40"/>
                <w:szCs w:val="40"/>
              </w:rPr>
            </w:pPr>
            <w:r>
              <w:rPr>
                <w:b/>
                <w:sz w:val="40"/>
                <w:szCs w:val="40"/>
              </w:rPr>
              <w:t>Secré</w:t>
            </w:r>
            <w:r w:rsidR="00C557B3">
              <w:rPr>
                <w:b/>
                <w:sz w:val="40"/>
                <w:szCs w:val="40"/>
              </w:rPr>
              <w:t>tariat</w:t>
            </w:r>
          </w:p>
        </w:tc>
        <w:tc>
          <w:tcPr>
            <w:tcW w:w="2835" w:type="dxa"/>
            <w:tcBorders>
              <w:top w:val="single" w:sz="4" w:space="0" w:color="auto"/>
              <w:bottom w:val="single" w:sz="12" w:space="0" w:color="auto"/>
            </w:tcBorders>
          </w:tcPr>
          <w:p w:rsidR="00B31474" w:rsidRDefault="00B31474">
            <w:pPr>
              <w:spacing w:before="240" w:line="240" w:lineRule="exact"/>
            </w:pPr>
            <w:proofErr w:type="spellStart"/>
            <w:r>
              <w:t>Distr</w:t>
            </w:r>
            <w:proofErr w:type="spellEnd"/>
            <w:r>
              <w:t>. générale</w:t>
            </w:r>
          </w:p>
          <w:p w:rsidR="00B31474" w:rsidRDefault="00D447FB">
            <w:pPr>
              <w:spacing w:line="240" w:lineRule="exact"/>
            </w:pPr>
            <w:r>
              <w:t>3 avril</w:t>
            </w:r>
            <w:r w:rsidR="004E0D80">
              <w:t xml:space="preserve"> 2017</w:t>
            </w:r>
            <w:r w:rsidR="004E0D80">
              <w:br/>
            </w:r>
          </w:p>
          <w:p w:rsidR="00B31474" w:rsidRDefault="00B31474" w:rsidP="004E0D80">
            <w:pPr>
              <w:spacing w:line="240" w:lineRule="exact"/>
            </w:pPr>
            <w:r>
              <w:t>Original: français</w:t>
            </w:r>
            <w:r w:rsidR="00FE6A6C">
              <w:t xml:space="preserve"> </w:t>
            </w:r>
          </w:p>
        </w:tc>
      </w:tr>
    </w:tbl>
    <w:p w:rsidR="007A3980" w:rsidRDefault="007A3980" w:rsidP="007A3980">
      <w:pPr>
        <w:spacing w:before="120"/>
        <w:rPr>
          <w:b/>
          <w:sz w:val="24"/>
          <w:szCs w:val="24"/>
        </w:rPr>
      </w:pPr>
      <w:r>
        <w:rPr>
          <w:b/>
          <w:sz w:val="24"/>
          <w:szCs w:val="24"/>
        </w:rPr>
        <w:t>Comité d’experts du transport des marchandises dangereuses</w:t>
      </w:r>
      <w:r>
        <w:rPr>
          <w:b/>
          <w:sz w:val="24"/>
          <w:szCs w:val="24"/>
        </w:rPr>
        <w:br/>
        <w:t>et du Système général harmonisé de classification</w:t>
      </w:r>
      <w:r>
        <w:rPr>
          <w:b/>
          <w:sz w:val="24"/>
          <w:szCs w:val="24"/>
        </w:rPr>
        <w:br/>
        <w:t>et d’étiquetage des produits chimiques</w:t>
      </w:r>
    </w:p>
    <w:p w:rsidR="007A3980" w:rsidRDefault="007A3980" w:rsidP="007A3980">
      <w:pPr>
        <w:spacing w:before="120"/>
        <w:rPr>
          <w:b/>
        </w:rPr>
      </w:pPr>
      <w:r>
        <w:rPr>
          <w:b/>
        </w:rPr>
        <w:t>Sous-Comité d’experts du transport des marchandises dangereuses</w:t>
      </w:r>
    </w:p>
    <w:p w:rsidR="007A3980" w:rsidRDefault="007A3980" w:rsidP="007A3980">
      <w:pPr>
        <w:spacing w:before="120"/>
        <w:rPr>
          <w:b/>
        </w:rPr>
      </w:pPr>
      <w:r>
        <w:rPr>
          <w:b/>
          <w:lang w:val="fr-FR"/>
        </w:rPr>
        <w:t xml:space="preserve">Cinquante et unième </w:t>
      </w:r>
      <w:r>
        <w:rPr>
          <w:b/>
        </w:rPr>
        <w:t>session</w:t>
      </w:r>
    </w:p>
    <w:p w:rsidR="007A3980" w:rsidRDefault="007A3980" w:rsidP="007A3980">
      <w:pPr>
        <w:rPr>
          <w:lang w:eastAsia="it-IT"/>
        </w:rPr>
      </w:pPr>
      <w:r>
        <w:t xml:space="preserve">Genève, </w:t>
      </w:r>
      <w:r>
        <w:rPr>
          <w:lang w:eastAsia="it-IT"/>
        </w:rPr>
        <w:t>3-7 juillet 2017</w:t>
      </w:r>
      <w:bookmarkStart w:id="0" w:name="_GoBack"/>
      <w:bookmarkEnd w:id="0"/>
    </w:p>
    <w:p w:rsidR="004E0D80" w:rsidRPr="00D447FB" w:rsidRDefault="004E0D80" w:rsidP="004E0D80">
      <w:pPr>
        <w:rPr>
          <w:b/>
        </w:rPr>
      </w:pPr>
      <w:r>
        <w:t>Point </w:t>
      </w:r>
      <w:r w:rsidR="00D447FB">
        <w:t>4 c)</w:t>
      </w:r>
      <w:r w:rsidRPr="00AD6354">
        <w:t xml:space="preserve"> de l’ordre du jour provisoire</w:t>
      </w:r>
      <w:r w:rsidR="00D447FB">
        <w:br/>
      </w:r>
      <w:r w:rsidR="00D447FB" w:rsidRPr="00D447FB">
        <w:rPr>
          <w:b/>
          <w:lang w:val="fr-FR"/>
        </w:rPr>
        <w:t>Systèmes de stockage de l’électricité:</w:t>
      </w:r>
      <w:r w:rsidR="00D447FB" w:rsidRPr="00D447FB">
        <w:rPr>
          <w:b/>
          <w:lang w:val="fr-FR"/>
        </w:rPr>
        <w:t xml:space="preserve"> d</w:t>
      </w:r>
      <w:r w:rsidR="00D447FB" w:rsidRPr="00D447FB">
        <w:rPr>
          <w:b/>
          <w:lang w:val="fr-FR"/>
        </w:rPr>
        <w:t>ispositions relatives au transport</w:t>
      </w:r>
    </w:p>
    <w:p w:rsidR="0026107C" w:rsidRPr="00317257" w:rsidRDefault="00B90BC5" w:rsidP="0026107C">
      <w:pPr>
        <w:pStyle w:val="HChG"/>
        <w:rPr>
          <w:lang w:val="fr-FR"/>
        </w:rPr>
      </w:pPr>
      <w:r>
        <w:rPr>
          <w:lang w:val="fr-FR"/>
        </w:rPr>
        <w:tab/>
      </w:r>
      <w:r>
        <w:rPr>
          <w:lang w:val="fr-FR"/>
        </w:rPr>
        <w:tab/>
      </w:r>
      <w:r w:rsidR="000412DA">
        <w:rPr>
          <w:lang w:val="fr-FR"/>
        </w:rPr>
        <w:t xml:space="preserve">Assignation des équipements mus par des accumulateurs et des piles </w:t>
      </w:r>
      <w:r w:rsidR="00D63F67">
        <w:rPr>
          <w:lang w:val="fr-FR"/>
        </w:rPr>
        <w:t xml:space="preserve">des rubriques Nos ONU 2800, 2794, 2795, 3028 et 3496 </w:t>
      </w:r>
    </w:p>
    <w:p w:rsidR="00E72C4C" w:rsidRDefault="00E72C4C" w:rsidP="00734DB1">
      <w:pPr>
        <w:pStyle w:val="H1G"/>
        <w:keepNext w:val="0"/>
        <w:keepLines w:val="0"/>
        <w:rPr>
          <w:rFonts w:eastAsia="Arial"/>
          <w:lang w:val="fr-FR"/>
        </w:rPr>
      </w:pPr>
      <w:r>
        <w:rPr>
          <w:rFonts w:eastAsia="Arial"/>
          <w:lang w:val="fr-FR"/>
        </w:rPr>
        <w:tab/>
      </w:r>
      <w:r>
        <w:rPr>
          <w:rFonts w:eastAsia="Arial"/>
          <w:lang w:val="fr-FR"/>
        </w:rPr>
        <w:tab/>
      </w:r>
      <w:r w:rsidRPr="00E72C4C">
        <w:rPr>
          <w:rFonts w:eastAsia="Arial"/>
          <w:lang w:val="fr-FR"/>
        </w:rPr>
        <w:t>Communication d</w:t>
      </w:r>
      <w:r w:rsidR="00BC3265">
        <w:rPr>
          <w:rFonts w:eastAsia="Arial"/>
          <w:lang w:val="fr-FR"/>
        </w:rPr>
        <w:t>e l’expert</w:t>
      </w:r>
      <w:r w:rsidR="004362EC">
        <w:rPr>
          <w:rFonts w:eastAsia="Arial"/>
          <w:lang w:val="fr-FR"/>
        </w:rPr>
        <w:t xml:space="preserve"> de la</w:t>
      </w:r>
      <w:r w:rsidRPr="00E72C4C">
        <w:rPr>
          <w:rFonts w:eastAsia="Arial"/>
          <w:lang w:val="fr-FR"/>
        </w:rPr>
        <w:t xml:space="preserve"> </w:t>
      </w:r>
      <w:r w:rsidR="00210222">
        <w:rPr>
          <w:rFonts w:eastAsia="Arial"/>
          <w:lang w:val="fr-FR"/>
        </w:rPr>
        <w:t>Suisse</w:t>
      </w:r>
      <w:r w:rsidR="004E0D80">
        <w:rPr>
          <w:rStyle w:val="FootnoteReference"/>
          <w:rFonts w:eastAsia="Arial"/>
        </w:rPr>
        <w:footnoteReference w:id="2"/>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734DB1" w:rsidTr="00E6328D">
        <w:trPr>
          <w:jc w:val="center"/>
        </w:trPr>
        <w:tc>
          <w:tcPr>
            <w:tcW w:w="9637" w:type="dxa"/>
          </w:tcPr>
          <w:p w:rsidR="00734DB1" w:rsidRDefault="00734DB1" w:rsidP="00E6328D">
            <w:pPr>
              <w:spacing w:before="240" w:after="120"/>
              <w:ind w:left="255"/>
              <w:rPr>
                <w:rFonts w:eastAsia="Arial"/>
                <w:i/>
                <w:sz w:val="24"/>
                <w:lang w:val="fr-FR"/>
              </w:rPr>
            </w:pPr>
            <w:r>
              <w:rPr>
                <w:rFonts w:eastAsia="Arial"/>
                <w:i/>
                <w:sz w:val="24"/>
                <w:lang w:val="fr-FR"/>
              </w:rPr>
              <w:t xml:space="preserve">Résumé </w:t>
            </w:r>
          </w:p>
        </w:tc>
      </w:tr>
      <w:tr w:rsidR="00734DB1" w:rsidTr="00E6328D">
        <w:trPr>
          <w:jc w:val="center"/>
        </w:trPr>
        <w:tc>
          <w:tcPr>
            <w:tcW w:w="9637" w:type="dxa"/>
          </w:tcPr>
          <w:p w:rsidR="00734DB1" w:rsidRDefault="00734DB1" w:rsidP="004E0D80">
            <w:pPr>
              <w:pStyle w:val="SingleTxtG"/>
              <w:ind w:left="2499" w:hanging="2248"/>
              <w:rPr>
                <w:rFonts w:eastAsia="Arial"/>
                <w:b/>
                <w:lang w:val="fr-FR"/>
              </w:rPr>
            </w:pPr>
            <w:r>
              <w:rPr>
                <w:b/>
                <w:lang w:val="fr-FR"/>
              </w:rPr>
              <w:t>Résumé analytique:</w:t>
            </w:r>
            <w:r>
              <w:rPr>
                <w:b/>
                <w:sz w:val="24"/>
                <w:szCs w:val="24"/>
                <w:lang w:val="fr-FR"/>
              </w:rPr>
              <w:tab/>
            </w:r>
            <w:r w:rsidR="00667BBE">
              <w:rPr>
                <w:lang w:val="fr-FR"/>
              </w:rPr>
              <w:t>A</w:t>
            </w:r>
            <w:r w:rsidR="004C0A91">
              <w:rPr>
                <w:lang w:val="fr-FR"/>
              </w:rPr>
              <w:t>u même titre que les équipements contenant des piles au lithium, les autres types d’accumulateurs et piles qui sont montés dans des équipements doivent être mentionnés dans la disposition spéciale 388 assignée aux rubriques No ONU 3166 et 3171.</w:t>
            </w:r>
          </w:p>
        </w:tc>
      </w:tr>
      <w:tr w:rsidR="00734DB1" w:rsidTr="00E6328D">
        <w:trPr>
          <w:jc w:val="center"/>
        </w:trPr>
        <w:tc>
          <w:tcPr>
            <w:tcW w:w="9637" w:type="dxa"/>
          </w:tcPr>
          <w:p w:rsidR="00490C26" w:rsidRDefault="004E0D80" w:rsidP="00490C26">
            <w:pPr>
              <w:pStyle w:val="SingleTxtG"/>
              <w:ind w:left="2499" w:hanging="2248"/>
              <w:rPr>
                <w:lang w:val="fr-FR"/>
              </w:rPr>
            </w:pPr>
            <w:r>
              <w:rPr>
                <w:b/>
                <w:lang w:val="fr-FR"/>
              </w:rPr>
              <w:t>Mesures à prendre</w:t>
            </w:r>
            <w:r w:rsidR="00490C26" w:rsidRPr="004C4820">
              <w:rPr>
                <w:b/>
                <w:lang w:val="fr-FR"/>
              </w:rPr>
              <w:t xml:space="preserve">: </w:t>
            </w:r>
            <w:r w:rsidR="00490C26" w:rsidRPr="004C4820">
              <w:rPr>
                <w:b/>
                <w:lang w:val="fr-FR"/>
              </w:rPr>
              <w:tab/>
            </w:r>
            <w:r w:rsidR="004C0A91">
              <w:rPr>
                <w:lang w:val="fr-FR"/>
              </w:rPr>
              <w:t xml:space="preserve">Ajouter dans la disposition spéciale 388 la référence aux équipements mus par </w:t>
            </w:r>
            <w:r w:rsidR="004C0A91" w:rsidRPr="0059443A">
              <w:rPr>
                <w:iCs/>
                <w:lang w:val="fr-FR"/>
              </w:rPr>
              <w:t>accumulateurs</w:t>
            </w:r>
            <w:r w:rsidR="004C0A91">
              <w:rPr>
                <w:iCs/>
                <w:lang w:val="fr-FR"/>
              </w:rPr>
              <w:t xml:space="preserve"> secs ou </w:t>
            </w:r>
            <w:r w:rsidR="004C0A91" w:rsidRPr="0059443A">
              <w:rPr>
                <w:iCs/>
                <w:lang w:val="fr-FR"/>
              </w:rPr>
              <w:t xml:space="preserve">à électrolyte liquide ou par des batteries au sodium </w:t>
            </w:r>
            <w:r w:rsidR="004C0A91">
              <w:rPr>
                <w:iCs/>
                <w:lang w:val="fr-FR"/>
              </w:rPr>
              <w:t xml:space="preserve">ou par des piles au nickel-hydrure des rubriques </w:t>
            </w:r>
            <w:r w:rsidR="000412DA">
              <w:rPr>
                <w:iCs/>
                <w:lang w:val="fr-FR"/>
              </w:rPr>
              <w:t>(</w:t>
            </w:r>
            <w:r w:rsidR="00A37724">
              <w:rPr>
                <w:lang w:val="fr-FR"/>
              </w:rPr>
              <w:t>Nos ONU 2800, 2794, 2795, 3028 et 3496</w:t>
            </w:r>
            <w:r w:rsidR="000412DA">
              <w:rPr>
                <w:lang w:val="fr-FR"/>
              </w:rPr>
              <w:t>)</w:t>
            </w:r>
            <w:r w:rsidR="007808F4">
              <w:rPr>
                <w:lang w:val="fr-FR"/>
              </w:rPr>
              <w:t>.</w:t>
            </w:r>
          </w:p>
          <w:p w:rsidR="00734DB1" w:rsidRPr="00734DB1" w:rsidRDefault="004E0D80" w:rsidP="004E0D80">
            <w:pPr>
              <w:pStyle w:val="SingleTxtG"/>
              <w:ind w:left="2499" w:hanging="2248"/>
              <w:rPr>
                <w:lang w:val="fr-FR"/>
              </w:rPr>
            </w:pPr>
            <w:r>
              <w:rPr>
                <w:b/>
                <w:lang w:val="fr-FR"/>
              </w:rPr>
              <w:t>Documents de référence</w:t>
            </w:r>
            <w:r w:rsidR="005343BA" w:rsidRPr="004C4820">
              <w:rPr>
                <w:b/>
                <w:lang w:val="fr-FR"/>
              </w:rPr>
              <w:t xml:space="preserve">: </w:t>
            </w:r>
            <w:r w:rsidR="005343BA" w:rsidRPr="004C4820">
              <w:rPr>
                <w:b/>
                <w:lang w:val="fr-FR"/>
              </w:rPr>
              <w:tab/>
            </w:r>
            <w:r w:rsidR="006A3076">
              <w:rPr>
                <w:lang w:val="fr-FR"/>
              </w:rPr>
              <w:t>ST/SG/AC.10/44/Add.1</w:t>
            </w:r>
            <w:r w:rsidR="005343BA">
              <w:rPr>
                <w:lang w:val="fr-FR"/>
              </w:rPr>
              <w:t>.</w:t>
            </w:r>
          </w:p>
        </w:tc>
      </w:tr>
    </w:tbl>
    <w:p w:rsidR="00B31474" w:rsidRDefault="004E0D80" w:rsidP="004E0D80">
      <w:pPr>
        <w:pStyle w:val="HChG"/>
        <w:rPr>
          <w:lang w:val="fr-FR"/>
        </w:rPr>
      </w:pPr>
      <w:r>
        <w:lastRenderedPageBreak/>
        <w:tab/>
      </w:r>
      <w:r>
        <w:tab/>
      </w:r>
      <w:r w:rsidR="00B31474" w:rsidRPr="004E0D80">
        <w:t>Introduction</w:t>
      </w:r>
    </w:p>
    <w:p w:rsidR="00815CBA" w:rsidRPr="00815CBA" w:rsidRDefault="001300FA" w:rsidP="00815CBA">
      <w:pPr>
        <w:pStyle w:val="SingleTxtG"/>
        <w:numPr>
          <w:ilvl w:val="0"/>
          <w:numId w:val="23"/>
        </w:numPr>
        <w:spacing w:before="240"/>
        <w:ind w:left="1134" w:firstLine="0"/>
        <w:rPr>
          <w:lang w:val="fr-FR"/>
        </w:rPr>
      </w:pPr>
      <w:r>
        <w:rPr>
          <w:lang w:val="fr-FR"/>
        </w:rPr>
        <w:t xml:space="preserve">La disposition spéciale </w:t>
      </w:r>
      <w:r w:rsidR="00DC3E98">
        <w:rPr>
          <w:lang w:val="fr-FR"/>
        </w:rPr>
        <w:t xml:space="preserve">388 a été assignée aux rubriques </w:t>
      </w:r>
      <w:r w:rsidR="005343BA">
        <w:rPr>
          <w:lang w:val="fr-FR"/>
        </w:rPr>
        <w:t>No</w:t>
      </w:r>
      <w:r w:rsidR="004E0D80">
        <w:rPr>
          <w:lang w:val="fr-FR"/>
        </w:rPr>
        <w:t>s</w:t>
      </w:r>
      <w:r w:rsidR="005343BA">
        <w:rPr>
          <w:lang w:val="fr-FR"/>
        </w:rPr>
        <w:t xml:space="preserve"> ONU</w:t>
      </w:r>
      <w:r w:rsidR="00DC3E98">
        <w:rPr>
          <w:lang w:val="fr-FR"/>
        </w:rPr>
        <w:t xml:space="preserve"> 3166 et 3171 (voir rapport ST</w:t>
      </w:r>
      <w:r w:rsidR="00142FBC">
        <w:rPr>
          <w:lang w:val="fr-FR"/>
        </w:rPr>
        <w:t>/</w:t>
      </w:r>
      <w:r w:rsidR="00DC3E98">
        <w:rPr>
          <w:lang w:val="fr-FR"/>
        </w:rPr>
        <w:t>SG</w:t>
      </w:r>
      <w:r w:rsidR="00142FBC">
        <w:rPr>
          <w:lang w:val="fr-FR"/>
        </w:rPr>
        <w:t>/AC.10/</w:t>
      </w:r>
      <w:r w:rsidR="006A3076">
        <w:rPr>
          <w:lang w:val="fr-FR"/>
        </w:rPr>
        <w:t>44/</w:t>
      </w:r>
      <w:r w:rsidR="00142FBC">
        <w:rPr>
          <w:lang w:val="fr-FR"/>
        </w:rPr>
        <w:t xml:space="preserve">Add.1). </w:t>
      </w:r>
      <w:r w:rsidR="00151074">
        <w:rPr>
          <w:lang w:val="fr-FR"/>
        </w:rPr>
        <w:t>En tant que types de batteries pour la rubrique No ONU 3171 l</w:t>
      </w:r>
      <w:r w:rsidR="00744BF7">
        <w:rPr>
          <w:lang w:val="fr-FR"/>
        </w:rPr>
        <w:t xml:space="preserve">e cinquième paragraphe de </w:t>
      </w:r>
      <w:r w:rsidR="005343BA">
        <w:rPr>
          <w:lang w:val="fr-FR"/>
        </w:rPr>
        <w:t xml:space="preserve">la DS388 </w:t>
      </w:r>
      <w:r w:rsidR="00151074">
        <w:rPr>
          <w:lang w:val="fr-FR"/>
        </w:rPr>
        <w:t xml:space="preserve">mentionne les </w:t>
      </w:r>
      <w:r w:rsidR="00151074" w:rsidRPr="0059443A">
        <w:rPr>
          <w:iCs/>
          <w:lang w:val="fr-FR"/>
        </w:rPr>
        <w:t>accumulateurs à électrolyte liquide</w:t>
      </w:r>
      <w:r w:rsidR="000412DA">
        <w:rPr>
          <w:iCs/>
          <w:lang w:val="fr-FR"/>
        </w:rPr>
        <w:t>,</w:t>
      </w:r>
      <w:r w:rsidR="00151074" w:rsidRPr="0059443A">
        <w:rPr>
          <w:iCs/>
          <w:lang w:val="fr-FR"/>
        </w:rPr>
        <w:t xml:space="preserve"> </w:t>
      </w:r>
      <w:r w:rsidR="000412DA">
        <w:rPr>
          <w:iCs/>
          <w:lang w:val="fr-FR"/>
        </w:rPr>
        <w:t>le</w:t>
      </w:r>
      <w:r w:rsidR="00151074" w:rsidRPr="0059443A">
        <w:rPr>
          <w:iCs/>
          <w:lang w:val="fr-FR"/>
        </w:rPr>
        <w:t>s batteries au sodium</w:t>
      </w:r>
      <w:r w:rsidR="000412DA">
        <w:rPr>
          <w:iCs/>
          <w:lang w:val="fr-FR"/>
        </w:rPr>
        <w:t xml:space="preserve"> et l</w:t>
      </w:r>
      <w:r w:rsidR="00151074" w:rsidRPr="0059443A">
        <w:rPr>
          <w:iCs/>
          <w:lang w:val="fr-FR"/>
        </w:rPr>
        <w:t>es batteries au lithium métal ou au lithium ionique</w:t>
      </w:r>
      <w:r w:rsidR="00151074">
        <w:rPr>
          <w:iCs/>
          <w:lang w:val="fr-FR"/>
        </w:rPr>
        <w:t xml:space="preserve">. Pour la classification des équipements mus par des batteries cependant le septième paragraphe ne cite que les rubriques </w:t>
      </w:r>
      <w:r w:rsidR="00151074" w:rsidRPr="0059443A">
        <w:rPr>
          <w:iCs/>
          <w:lang w:val="fr-FR"/>
        </w:rPr>
        <w:t>ONU 3091 PILES AU LITHIUM MÉTAL CONTENUES DANS UN ÉQUIPEMENT ou ONU 3091 PILES AU LITHIUM MÉTAL EMBALLÉES AVEC UN ÉQUIPEMENT ou ONU 3481 PILES AU LITHIUM IONIQUE CONTENUES DANS UN ÉQUIPEMENT ou ONU 3481 PILES AU LITHIUM IONIQUE EMBALLÉES AVEC UN ÉQUIPEMENT</w:t>
      </w:r>
      <w:r w:rsidR="00151074">
        <w:rPr>
          <w:iCs/>
          <w:lang w:val="fr-FR"/>
        </w:rPr>
        <w:t xml:space="preserve">. Les autres types de batteries citées au cinquième paragraphe pour le No ONU 3171 ne sont pas </w:t>
      </w:r>
      <w:r w:rsidR="00815CBA">
        <w:rPr>
          <w:iCs/>
          <w:lang w:val="fr-FR"/>
        </w:rPr>
        <w:t>énumérés</w:t>
      </w:r>
      <w:r w:rsidR="00151074">
        <w:rPr>
          <w:iCs/>
          <w:lang w:val="fr-FR"/>
        </w:rPr>
        <w:t xml:space="preserve">. </w:t>
      </w:r>
    </w:p>
    <w:p w:rsidR="00815CBA" w:rsidRPr="00962DDA" w:rsidRDefault="004E0D80" w:rsidP="004E0D80">
      <w:pPr>
        <w:pStyle w:val="SingleTxtG"/>
        <w:rPr>
          <w:lang w:val="fr-FR"/>
        </w:rPr>
      </w:pPr>
      <w:r>
        <w:rPr>
          <w:lang w:val="fr-FR"/>
        </w:rPr>
        <w:t>2.</w:t>
      </w:r>
      <w:r>
        <w:rPr>
          <w:lang w:val="fr-FR"/>
        </w:rPr>
        <w:tab/>
      </w:r>
      <w:r w:rsidR="00815CBA">
        <w:rPr>
          <w:lang w:val="fr-FR"/>
        </w:rPr>
        <w:t xml:space="preserve">Excepté pour la </w:t>
      </w:r>
      <w:r w:rsidR="00815CBA" w:rsidRPr="004E0D80">
        <w:t>rubrique</w:t>
      </w:r>
      <w:r w:rsidR="00815CBA">
        <w:rPr>
          <w:lang w:val="fr-FR"/>
        </w:rPr>
        <w:t xml:space="preserve"> No ONU 2800 où le NOTA dans la disposition spéciale 238 lettre a) fait mention d’accumulateurs électriques inversables d’un appareil mécanique ou électronique, aucune référence n’est faite à des équipements pour les autres rubriques pour accumulateurs Nos ONU 3292, 2794, 2795 3028 ou piles du No ONU 3496. Ces équipements doivent donc être transportés dans les conditions des rubriques respectives pour piles et accumulateurs. Si tel est le cas alors </w:t>
      </w:r>
      <w:r w:rsidR="00962DDA">
        <w:rPr>
          <w:lang w:val="fr-FR"/>
        </w:rPr>
        <w:t>ces rubriques devraient également figurer dans le septième paragraphe de la DS388 au même titre que les piles et batteries au lithium. C’est le but de la présente proposition.</w:t>
      </w:r>
    </w:p>
    <w:p w:rsidR="00490C26" w:rsidRPr="0072378C" w:rsidRDefault="004E0D80" w:rsidP="004E0D80">
      <w:pPr>
        <w:pStyle w:val="HChG"/>
      </w:pPr>
      <w:r>
        <w:tab/>
      </w:r>
      <w:r>
        <w:tab/>
      </w:r>
      <w:r w:rsidR="00490C26" w:rsidRPr="004E0D80">
        <w:t>Proposition</w:t>
      </w:r>
    </w:p>
    <w:p w:rsidR="00962DDA" w:rsidRPr="00962DDA" w:rsidRDefault="004E0D80" w:rsidP="004E0D80">
      <w:pPr>
        <w:pStyle w:val="SingleTxtG"/>
      </w:pPr>
      <w:r>
        <w:rPr>
          <w:lang w:val="fr-FR"/>
        </w:rPr>
        <w:t>3.</w:t>
      </w:r>
      <w:r>
        <w:rPr>
          <w:lang w:val="fr-FR"/>
        </w:rPr>
        <w:tab/>
      </w:r>
      <w:r w:rsidR="00962DDA">
        <w:rPr>
          <w:lang w:val="fr-FR"/>
        </w:rPr>
        <w:t>Ajouter à la fin du septième paragraphe le texte suivant :</w:t>
      </w:r>
    </w:p>
    <w:p w:rsidR="00962DDA" w:rsidRDefault="004E0D80" w:rsidP="004E0D80">
      <w:pPr>
        <w:pStyle w:val="SingleTxtG"/>
        <w:ind w:left="1701"/>
        <w:rPr>
          <w:lang w:val="fr-FR"/>
        </w:rPr>
      </w:pPr>
      <w:r>
        <w:rPr>
          <w:lang w:val="fr-FR"/>
        </w:rPr>
        <w:t>«</w:t>
      </w:r>
      <w:r w:rsidR="00962DDA" w:rsidRPr="0059443A">
        <w:rPr>
          <w:lang w:val="fr-FR"/>
        </w:rPr>
        <w:t>Les équipements mus par accumulateurs</w:t>
      </w:r>
      <w:r w:rsidR="00962DDA">
        <w:rPr>
          <w:lang w:val="fr-FR"/>
        </w:rPr>
        <w:t xml:space="preserve"> secs ou </w:t>
      </w:r>
      <w:r w:rsidR="00962DDA" w:rsidRPr="0059443A">
        <w:rPr>
          <w:lang w:val="fr-FR"/>
        </w:rPr>
        <w:t xml:space="preserve">à électrolyte liquide ou par des batteries au sodium </w:t>
      </w:r>
      <w:r w:rsidR="00962DDA">
        <w:rPr>
          <w:lang w:val="fr-FR"/>
        </w:rPr>
        <w:t>ou par des piles au nickel-hydrure métallique d</w:t>
      </w:r>
      <w:r w:rsidR="00962DDA" w:rsidRPr="0059443A">
        <w:rPr>
          <w:lang w:val="fr-FR"/>
        </w:rPr>
        <w:t xml:space="preserve">oivent être expédiés sous les rubriques </w:t>
      </w:r>
      <w:r w:rsidR="00962DDA">
        <w:rPr>
          <w:lang w:val="fr-FR"/>
        </w:rPr>
        <w:t>Nos ONU 2800 ACCUMULATEURS électriques, INVERSABLES REMPLIS D’ÉLECTROLYTE LIQUIDE, 2794 ACCUMULATEURS électriques, INVERSABLES REMPLIS D’ÉLECTROLYTE LIQUIDE ACIDE, 2795 ACCUMULATEURS électriques, INVERSABLES REMPLIS D’ÉLECTROLYTE LIQUIDE ALCALIN, 3028 ACCUMULATEURS électriques, SECS CONTENANT DE L’HYDROXYDE DE POTASSIUM SOLIDE, 3596 PILES AU NICKEL HYDRURE</w:t>
      </w:r>
      <w:r w:rsidR="00962DDA" w:rsidRPr="0059443A">
        <w:rPr>
          <w:lang w:val="fr-FR"/>
        </w:rPr>
        <w:t>, selon qu’il convient.</w:t>
      </w:r>
      <w:r w:rsidR="00962DDA">
        <w:rPr>
          <w:lang w:val="fr-FR"/>
        </w:rPr>
        <w:t>»</w:t>
      </w:r>
    </w:p>
    <w:p w:rsidR="00B31474" w:rsidRDefault="00B31474">
      <w:pPr>
        <w:pStyle w:val="SingleTxtG"/>
        <w:spacing w:before="240" w:after="0"/>
        <w:jc w:val="center"/>
        <w:rPr>
          <w:u w:val="single"/>
        </w:rPr>
      </w:pPr>
      <w:r>
        <w:rPr>
          <w:rFonts w:eastAsia="Arial"/>
          <w:u w:val="single"/>
        </w:rPr>
        <w:tab/>
      </w:r>
      <w:r>
        <w:rPr>
          <w:rFonts w:eastAsia="Arial"/>
          <w:u w:val="single"/>
        </w:rPr>
        <w:tab/>
      </w:r>
      <w:r>
        <w:rPr>
          <w:rFonts w:eastAsia="Arial"/>
          <w:u w:val="single"/>
        </w:rPr>
        <w:tab/>
      </w:r>
    </w:p>
    <w:sectPr w:rsidR="00B31474">
      <w:headerReference w:type="even" r:id="rId10"/>
      <w:headerReference w:type="default" r:id="rId11"/>
      <w:footerReference w:type="even" r:id="rId12"/>
      <w:footerReference w:type="default" r:id="rId13"/>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DFA" w:rsidRDefault="00920DFA"/>
  </w:endnote>
  <w:endnote w:type="continuationSeparator" w:id="0">
    <w:p w:rsidR="00920DFA" w:rsidRDefault="00920DFA"/>
  </w:endnote>
  <w:endnote w:type="continuationNotice" w:id="1">
    <w:p w:rsidR="00920DFA" w:rsidRDefault="00920D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370" w:rsidRDefault="007C2370">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1C5EEA">
      <w:rPr>
        <w:b/>
        <w:noProof/>
        <w:sz w:val="18"/>
      </w:rPr>
      <w:t>2</w:t>
    </w:r>
    <w:r>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370" w:rsidRDefault="007C2370">
    <w:pPr>
      <w:pStyle w:val="Footer"/>
      <w:tabs>
        <w:tab w:val="right" w:pos="9638"/>
      </w:tabs>
      <w:rPr>
        <w:sz w:val="18"/>
      </w:rPr>
    </w:pPr>
    <w:r>
      <w:tab/>
    </w:r>
    <w:r>
      <w:rPr>
        <w:b/>
        <w:sz w:val="18"/>
      </w:rPr>
      <w:fldChar w:fldCharType="begin"/>
    </w:r>
    <w:r>
      <w:rPr>
        <w:b/>
        <w:sz w:val="18"/>
      </w:rPr>
      <w:instrText xml:space="preserve"> PAGE  \* MERGEFORMAT </w:instrText>
    </w:r>
    <w:r>
      <w:rPr>
        <w:b/>
        <w:sz w:val="18"/>
      </w:rPr>
      <w:fldChar w:fldCharType="separate"/>
    </w:r>
    <w:r w:rsidR="00962DDA">
      <w:rPr>
        <w:b/>
        <w:noProof/>
        <w:sz w:val="18"/>
      </w:rPr>
      <w:t>3</w:t>
    </w:r>
    <w:r>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DFA" w:rsidRDefault="00920DFA">
      <w:pPr>
        <w:tabs>
          <w:tab w:val="right" w:pos="2155"/>
        </w:tabs>
        <w:spacing w:after="80"/>
        <w:ind w:left="680"/>
        <w:rPr>
          <w:u w:val="single"/>
        </w:rPr>
      </w:pPr>
      <w:r>
        <w:rPr>
          <w:u w:val="single"/>
        </w:rPr>
        <w:tab/>
      </w:r>
    </w:p>
  </w:footnote>
  <w:footnote w:type="continuationSeparator" w:id="0">
    <w:p w:rsidR="00920DFA" w:rsidRDefault="00920DFA">
      <w:pPr>
        <w:tabs>
          <w:tab w:val="left" w:pos="2155"/>
        </w:tabs>
        <w:spacing w:after="80"/>
        <w:ind w:left="680"/>
        <w:rPr>
          <w:u w:val="single"/>
        </w:rPr>
      </w:pPr>
      <w:r>
        <w:rPr>
          <w:u w:val="single"/>
        </w:rPr>
        <w:tab/>
      </w:r>
    </w:p>
  </w:footnote>
  <w:footnote w:type="continuationNotice" w:id="1">
    <w:p w:rsidR="00920DFA" w:rsidRDefault="00920DFA"/>
  </w:footnote>
  <w:footnote w:id="2">
    <w:p w:rsidR="004E0D80" w:rsidRDefault="004E0D80" w:rsidP="004E0D80">
      <w:pPr>
        <w:pStyle w:val="FootnoteText"/>
        <w:tabs>
          <w:tab w:val="left" w:pos="1418"/>
        </w:tabs>
        <w:ind w:firstLine="0"/>
      </w:pPr>
      <w:r>
        <w:rPr>
          <w:rStyle w:val="FootnoteReference"/>
        </w:rPr>
        <w:footnoteRef/>
      </w:r>
      <w:r>
        <w:tab/>
      </w:r>
      <w:r w:rsidRPr="00BB2688">
        <w:rPr>
          <w:spacing w:val="-2"/>
          <w:lang w:val="fr-FR"/>
        </w:rPr>
        <w:t>Conformément au programme de travail du Sous-Comi</w:t>
      </w:r>
      <w:r>
        <w:rPr>
          <w:spacing w:val="-2"/>
          <w:lang w:val="fr-FR"/>
        </w:rPr>
        <w:t>té pour la période biennale 2017-2018</w:t>
      </w:r>
      <w:r w:rsidRPr="00BB2688">
        <w:rPr>
          <w:spacing w:val="-2"/>
          <w:lang w:val="fr-FR"/>
        </w:rPr>
        <w:t xml:space="preserve">, approuvé par le Comité à sa </w:t>
      </w:r>
      <w:r>
        <w:rPr>
          <w:spacing w:val="-2"/>
          <w:lang w:val="fr-FR"/>
        </w:rPr>
        <w:t>huitième</w:t>
      </w:r>
      <w:r w:rsidRPr="00BB2688">
        <w:rPr>
          <w:spacing w:val="-2"/>
          <w:lang w:val="fr-FR"/>
        </w:rPr>
        <w:t xml:space="preserve"> session (voir ST/SG/AC.10/C.3/</w:t>
      </w:r>
      <w:r>
        <w:rPr>
          <w:spacing w:val="-2"/>
          <w:lang w:val="fr-FR"/>
        </w:rPr>
        <w:t>100, par. 98, et ST/SG/AC.10/44, par. 14</w:t>
      </w:r>
      <w:r w:rsidRPr="00BB2688">
        <w:rPr>
          <w:spacing w:val="-2"/>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370" w:rsidRDefault="007C2370">
    <w:pPr>
      <w:pStyle w:val="Header"/>
      <w:rPr>
        <w:lang w:val="en-US"/>
      </w:rPr>
    </w:pPr>
    <w:r>
      <w:rPr>
        <w:lang w:val="en-US"/>
      </w:rPr>
      <w:t>S</w:t>
    </w:r>
    <w:r w:rsidR="004E0D80">
      <w:rPr>
        <w:lang w:val="en-US"/>
      </w:rPr>
      <w:t>T/SG/AC.10/C.3/2017</w:t>
    </w:r>
    <w:r>
      <w:rPr>
        <w:lang w:val="en-US"/>
      </w:rPr>
      <w:t>/</w:t>
    </w:r>
    <w:r w:rsidR="004E0D80">
      <w:rPr>
        <w:lang w:val="en-US"/>
      </w:rPr>
      <w:t>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370" w:rsidRDefault="007C2370">
    <w:pPr>
      <w:pStyle w:val="Header"/>
      <w:jc w:val="right"/>
      <w:rPr>
        <w:lang w:val="en-US"/>
      </w:rPr>
    </w:pPr>
    <w:r>
      <w:rPr>
        <w:lang w:val="en-US"/>
      </w:rPr>
      <w:t>ECE/TRANS/WP.15/AC.1/2012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5"/>
      <w:numFmt w:val="bullet"/>
      <w:lvlText w:val="-"/>
      <w:lvlJc w:val="left"/>
      <w:pPr>
        <w:tabs>
          <w:tab w:val="num" w:pos="2771"/>
        </w:tabs>
        <w:ind w:left="2771" w:hanging="360"/>
      </w:pPr>
      <w:rPr>
        <w:rFonts w:ascii="Times New Roman" w:hAnsi="Times New Roman" w:cs="Times New Roman"/>
      </w:rPr>
    </w:lvl>
  </w:abstractNum>
  <w:abstractNum w:abstractNumId="1">
    <w:nsid w:val="00000004"/>
    <w:multiLevelType w:val="singleLevel"/>
    <w:tmpl w:val="00000004"/>
    <w:name w:val="WW8Num7"/>
    <w:lvl w:ilvl="0">
      <w:start w:val="2"/>
      <w:numFmt w:val="lowerRoman"/>
      <w:lvlText w:val="(%1)"/>
      <w:lvlJc w:val="left"/>
      <w:pPr>
        <w:tabs>
          <w:tab w:val="num" w:pos="3131"/>
        </w:tabs>
        <w:ind w:left="3131" w:hanging="720"/>
      </w:pPr>
    </w:lvl>
  </w:abstractNum>
  <w:abstractNum w:abstractNumId="2">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EBE41F9"/>
    <w:multiLevelType w:val="multilevel"/>
    <w:tmpl w:val="9CFC1C9A"/>
    <w:lvl w:ilvl="0">
      <w:start w:val="2"/>
      <w:numFmt w:val="lowerRoman"/>
      <w:lvlText w:val="(%1)"/>
      <w:lvlJc w:val="left"/>
      <w:pPr>
        <w:tabs>
          <w:tab w:val="num" w:pos="1080"/>
        </w:tabs>
        <w:ind w:left="1080" w:hanging="720"/>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5156DAD"/>
    <w:multiLevelType w:val="hybridMultilevel"/>
    <w:tmpl w:val="6BE22A60"/>
    <w:lvl w:ilvl="0" w:tplc="89588D54">
      <w:start w:val="9"/>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6">
    <w:nsid w:val="1B4C6716"/>
    <w:multiLevelType w:val="hybridMultilevel"/>
    <w:tmpl w:val="DD385F0C"/>
    <w:lvl w:ilvl="0" w:tplc="F64C8474">
      <w:start w:val="1"/>
      <w:numFmt w:val="decimal"/>
      <w:lvlText w:val="%1."/>
      <w:lvlJc w:val="left"/>
      <w:pPr>
        <w:ind w:left="1710" w:hanging="576"/>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28FE6458"/>
    <w:multiLevelType w:val="hybridMultilevel"/>
    <w:tmpl w:val="4C4A47A8"/>
    <w:lvl w:ilvl="0" w:tplc="7A28CF46">
      <w:start w:val="8"/>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8">
    <w:nsid w:val="30892B70"/>
    <w:multiLevelType w:val="hybridMultilevel"/>
    <w:tmpl w:val="E8CC56C0"/>
    <w:lvl w:ilvl="0" w:tplc="9A7AE07A">
      <w:start w:val="5"/>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9">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nsid w:val="3C6C4A17"/>
    <w:multiLevelType w:val="hybridMultilevel"/>
    <w:tmpl w:val="1954FCD6"/>
    <w:lvl w:ilvl="0" w:tplc="3D3469FA">
      <w:start w:val="1"/>
      <w:numFmt w:val="lowerRoman"/>
      <w:lvlText w:val="(%1)"/>
      <w:lvlJc w:val="left"/>
      <w:pPr>
        <w:tabs>
          <w:tab w:val="num" w:pos="1080"/>
        </w:tabs>
        <w:ind w:left="1080" w:hanging="720"/>
      </w:pPr>
      <w:rPr>
        <w:rFonts w:cs="Aria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40164AD2"/>
    <w:multiLevelType w:val="hybridMultilevel"/>
    <w:tmpl w:val="30A6C164"/>
    <w:lvl w:ilvl="0" w:tplc="CFF0ADDA">
      <w:start w:val="1"/>
      <w:numFmt w:val="lowerLetter"/>
      <w:lvlText w:val="%1)"/>
      <w:lvlJc w:val="left"/>
      <w:pPr>
        <w:tabs>
          <w:tab w:val="num" w:pos="2775"/>
        </w:tabs>
        <w:ind w:left="2775" w:hanging="360"/>
      </w:pPr>
      <w:rPr>
        <w:rFonts w:hint="default"/>
      </w:rPr>
    </w:lvl>
    <w:lvl w:ilvl="1" w:tplc="040C0019" w:tentative="1">
      <w:start w:val="1"/>
      <w:numFmt w:val="lowerLetter"/>
      <w:lvlText w:val="%2."/>
      <w:lvlJc w:val="left"/>
      <w:pPr>
        <w:tabs>
          <w:tab w:val="num" w:pos="3495"/>
        </w:tabs>
        <w:ind w:left="3495" w:hanging="360"/>
      </w:pPr>
    </w:lvl>
    <w:lvl w:ilvl="2" w:tplc="040C001B" w:tentative="1">
      <w:start w:val="1"/>
      <w:numFmt w:val="lowerRoman"/>
      <w:lvlText w:val="%3."/>
      <w:lvlJc w:val="right"/>
      <w:pPr>
        <w:tabs>
          <w:tab w:val="num" w:pos="4215"/>
        </w:tabs>
        <w:ind w:left="4215" w:hanging="180"/>
      </w:pPr>
    </w:lvl>
    <w:lvl w:ilvl="3" w:tplc="040C000F" w:tentative="1">
      <w:start w:val="1"/>
      <w:numFmt w:val="decimal"/>
      <w:lvlText w:val="%4."/>
      <w:lvlJc w:val="left"/>
      <w:pPr>
        <w:tabs>
          <w:tab w:val="num" w:pos="4935"/>
        </w:tabs>
        <w:ind w:left="4935" w:hanging="360"/>
      </w:pPr>
    </w:lvl>
    <w:lvl w:ilvl="4" w:tplc="040C0019" w:tentative="1">
      <w:start w:val="1"/>
      <w:numFmt w:val="lowerLetter"/>
      <w:lvlText w:val="%5."/>
      <w:lvlJc w:val="left"/>
      <w:pPr>
        <w:tabs>
          <w:tab w:val="num" w:pos="5655"/>
        </w:tabs>
        <w:ind w:left="5655" w:hanging="360"/>
      </w:pPr>
    </w:lvl>
    <w:lvl w:ilvl="5" w:tplc="040C001B" w:tentative="1">
      <w:start w:val="1"/>
      <w:numFmt w:val="lowerRoman"/>
      <w:lvlText w:val="%6."/>
      <w:lvlJc w:val="right"/>
      <w:pPr>
        <w:tabs>
          <w:tab w:val="num" w:pos="6375"/>
        </w:tabs>
        <w:ind w:left="6375" w:hanging="180"/>
      </w:pPr>
    </w:lvl>
    <w:lvl w:ilvl="6" w:tplc="040C000F" w:tentative="1">
      <w:start w:val="1"/>
      <w:numFmt w:val="decimal"/>
      <w:lvlText w:val="%7."/>
      <w:lvlJc w:val="left"/>
      <w:pPr>
        <w:tabs>
          <w:tab w:val="num" w:pos="7095"/>
        </w:tabs>
        <w:ind w:left="7095" w:hanging="360"/>
      </w:pPr>
    </w:lvl>
    <w:lvl w:ilvl="7" w:tplc="040C0019" w:tentative="1">
      <w:start w:val="1"/>
      <w:numFmt w:val="lowerLetter"/>
      <w:lvlText w:val="%8."/>
      <w:lvlJc w:val="left"/>
      <w:pPr>
        <w:tabs>
          <w:tab w:val="num" w:pos="7815"/>
        </w:tabs>
        <w:ind w:left="7815" w:hanging="360"/>
      </w:pPr>
    </w:lvl>
    <w:lvl w:ilvl="8" w:tplc="040C001B" w:tentative="1">
      <w:start w:val="1"/>
      <w:numFmt w:val="lowerRoman"/>
      <w:lvlText w:val="%9."/>
      <w:lvlJc w:val="right"/>
      <w:pPr>
        <w:tabs>
          <w:tab w:val="num" w:pos="8535"/>
        </w:tabs>
        <w:ind w:left="8535" w:hanging="180"/>
      </w:pPr>
    </w:lvl>
  </w:abstractNum>
  <w:abstractNum w:abstractNumId="12">
    <w:nsid w:val="45187CC0"/>
    <w:multiLevelType w:val="hybridMultilevel"/>
    <w:tmpl w:val="6BE22A60"/>
    <w:lvl w:ilvl="0" w:tplc="89588D54">
      <w:start w:val="9"/>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3">
    <w:nsid w:val="459A69C6"/>
    <w:multiLevelType w:val="hybridMultilevel"/>
    <w:tmpl w:val="E2F2D80C"/>
    <w:lvl w:ilvl="0" w:tplc="2394601E">
      <w:start w:val="1"/>
      <w:numFmt w:val="decimal"/>
      <w:lvlText w:val="%1."/>
      <w:lvlJc w:val="left"/>
      <w:pPr>
        <w:ind w:left="1734" w:hanging="60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5A83202E"/>
    <w:multiLevelType w:val="hybridMultilevel"/>
    <w:tmpl w:val="087E3266"/>
    <w:lvl w:ilvl="0" w:tplc="B7D26494">
      <w:start w:val="1"/>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5">
    <w:nsid w:val="663E3725"/>
    <w:multiLevelType w:val="hybridMultilevel"/>
    <w:tmpl w:val="312A7FF2"/>
    <w:lvl w:ilvl="0" w:tplc="44C23748">
      <w:start w:val="1"/>
      <w:numFmt w:val="decimal"/>
      <w:lvlText w:val="%1."/>
      <w:lvlJc w:val="left"/>
      <w:pPr>
        <w:ind w:left="1710" w:hanging="576"/>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6">
    <w:nsid w:val="68AD07B2"/>
    <w:multiLevelType w:val="hybridMultilevel"/>
    <w:tmpl w:val="F67EDAEE"/>
    <w:lvl w:ilvl="0" w:tplc="69602098">
      <w:start w:val="1"/>
      <w:numFmt w:val="lowerLetter"/>
      <w:pStyle w:val="Bullet1G"/>
      <w:lvlText w:val="(%1)"/>
      <w:lvlJc w:val="left"/>
      <w:pPr>
        <w:tabs>
          <w:tab w:val="num" w:pos="1701"/>
        </w:tabs>
        <w:ind w:left="1701" w:hanging="170"/>
      </w:pPr>
      <w:rPr>
        <w:rFonts w:ascii="Times New Roman" w:eastAsia="Times New Roman" w:hAnsi="Times New Roman" w:cs="Times New Roman"/>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nsid w:val="70177220"/>
    <w:multiLevelType w:val="hybridMultilevel"/>
    <w:tmpl w:val="4948A01E"/>
    <w:lvl w:ilvl="0" w:tplc="E8D4B2A8">
      <w:start w:val="1"/>
      <w:numFmt w:val="decimal"/>
      <w:lvlText w:val="%1."/>
      <w:lvlJc w:val="left"/>
      <w:pPr>
        <w:ind w:left="1710" w:hanging="576"/>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8">
    <w:nsid w:val="71C60DE8"/>
    <w:multiLevelType w:val="hybridMultilevel"/>
    <w:tmpl w:val="6A14144A"/>
    <w:lvl w:ilvl="0" w:tplc="FB208D76">
      <w:start w:val="6"/>
      <w:numFmt w:val="bullet"/>
      <w:lvlText w:val="-"/>
      <w:lvlJc w:val="left"/>
      <w:pPr>
        <w:tabs>
          <w:tab w:val="num" w:pos="1211"/>
        </w:tabs>
        <w:ind w:left="1211" w:hanging="360"/>
      </w:pPr>
      <w:rPr>
        <w:rFonts w:ascii="Times New Roman" w:eastAsia="Times New Roman" w:hAnsi="Times New Roman" w:cs="Times New Roman" w:hint="default"/>
      </w:rPr>
    </w:lvl>
    <w:lvl w:ilvl="1" w:tplc="040C0003" w:tentative="1">
      <w:start w:val="1"/>
      <w:numFmt w:val="bullet"/>
      <w:lvlText w:val="o"/>
      <w:lvlJc w:val="left"/>
      <w:pPr>
        <w:tabs>
          <w:tab w:val="num" w:pos="1931"/>
        </w:tabs>
        <w:ind w:left="1931" w:hanging="360"/>
      </w:pPr>
      <w:rPr>
        <w:rFonts w:ascii="Courier New" w:hAnsi="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19">
    <w:nsid w:val="766E1B63"/>
    <w:multiLevelType w:val="hybridMultilevel"/>
    <w:tmpl w:val="5B288170"/>
    <w:lvl w:ilvl="0" w:tplc="0DBEB288">
      <w:start w:val="2"/>
      <w:numFmt w:val="lowerRoman"/>
      <w:lvlText w:val="(%1)"/>
      <w:lvlJc w:val="left"/>
      <w:pPr>
        <w:tabs>
          <w:tab w:val="num" w:pos="1080"/>
        </w:tabs>
        <w:ind w:left="1080" w:hanging="720"/>
      </w:pPr>
      <w:rPr>
        <w:rFonts w:cs="Arial"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6"/>
  </w:num>
  <w:num w:numId="2">
    <w:abstractNumId w:val="9"/>
  </w:num>
  <w:num w:numId="3">
    <w:abstractNumId w:val="0"/>
  </w:num>
  <w:num w:numId="4">
    <w:abstractNumId w:val="1"/>
  </w:num>
  <w:num w:numId="5">
    <w:abstractNumId w:val="2"/>
  </w:num>
  <w:num w:numId="6">
    <w:abstractNumId w:val="8"/>
  </w:num>
  <w:num w:numId="7">
    <w:abstractNumId w:val="14"/>
  </w:num>
  <w:num w:numId="8">
    <w:abstractNumId w:val="18"/>
  </w:num>
  <w:num w:numId="9">
    <w:abstractNumId w:val="11"/>
  </w:num>
  <w:num w:numId="10">
    <w:abstractNumId w:val="19"/>
  </w:num>
  <w:num w:numId="11">
    <w:abstractNumId w:val="10"/>
  </w:num>
  <w:num w:numId="12">
    <w:abstractNumId w:val="16"/>
  </w:num>
  <w:num w:numId="13">
    <w:abstractNumId w:val="16"/>
  </w:num>
  <w:num w:numId="14">
    <w:abstractNumId w:val="16"/>
  </w:num>
  <w:num w:numId="15">
    <w:abstractNumId w:val="4"/>
  </w:num>
  <w:num w:numId="16">
    <w:abstractNumId w:val="6"/>
  </w:num>
  <w:num w:numId="17">
    <w:abstractNumId w:val="13"/>
  </w:num>
  <w:num w:numId="18">
    <w:abstractNumId w:val="3"/>
  </w:num>
  <w:num w:numId="19">
    <w:abstractNumId w:val="17"/>
  </w:num>
  <w:num w:numId="20">
    <w:abstractNumId w:val="7"/>
  </w:num>
  <w:num w:numId="21">
    <w:abstractNumId w:val="5"/>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9"/>
  </w:hdrShapeDefaults>
  <w:footnotePr>
    <w:numFmt w:val="chicago"/>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7102"/>
    <w:rsid w:val="00012DAC"/>
    <w:rsid w:val="00013866"/>
    <w:rsid w:val="00014AEA"/>
    <w:rsid w:val="000412DA"/>
    <w:rsid w:val="00042CFB"/>
    <w:rsid w:val="00046BFA"/>
    <w:rsid w:val="00051400"/>
    <w:rsid w:val="00054394"/>
    <w:rsid w:val="0005650A"/>
    <w:rsid w:val="000659E4"/>
    <w:rsid w:val="000806FE"/>
    <w:rsid w:val="000B3266"/>
    <w:rsid w:val="000C06F0"/>
    <w:rsid w:val="000F1361"/>
    <w:rsid w:val="000F7333"/>
    <w:rsid w:val="001058BC"/>
    <w:rsid w:val="001300FA"/>
    <w:rsid w:val="00142FBC"/>
    <w:rsid w:val="00151074"/>
    <w:rsid w:val="001A44AF"/>
    <w:rsid w:val="001C5EEA"/>
    <w:rsid w:val="001C6A24"/>
    <w:rsid w:val="001E0915"/>
    <w:rsid w:val="001E36A9"/>
    <w:rsid w:val="00203D55"/>
    <w:rsid w:val="00210222"/>
    <w:rsid w:val="002109B5"/>
    <w:rsid w:val="0023481B"/>
    <w:rsid w:val="00236B05"/>
    <w:rsid w:val="00237CAF"/>
    <w:rsid w:val="00242278"/>
    <w:rsid w:val="00253A00"/>
    <w:rsid w:val="0026107C"/>
    <w:rsid w:val="002B2A54"/>
    <w:rsid w:val="002D0389"/>
    <w:rsid w:val="002D3C26"/>
    <w:rsid w:val="002E2543"/>
    <w:rsid w:val="00321DA8"/>
    <w:rsid w:val="00366908"/>
    <w:rsid w:val="00377958"/>
    <w:rsid w:val="003A46D3"/>
    <w:rsid w:val="003C1D73"/>
    <w:rsid w:val="003F76C3"/>
    <w:rsid w:val="00403C69"/>
    <w:rsid w:val="00410486"/>
    <w:rsid w:val="00411A60"/>
    <w:rsid w:val="004133DE"/>
    <w:rsid w:val="004362EC"/>
    <w:rsid w:val="00460828"/>
    <w:rsid w:val="00460FB7"/>
    <w:rsid w:val="004909C7"/>
    <w:rsid w:val="00490C26"/>
    <w:rsid w:val="00494212"/>
    <w:rsid w:val="004B6935"/>
    <w:rsid w:val="004C0A91"/>
    <w:rsid w:val="004C7AF3"/>
    <w:rsid w:val="004D406E"/>
    <w:rsid w:val="004E0D80"/>
    <w:rsid w:val="004E16BC"/>
    <w:rsid w:val="005343BA"/>
    <w:rsid w:val="00553ABF"/>
    <w:rsid w:val="00582F51"/>
    <w:rsid w:val="005A4236"/>
    <w:rsid w:val="005B7088"/>
    <w:rsid w:val="005D5FB8"/>
    <w:rsid w:val="005F25FC"/>
    <w:rsid w:val="00602038"/>
    <w:rsid w:val="00633856"/>
    <w:rsid w:val="00637F41"/>
    <w:rsid w:val="006437EB"/>
    <w:rsid w:val="00654BFA"/>
    <w:rsid w:val="006655BC"/>
    <w:rsid w:val="00667BBE"/>
    <w:rsid w:val="00692206"/>
    <w:rsid w:val="00693E6C"/>
    <w:rsid w:val="006A3076"/>
    <w:rsid w:val="006B41BB"/>
    <w:rsid w:val="006E38B9"/>
    <w:rsid w:val="00734DB1"/>
    <w:rsid w:val="00744BF7"/>
    <w:rsid w:val="00770CF5"/>
    <w:rsid w:val="007808F4"/>
    <w:rsid w:val="007848F1"/>
    <w:rsid w:val="00797850"/>
    <w:rsid w:val="007A3980"/>
    <w:rsid w:val="007B3972"/>
    <w:rsid w:val="007C2370"/>
    <w:rsid w:val="007F25D7"/>
    <w:rsid w:val="007F44FA"/>
    <w:rsid w:val="007F5758"/>
    <w:rsid w:val="007F7FB2"/>
    <w:rsid w:val="00815CBA"/>
    <w:rsid w:val="0088239A"/>
    <w:rsid w:val="008E603E"/>
    <w:rsid w:val="00920DFA"/>
    <w:rsid w:val="00936806"/>
    <w:rsid w:val="00942D74"/>
    <w:rsid w:val="00962DDA"/>
    <w:rsid w:val="00963ABD"/>
    <w:rsid w:val="009720BA"/>
    <w:rsid w:val="009809C7"/>
    <w:rsid w:val="009C65A4"/>
    <w:rsid w:val="009F1D42"/>
    <w:rsid w:val="00A02EBD"/>
    <w:rsid w:val="00A12E4C"/>
    <w:rsid w:val="00A33E02"/>
    <w:rsid w:val="00A37724"/>
    <w:rsid w:val="00A47DAE"/>
    <w:rsid w:val="00A64AD8"/>
    <w:rsid w:val="00A64E61"/>
    <w:rsid w:val="00A702DC"/>
    <w:rsid w:val="00AD40CE"/>
    <w:rsid w:val="00AD6337"/>
    <w:rsid w:val="00B00E7A"/>
    <w:rsid w:val="00B31474"/>
    <w:rsid w:val="00B535AB"/>
    <w:rsid w:val="00B54566"/>
    <w:rsid w:val="00B62DE4"/>
    <w:rsid w:val="00B87401"/>
    <w:rsid w:val="00B90BC5"/>
    <w:rsid w:val="00B96B24"/>
    <w:rsid w:val="00BA24A5"/>
    <w:rsid w:val="00BC3265"/>
    <w:rsid w:val="00BE0804"/>
    <w:rsid w:val="00BF5491"/>
    <w:rsid w:val="00C25565"/>
    <w:rsid w:val="00C3691C"/>
    <w:rsid w:val="00C45B63"/>
    <w:rsid w:val="00C557B3"/>
    <w:rsid w:val="00C55D8F"/>
    <w:rsid w:val="00CA6F0F"/>
    <w:rsid w:val="00CB75C1"/>
    <w:rsid w:val="00CD093A"/>
    <w:rsid w:val="00CE7102"/>
    <w:rsid w:val="00CF15C4"/>
    <w:rsid w:val="00D13709"/>
    <w:rsid w:val="00D447FB"/>
    <w:rsid w:val="00D63F67"/>
    <w:rsid w:val="00D80310"/>
    <w:rsid w:val="00D96C4D"/>
    <w:rsid w:val="00DA422B"/>
    <w:rsid w:val="00DC3E98"/>
    <w:rsid w:val="00DC7C47"/>
    <w:rsid w:val="00DF0BF7"/>
    <w:rsid w:val="00E342C8"/>
    <w:rsid w:val="00E60D87"/>
    <w:rsid w:val="00E6328D"/>
    <w:rsid w:val="00E72C4C"/>
    <w:rsid w:val="00E8311F"/>
    <w:rsid w:val="00EB0F23"/>
    <w:rsid w:val="00EC76DD"/>
    <w:rsid w:val="00ED14EB"/>
    <w:rsid w:val="00ED6661"/>
    <w:rsid w:val="00EE3058"/>
    <w:rsid w:val="00F433B8"/>
    <w:rsid w:val="00F43B95"/>
    <w:rsid w:val="00F43BCB"/>
    <w:rsid w:val="00F46AFD"/>
    <w:rsid w:val="00F62ED1"/>
    <w:rsid w:val="00F71F61"/>
    <w:rsid w:val="00FA4A4F"/>
    <w:rsid w:val="00FB00F6"/>
    <w:rsid w:val="00FD1977"/>
    <w:rsid w:val="00FE6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4BFA"/>
    <w:pPr>
      <w:suppressAutoHyphens/>
      <w:spacing w:line="240" w:lineRule="atLeast"/>
    </w:pPr>
    <w:rPr>
      <w:lang w:val="fr-CH"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eastAsia="x-none"/>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FootnoteReference">
    <w:name w:val="footnote reference"/>
    <w:aliases w:val="4_G"/>
    <w:semiHidden/>
    <w:rPr>
      <w:rFonts w:ascii="Times New Roman" w:hAnsi="Times New Roman"/>
      <w:sz w:val="18"/>
      <w:vertAlign w:val="superscript"/>
      <w:lang w:val="fr-CH"/>
    </w:rPr>
  </w:style>
  <w:style w:type="character" w:styleId="EndnoteReference">
    <w:name w:val="endnote reference"/>
    <w:aliases w:val="1_G"/>
    <w:basedOn w:val="FootnoteReference"/>
    <w:semiHidden/>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semiHidden/>
    <w:pPr>
      <w:tabs>
        <w:tab w:val="right" w:pos="1021"/>
      </w:tabs>
      <w:spacing w:line="220" w:lineRule="exact"/>
      <w:ind w:left="1134" w:right="1134" w:hanging="1134"/>
    </w:pPr>
    <w:rPr>
      <w:sz w:val="18"/>
    </w:rPr>
  </w:style>
  <w:style w:type="paragraph" w:styleId="EndnoteText">
    <w:name w:val="endnote text"/>
    <w:aliases w:val="2_G"/>
    <w:basedOn w:val="FootnoteText"/>
    <w:semiHidden/>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customStyle="1" w:styleId="WW8Num13z2">
    <w:name w:val="WW8Num13z2"/>
    <w:rsid w:val="00E72C4C"/>
    <w:rPr>
      <w:rFonts w:ascii="Wingdings" w:hAnsi="Wingdings"/>
    </w:rPr>
  </w:style>
  <w:style w:type="character" w:customStyle="1" w:styleId="SingleTxtGChar">
    <w:name w:val="_ Single Txt_G Char"/>
    <w:link w:val="SingleTxtG"/>
    <w:rsid w:val="004133DE"/>
    <w:rPr>
      <w:lang w:val="fr-CH" w:eastAsia="en-US" w:bidi="ar-SA"/>
    </w:rPr>
  </w:style>
  <w:style w:type="character" w:styleId="Hyperlink">
    <w:name w:val="Hyperlink"/>
    <w:rPr>
      <w:color w:val="auto"/>
      <w:u w:val="none"/>
    </w:rPr>
  </w:style>
  <w:style w:type="character" w:styleId="FollowedHyperlink">
    <w:name w:val="FollowedHyperlink"/>
    <w:rPr>
      <w:color w:val="auto"/>
      <w:u w:val="none"/>
    </w:rPr>
  </w:style>
  <w:style w:type="paragraph" w:customStyle="1" w:styleId="Lgende1">
    <w:name w:val="Légende1"/>
    <w:basedOn w:val="Normal"/>
    <w:next w:val="Normal"/>
    <w:pPr>
      <w:tabs>
        <w:tab w:val="left" w:pos="425"/>
        <w:tab w:val="left" w:pos="851"/>
        <w:tab w:val="left" w:pos="1276"/>
      </w:tabs>
      <w:suppressAutoHyphens w:val="0"/>
      <w:spacing w:before="120" w:after="120" w:line="240" w:lineRule="auto"/>
      <w:jc w:val="both"/>
    </w:pPr>
    <w:rPr>
      <w:rFonts w:ascii="Arial" w:hAnsi="Arial"/>
      <w:b/>
      <w:bCs/>
      <w:color w:val="000000"/>
      <w:lang w:val="de-DE" w:eastAsia="ar-SA"/>
    </w:rPr>
  </w:style>
  <w:style w:type="paragraph" w:styleId="Caption">
    <w:name w:val="caption"/>
    <w:basedOn w:val="Normal"/>
    <w:next w:val="Normal"/>
    <w:qFormat/>
    <w:rsid w:val="004133DE"/>
    <w:pPr>
      <w:tabs>
        <w:tab w:val="left" w:pos="425"/>
        <w:tab w:val="left" w:pos="851"/>
        <w:tab w:val="left" w:pos="1276"/>
      </w:tabs>
      <w:suppressAutoHyphens w:val="0"/>
      <w:spacing w:before="120" w:after="120" w:line="240" w:lineRule="auto"/>
      <w:jc w:val="both"/>
    </w:pPr>
    <w:rPr>
      <w:rFonts w:ascii="Arial" w:hAnsi="Arial"/>
      <w:b/>
      <w:bCs/>
      <w:color w:val="000000"/>
      <w:lang w:val="de-DE" w:eastAsia="ar-SA"/>
    </w:rPr>
  </w:style>
  <w:style w:type="paragraph" w:styleId="BodyText2">
    <w:name w:val="Body Text 2"/>
    <w:basedOn w:val="Normal"/>
    <w:rsid w:val="004133DE"/>
    <w:pPr>
      <w:tabs>
        <w:tab w:val="left" w:pos="425"/>
        <w:tab w:val="left" w:pos="851"/>
        <w:tab w:val="left" w:pos="1276"/>
        <w:tab w:val="left" w:pos="2410"/>
      </w:tabs>
      <w:suppressAutoHyphens w:val="0"/>
      <w:spacing w:line="240" w:lineRule="auto"/>
      <w:jc w:val="both"/>
    </w:pPr>
    <w:rPr>
      <w:color w:val="000000"/>
      <w:sz w:val="24"/>
      <w:szCs w:val="24"/>
      <w:lang w:val="fr-FR" w:eastAsia="ar-SA"/>
    </w:rPr>
  </w:style>
  <w:style w:type="paragraph" w:styleId="BlockText">
    <w:name w:val="Block Text"/>
    <w:basedOn w:val="Normal"/>
    <w:rsid w:val="004133DE"/>
    <w:pPr>
      <w:tabs>
        <w:tab w:val="left" w:pos="2268"/>
      </w:tabs>
      <w:spacing w:line="240" w:lineRule="auto"/>
      <w:ind w:left="2268" w:right="-12"/>
      <w:jc w:val="both"/>
    </w:pPr>
    <w:rPr>
      <w:rFonts w:cs="Arial"/>
      <w:sz w:val="24"/>
      <w:lang w:val="en-GB" w:eastAsia="ar-SA"/>
    </w:rPr>
  </w:style>
  <w:style w:type="paragraph" w:styleId="BodyText3">
    <w:name w:val="Body Text 3"/>
    <w:basedOn w:val="Normal"/>
    <w:rsid w:val="004133DE"/>
    <w:pPr>
      <w:tabs>
        <w:tab w:val="left" w:pos="0"/>
        <w:tab w:val="left" w:pos="425"/>
        <w:tab w:val="left" w:pos="851"/>
        <w:tab w:val="left" w:pos="1276"/>
      </w:tabs>
      <w:suppressAutoHyphens w:val="0"/>
      <w:spacing w:line="240" w:lineRule="auto"/>
      <w:ind w:right="-12"/>
      <w:jc w:val="both"/>
    </w:pPr>
    <w:rPr>
      <w:color w:val="000000"/>
      <w:sz w:val="24"/>
      <w:lang w:val="fr-FR" w:eastAsia="ar-SA"/>
    </w:rPr>
  </w:style>
  <w:style w:type="table" w:styleId="TableGrid">
    <w:name w:val="Table Grid"/>
    <w:basedOn w:val="TableNormal"/>
    <w:rsid w:val="00236B0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36A9"/>
    <w:pPr>
      <w:spacing w:line="240" w:lineRule="auto"/>
    </w:pPr>
    <w:rPr>
      <w:rFonts w:ascii="Tahoma" w:hAnsi="Tahoma" w:cs="Tahoma"/>
      <w:sz w:val="16"/>
      <w:szCs w:val="16"/>
    </w:rPr>
  </w:style>
  <w:style w:type="character" w:customStyle="1" w:styleId="BalloonTextChar">
    <w:name w:val="Balloon Text Char"/>
    <w:link w:val="BalloonText"/>
    <w:rsid w:val="001E36A9"/>
    <w:rPr>
      <w:rFonts w:ascii="Tahoma" w:hAnsi="Tahoma" w:cs="Tahoma"/>
      <w:sz w:val="16"/>
      <w:szCs w:val="16"/>
      <w:lang w:val="fr-CH"/>
    </w:rPr>
  </w:style>
  <w:style w:type="character" w:customStyle="1" w:styleId="SingleTxtGCar">
    <w:name w:val="_ Single Txt_G Car"/>
    <w:rsid w:val="00490C26"/>
    <w:rPr>
      <w:lang w:val="fr-CH" w:eastAsia="en-US" w:bidi="ar-SA"/>
    </w:rPr>
  </w:style>
  <w:style w:type="character" w:customStyle="1" w:styleId="HChGChar">
    <w:name w:val="_ H _Ch_G Char"/>
    <w:link w:val="HChG"/>
    <w:rsid w:val="00490C26"/>
    <w:rPr>
      <w:b/>
      <w:sz w:val="28"/>
      <w:lang w:val="fr-CH"/>
    </w:rPr>
  </w:style>
  <w:style w:type="paragraph" w:customStyle="1" w:styleId="ParNoG">
    <w:name w:val="_ParNo_G"/>
    <w:basedOn w:val="SingleTxtG"/>
    <w:link w:val="ParNoGCar"/>
    <w:rsid w:val="00460828"/>
    <w:pPr>
      <w:numPr>
        <w:numId w:val="18"/>
      </w:numPr>
    </w:pPr>
  </w:style>
  <w:style w:type="character" w:customStyle="1" w:styleId="ParNoGCar">
    <w:name w:val="_ParNo_G Car"/>
    <w:link w:val="ParNoG"/>
    <w:rsid w:val="00460828"/>
    <w:rPr>
      <w:lang w:eastAsia="en-US"/>
    </w:rPr>
  </w:style>
  <w:style w:type="character" w:customStyle="1" w:styleId="H23GChar">
    <w:name w:val="_ H_2/3_G Char"/>
    <w:link w:val="H23G"/>
    <w:rsid w:val="006655BC"/>
    <w:rPr>
      <w:b/>
      <w:lang w:eastAsia="en-US"/>
    </w:rPr>
  </w:style>
  <w:style w:type="paragraph" w:styleId="BodyTextIndent3">
    <w:name w:val="Body Text Indent 3"/>
    <w:basedOn w:val="Normal"/>
    <w:link w:val="BodyTextIndent3Char"/>
    <w:rsid w:val="00042CFB"/>
    <w:pPr>
      <w:spacing w:after="120"/>
      <w:ind w:left="283"/>
    </w:pPr>
    <w:rPr>
      <w:sz w:val="16"/>
      <w:szCs w:val="16"/>
    </w:rPr>
  </w:style>
  <w:style w:type="character" w:customStyle="1" w:styleId="BodyTextIndent3Char">
    <w:name w:val="Body Text Indent 3 Char"/>
    <w:link w:val="BodyTextIndent3"/>
    <w:rsid w:val="00042CFB"/>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645835">
      <w:bodyDiv w:val="1"/>
      <w:marLeft w:val="0"/>
      <w:marRight w:val="0"/>
      <w:marTop w:val="0"/>
      <w:marBottom w:val="0"/>
      <w:divBdr>
        <w:top w:val="none" w:sz="0" w:space="0" w:color="auto"/>
        <w:left w:val="none" w:sz="0" w:space="0" w:color="auto"/>
        <w:bottom w:val="none" w:sz="0" w:space="0" w:color="auto"/>
        <w:right w:val="none" w:sz="0" w:space="0" w:color="auto"/>
      </w:divBdr>
    </w:div>
    <w:div w:id="923298642">
      <w:bodyDiv w:val="1"/>
      <w:marLeft w:val="0"/>
      <w:marRight w:val="0"/>
      <w:marTop w:val="0"/>
      <w:marBottom w:val="0"/>
      <w:divBdr>
        <w:top w:val="none" w:sz="0" w:space="0" w:color="auto"/>
        <w:left w:val="none" w:sz="0" w:space="0" w:color="auto"/>
        <w:bottom w:val="none" w:sz="0" w:space="0" w:color="auto"/>
        <w:right w:val="none" w:sz="0" w:space="0" w:color="auto"/>
      </w:divBdr>
    </w:div>
    <w:div w:id="997421881">
      <w:bodyDiv w:val="1"/>
      <w:marLeft w:val="0"/>
      <w:marRight w:val="0"/>
      <w:marTop w:val="0"/>
      <w:marBottom w:val="0"/>
      <w:divBdr>
        <w:top w:val="none" w:sz="0" w:space="0" w:color="auto"/>
        <w:left w:val="none" w:sz="0" w:space="0" w:color="auto"/>
        <w:bottom w:val="none" w:sz="0" w:space="0" w:color="auto"/>
        <w:right w:val="none" w:sz="0" w:space="0" w:color="auto"/>
      </w:divBdr>
    </w:div>
    <w:div w:id="194006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6860A-4CA2-429E-8EBC-1E503014B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505</Words>
  <Characters>2879</Characters>
  <Application>Microsoft Office Word</Application>
  <DocSecurity>0</DocSecurity>
  <Lines>63</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Collet</dc:creator>
  <cp:lastModifiedBy>Laurence Berthet</cp:lastModifiedBy>
  <cp:revision>6</cp:revision>
  <cp:lastPrinted>2017-04-03T12:58:00Z</cp:lastPrinted>
  <dcterms:created xsi:type="dcterms:W3CDTF">2017-03-30T06:19:00Z</dcterms:created>
  <dcterms:modified xsi:type="dcterms:W3CDTF">2017-04-03T12:58:00Z</dcterms:modified>
</cp:coreProperties>
</file>