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A480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A4804" w:rsidP="009A4804">
            <w:pPr>
              <w:jc w:val="right"/>
            </w:pPr>
            <w:r w:rsidRPr="009A4804">
              <w:rPr>
                <w:sz w:val="40"/>
              </w:rPr>
              <w:t>ST</w:t>
            </w:r>
            <w:r>
              <w:t>/SG/AC.10/C.3/102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A4804" w:rsidP="00F01738">
            <w:pPr>
              <w:spacing w:before="240"/>
            </w:pPr>
            <w:r>
              <w:t>Distr. générale</w:t>
            </w:r>
          </w:p>
          <w:p w:rsidR="009A4804" w:rsidRDefault="009A4804" w:rsidP="009A4804">
            <w:pPr>
              <w:spacing w:line="240" w:lineRule="exact"/>
            </w:pPr>
            <w:r>
              <w:t>21 juillet 2017</w:t>
            </w:r>
          </w:p>
          <w:p w:rsidR="009A4804" w:rsidRDefault="009A4804" w:rsidP="009A4804">
            <w:pPr>
              <w:spacing w:line="240" w:lineRule="exact"/>
            </w:pPr>
            <w:r>
              <w:t>Français</w:t>
            </w:r>
          </w:p>
          <w:p w:rsidR="009A4804" w:rsidRPr="00DB58B5" w:rsidRDefault="009A4804" w:rsidP="00295FAB">
            <w:pPr>
              <w:spacing w:line="240" w:lineRule="exact"/>
            </w:pPr>
            <w:r>
              <w:t>Original</w:t>
            </w:r>
            <w:r w:rsidR="00295FAB">
              <w:t> </w:t>
            </w:r>
            <w:r>
              <w:t>: anglais</w:t>
            </w:r>
          </w:p>
        </w:tc>
      </w:tr>
    </w:tbl>
    <w:p w:rsidR="009A4804" w:rsidRPr="00CA0680" w:rsidRDefault="009A4804" w:rsidP="000305D3">
      <w:pPr>
        <w:spacing w:before="120"/>
        <w:rPr>
          <w:b/>
          <w:sz w:val="24"/>
          <w:szCs w:val="24"/>
        </w:rPr>
      </w:pPr>
      <w:r w:rsidRPr="00CA0680">
        <w:rPr>
          <w:b/>
          <w:sz w:val="24"/>
          <w:szCs w:val="24"/>
        </w:rPr>
        <w:t>Comité d</w:t>
      </w:r>
      <w:r w:rsidR="00295FAB">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95FAB">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9A4804" w:rsidRPr="00CA0680" w:rsidRDefault="009A4804" w:rsidP="000305D3">
      <w:pPr>
        <w:spacing w:before="120"/>
        <w:rPr>
          <w:b/>
        </w:rPr>
      </w:pPr>
      <w:r w:rsidRPr="00CA0680">
        <w:rPr>
          <w:b/>
        </w:rPr>
        <w:t>Sous</w:t>
      </w:r>
      <w:r>
        <w:rPr>
          <w:b/>
        </w:rPr>
        <w:t>-</w:t>
      </w:r>
      <w:r w:rsidRPr="00CA0680">
        <w:rPr>
          <w:b/>
        </w:rPr>
        <w:t>Comité d</w:t>
      </w:r>
      <w:r w:rsidR="00295FAB">
        <w:rPr>
          <w:b/>
        </w:rPr>
        <w:t>’</w:t>
      </w:r>
      <w:r w:rsidRPr="00CA0680">
        <w:rPr>
          <w:b/>
        </w:rPr>
        <w:t>experts du transport des marchandises dangereuses</w:t>
      </w:r>
    </w:p>
    <w:p w:rsidR="00D77CF7" w:rsidRPr="00CF5BFF" w:rsidRDefault="00D77CF7" w:rsidP="00D77CF7">
      <w:pPr>
        <w:pStyle w:val="HChG"/>
        <w:rPr>
          <w:lang w:val="fr-FR"/>
        </w:rPr>
      </w:pPr>
      <w:r w:rsidRPr="00CF5BFF">
        <w:rPr>
          <w:lang w:val="fr-FR"/>
        </w:rPr>
        <w:tab/>
      </w:r>
      <w:r w:rsidRPr="00CF5BFF">
        <w:rPr>
          <w:lang w:val="fr-FR"/>
        </w:rPr>
        <w:tab/>
        <w:t>Rapport du Sous-Comité d</w:t>
      </w:r>
      <w:r w:rsidR="00295FAB">
        <w:rPr>
          <w:lang w:val="fr-FR"/>
        </w:rPr>
        <w:t>’</w:t>
      </w:r>
      <w:r w:rsidRPr="00CF5BFF">
        <w:rPr>
          <w:lang w:val="fr-FR"/>
        </w:rPr>
        <w:t xml:space="preserve">experts du transport </w:t>
      </w:r>
      <w:r>
        <w:rPr>
          <w:lang w:val="fr-FR"/>
        </w:rPr>
        <w:br/>
      </w:r>
      <w:r w:rsidRPr="00D77CF7">
        <w:rPr>
          <w:spacing w:val="2"/>
          <w:lang w:val="fr-FR"/>
        </w:rPr>
        <w:t xml:space="preserve">des marchandises dangereuses sur </w:t>
      </w:r>
      <w:r w:rsidRPr="00D77CF7">
        <w:rPr>
          <w:spacing w:val="2"/>
          <w:lang w:val="fr-FR"/>
        </w:rPr>
        <w:br/>
        <w:t>sa cinquante et unième session</w:t>
      </w:r>
    </w:p>
    <w:p w:rsidR="009A4804" w:rsidRDefault="00D77CF7" w:rsidP="00D77CF7">
      <w:pPr>
        <w:pStyle w:val="H56G"/>
      </w:pPr>
      <w:r w:rsidRPr="00CF5BFF">
        <w:rPr>
          <w:lang w:val="fr-FR"/>
        </w:rPr>
        <w:tab/>
      </w:r>
      <w:r w:rsidRPr="00CF5BFF">
        <w:rPr>
          <w:lang w:val="fr-FR"/>
        </w:rPr>
        <w:tab/>
        <w:t>tenue à Genève du 3 au 7</w:t>
      </w:r>
      <w:r>
        <w:rPr>
          <w:lang w:val="fr-FR"/>
        </w:rPr>
        <w:t> </w:t>
      </w:r>
      <w:r w:rsidRPr="00CF5BFF">
        <w:rPr>
          <w:lang w:val="fr-FR"/>
        </w:rPr>
        <w:t>juillet 2017</w:t>
      </w:r>
    </w:p>
    <w:p w:rsidR="00446FE5" w:rsidRPr="00D77CF7" w:rsidRDefault="00D77CF7" w:rsidP="00D77CF7">
      <w:pPr>
        <w:spacing w:after="120"/>
        <w:rPr>
          <w:sz w:val="28"/>
        </w:rPr>
      </w:pPr>
      <w:r w:rsidRPr="00D77CF7">
        <w:rPr>
          <w:sz w:val="28"/>
        </w:rPr>
        <w:t>Table des matières</w:t>
      </w:r>
    </w:p>
    <w:p w:rsidR="00D77CF7" w:rsidRPr="00D77CF7" w:rsidRDefault="00D77CF7" w:rsidP="00D77CF7">
      <w:pPr>
        <w:tabs>
          <w:tab w:val="right" w:pos="8929"/>
          <w:tab w:val="right" w:pos="9638"/>
        </w:tabs>
        <w:spacing w:after="120"/>
        <w:ind w:left="283"/>
        <w:rPr>
          <w:i/>
          <w:sz w:val="18"/>
        </w:rPr>
      </w:pPr>
      <w:r w:rsidRPr="00D77CF7">
        <w:rPr>
          <w:i/>
          <w:sz w:val="18"/>
        </w:rPr>
        <w:tab/>
        <w:t>Paragraphes</w:t>
      </w:r>
      <w:r w:rsidRPr="00D77CF7">
        <w:rPr>
          <w:i/>
          <w:sz w:val="18"/>
        </w:rPr>
        <w:tab/>
        <w:t>Page</w:t>
      </w:r>
    </w:p>
    <w:p w:rsidR="00D77CF7" w:rsidRDefault="00D77CF7" w:rsidP="00D77CF7">
      <w:pPr>
        <w:tabs>
          <w:tab w:val="right" w:pos="850"/>
          <w:tab w:val="right" w:leader="dot" w:pos="7654"/>
          <w:tab w:val="right" w:pos="8929"/>
          <w:tab w:val="right" w:pos="9638"/>
        </w:tabs>
        <w:spacing w:after="120"/>
        <w:ind w:left="1134" w:hanging="1134"/>
      </w:pPr>
      <w:r>
        <w:tab/>
        <w:t>I.</w:t>
      </w:r>
      <w:r>
        <w:tab/>
      </w:r>
      <w:r w:rsidR="00E45670" w:rsidRPr="00E45670">
        <w:rPr>
          <w:lang w:val="fr-FR"/>
        </w:rPr>
        <w:t>Participation</w:t>
      </w:r>
      <w:r>
        <w:tab/>
      </w:r>
      <w:r>
        <w:tab/>
      </w:r>
      <w:r w:rsidR="00E45670">
        <w:t>1−6</w:t>
      </w:r>
      <w:r>
        <w:tab/>
      </w:r>
      <w:r w:rsidR="00832A35">
        <w:t>4</w:t>
      </w:r>
    </w:p>
    <w:p w:rsidR="00D77CF7" w:rsidRDefault="00D77CF7" w:rsidP="00D77CF7">
      <w:pPr>
        <w:tabs>
          <w:tab w:val="right" w:pos="850"/>
          <w:tab w:val="right" w:leader="dot" w:pos="7654"/>
          <w:tab w:val="right" w:pos="8929"/>
          <w:tab w:val="right" w:pos="9638"/>
        </w:tabs>
        <w:spacing w:after="120"/>
        <w:ind w:left="1134" w:hanging="1134"/>
      </w:pPr>
      <w:r>
        <w:tab/>
      </w:r>
      <w:r w:rsidR="00E45670">
        <w:t>I</w:t>
      </w:r>
      <w:r>
        <w:t>I.</w:t>
      </w:r>
      <w:r>
        <w:tab/>
      </w:r>
      <w:r w:rsidR="00E45670" w:rsidRPr="00E45670">
        <w:rPr>
          <w:lang w:val="fr-FR"/>
        </w:rPr>
        <w:t>Adoption de l</w:t>
      </w:r>
      <w:r w:rsidR="00295FAB">
        <w:rPr>
          <w:lang w:val="fr-FR"/>
        </w:rPr>
        <w:t>’</w:t>
      </w:r>
      <w:r w:rsidR="00E45670" w:rsidRPr="00E45670">
        <w:rPr>
          <w:lang w:val="fr-FR"/>
        </w:rPr>
        <w:t>ordre du jour (point 1 de l</w:t>
      </w:r>
      <w:r w:rsidR="00295FAB">
        <w:rPr>
          <w:lang w:val="fr-FR"/>
        </w:rPr>
        <w:t>’</w:t>
      </w:r>
      <w:r w:rsidR="00E45670" w:rsidRPr="00E45670">
        <w:rPr>
          <w:lang w:val="fr-FR"/>
        </w:rPr>
        <w:t>ordre du jour)</w:t>
      </w:r>
      <w:r>
        <w:tab/>
      </w:r>
      <w:r>
        <w:tab/>
      </w:r>
      <w:r w:rsidR="00E45670">
        <w:t>7−8</w:t>
      </w:r>
      <w:r>
        <w:tab/>
      </w:r>
      <w:r w:rsidR="00832A35">
        <w:t>4</w:t>
      </w:r>
    </w:p>
    <w:p w:rsidR="00D77CF7" w:rsidRDefault="00D77CF7" w:rsidP="00D77CF7">
      <w:pPr>
        <w:tabs>
          <w:tab w:val="right" w:pos="850"/>
          <w:tab w:val="right" w:leader="dot" w:pos="7654"/>
          <w:tab w:val="right" w:pos="8929"/>
          <w:tab w:val="right" w:pos="9638"/>
        </w:tabs>
        <w:spacing w:after="120"/>
        <w:ind w:left="1134" w:hanging="1134"/>
      </w:pPr>
      <w:r>
        <w:tab/>
      </w:r>
      <w:r w:rsidR="00E45670">
        <w:t>II</w:t>
      </w:r>
      <w:r>
        <w:t>I.</w:t>
      </w:r>
      <w:r>
        <w:tab/>
      </w:r>
      <w:r w:rsidR="00E45670" w:rsidRPr="00E45670">
        <w:rPr>
          <w:lang w:val="fr-FR"/>
        </w:rPr>
        <w:t>Explosifs et questions connexes (point 2 de l</w:t>
      </w:r>
      <w:r w:rsidR="00295FAB">
        <w:rPr>
          <w:lang w:val="fr-FR"/>
        </w:rPr>
        <w:t>’</w:t>
      </w:r>
      <w:r w:rsidR="00E45670" w:rsidRPr="00E45670">
        <w:rPr>
          <w:lang w:val="fr-FR"/>
        </w:rPr>
        <w:t>ordre du jour)</w:t>
      </w:r>
      <w:r>
        <w:tab/>
      </w:r>
      <w:r>
        <w:tab/>
      </w:r>
      <w:r w:rsidR="00E45670">
        <w:t>9−33</w:t>
      </w:r>
      <w:r>
        <w:tab/>
      </w:r>
      <w:r w:rsidR="00832A35">
        <w:t>5</w:t>
      </w:r>
    </w:p>
    <w:p w:rsidR="00D77CF7" w:rsidRPr="00E45670" w:rsidRDefault="00E45670" w:rsidP="00D77CF7">
      <w:pPr>
        <w:tabs>
          <w:tab w:val="right" w:leader="dot" w:pos="7654"/>
          <w:tab w:val="right" w:pos="8929"/>
          <w:tab w:val="right" w:pos="9638"/>
        </w:tabs>
        <w:spacing w:after="120"/>
        <w:ind w:left="1559" w:hanging="425"/>
      </w:pPr>
      <w:r w:rsidRPr="00E45670">
        <w:rPr>
          <w:lang w:val="fr-FR"/>
        </w:rPr>
        <w:t>Rapport du Groupe de travail des explosifs</w:t>
      </w:r>
      <w:r w:rsidR="00D77CF7" w:rsidRPr="00E45670">
        <w:tab/>
      </w:r>
      <w:r w:rsidR="00D77CF7" w:rsidRPr="00E45670">
        <w:tab/>
      </w:r>
      <w:r>
        <w:t>15</w:t>
      </w:r>
      <w:r>
        <w:tab/>
      </w:r>
      <w:r w:rsidR="00832A35">
        <w:t>5</w:t>
      </w:r>
    </w:p>
    <w:p w:rsidR="00D77CF7" w:rsidRDefault="00D77CF7" w:rsidP="00D77CF7">
      <w:pPr>
        <w:tabs>
          <w:tab w:val="right" w:leader="dot" w:pos="7654"/>
          <w:tab w:val="right" w:pos="8929"/>
          <w:tab w:val="right" w:pos="9638"/>
        </w:tabs>
        <w:spacing w:after="120"/>
        <w:ind w:left="1559" w:hanging="425"/>
      </w:pPr>
      <w:r>
        <w:t>A.</w:t>
      </w:r>
      <w:r>
        <w:tab/>
      </w:r>
      <w:r w:rsidR="00E45670" w:rsidRPr="00E45670">
        <w:rPr>
          <w:lang w:val="fr-FR"/>
        </w:rPr>
        <w:t>Révision des épreuves de la série 6</w:t>
      </w:r>
      <w:r>
        <w:tab/>
      </w:r>
      <w:r>
        <w:tab/>
      </w:r>
      <w:r w:rsidR="00E45670">
        <w:t>16</w:t>
      </w:r>
      <w:r>
        <w:tab/>
      </w:r>
      <w:r w:rsidR="00832A35">
        <w:t>5</w:t>
      </w:r>
    </w:p>
    <w:p w:rsidR="00E45670" w:rsidRDefault="00E45670" w:rsidP="00D77CF7">
      <w:pPr>
        <w:tabs>
          <w:tab w:val="right" w:leader="dot" w:pos="7654"/>
          <w:tab w:val="right" w:pos="8929"/>
          <w:tab w:val="right" w:pos="9638"/>
        </w:tabs>
        <w:spacing w:after="120"/>
        <w:ind w:left="1559" w:hanging="425"/>
      </w:pPr>
      <w:r>
        <w:t>B.</w:t>
      </w:r>
      <w:r>
        <w:tab/>
      </w:r>
      <w:r w:rsidRPr="00E45670">
        <w:rPr>
          <w:lang w:val="fr-FR"/>
        </w:rPr>
        <w:t>Révision des épreuves des parties I, II et III du Manuel d</w:t>
      </w:r>
      <w:r w:rsidR="00295FAB">
        <w:rPr>
          <w:lang w:val="fr-FR"/>
        </w:rPr>
        <w:t>’</w:t>
      </w:r>
      <w:r w:rsidRPr="00E45670">
        <w:rPr>
          <w:lang w:val="fr-FR"/>
        </w:rPr>
        <w:t xml:space="preserve">épreuves </w:t>
      </w:r>
      <w:r>
        <w:rPr>
          <w:lang w:val="fr-FR"/>
        </w:rPr>
        <w:br/>
      </w:r>
      <w:r w:rsidRPr="00E45670">
        <w:rPr>
          <w:lang w:val="fr-FR"/>
        </w:rPr>
        <w:t>et de critères</w:t>
      </w:r>
      <w:r>
        <w:rPr>
          <w:lang w:val="fr-FR"/>
        </w:rPr>
        <w:tab/>
      </w:r>
      <w:r>
        <w:rPr>
          <w:lang w:val="fr-FR"/>
        </w:rPr>
        <w:tab/>
        <w:t>17−21</w:t>
      </w:r>
      <w:r w:rsidR="00832A35">
        <w:rPr>
          <w:lang w:val="fr-FR"/>
        </w:rPr>
        <w:tab/>
        <w:t>5</w:t>
      </w:r>
    </w:p>
    <w:p w:rsidR="00D77CF7" w:rsidRDefault="00D77CF7" w:rsidP="00D77CF7">
      <w:pPr>
        <w:tabs>
          <w:tab w:val="right" w:leader="dot" w:pos="7654"/>
          <w:tab w:val="right" w:pos="8929"/>
          <w:tab w:val="right" w:pos="9638"/>
        </w:tabs>
        <w:spacing w:after="120"/>
        <w:ind w:left="1984" w:hanging="425"/>
      </w:pPr>
      <w:r>
        <w:t>1.</w:t>
      </w:r>
      <w:r>
        <w:tab/>
      </w:r>
      <w:r w:rsidR="00E45670" w:rsidRPr="00E45670">
        <w:rPr>
          <w:lang w:val="fr-FR"/>
        </w:rPr>
        <w:t>Modification de la section 10.3.3.4 du Manuel d</w:t>
      </w:r>
      <w:r w:rsidR="00295FAB">
        <w:rPr>
          <w:lang w:val="fr-FR"/>
        </w:rPr>
        <w:t>’</w:t>
      </w:r>
      <w:r w:rsidR="00E45670" w:rsidRPr="00E45670">
        <w:rPr>
          <w:lang w:val="fr-FR"/>
        </w:rPr>
        <w:t xml:space="preserve">épreuves </w:t>
      </w:r>
      <w:r w:rsidR="00E45670">
        <w:rPr>
          <w:lang w:val="fr-FR"/>
        </w:rPr>
        <w:br/>
      </w:r>
      <w:r w:rsidR="00E45670" w:rsidRPr="00E45670">
        <w:rPr>
          <w:lang w:val="fr-FR"/>
        </w:rPr>
        <w:t>et de critères</w:t>
      </w:r>
      <w:r>
        <w:tab/>
      </w:r>
      <w:r>
        <w:tab/>
      </w:r>
      <w:r w:rsidR="00E45670">
        <w:t>17−18</w:t>
      </w:r>
      <w:r>
        <w:tab/>
      </w:r>
      <w:r w:rsidR="00832A35">
        <w:t>5</w:t>
      </w:r>
    </w:p>
    <w:p w:rsidR="00D77CF7" w:rsidRDefault="00E45670" w:rsidP="00D77CF7">
      <w:pPr>
        <w:tabs>
          <w:tab w:val="right" w:leader="dot" w:pos="7654"/>
          <w:tab w:val="right" w:pos="8929"/>
          <w:tab w:val="right" w:pos="9638"/>
        </w:tabs>
        <w:spacing w:after="120"/>
        <w:ind w:left="1984" w:hanging="425"/>
      </w:pPr>
      <w:r>
        <w:t>2</w:t>
      </w:r>
      <w:r w:rsidR="00D77CF7">
        <w:t>.</w:t>
      </w:r>
      <w:r w:rsidR="00D77CF7">
        <w:tab/>
      </w:r>
      <w:r w:rsidRPr="00E45670">
        <w:rPr>
          <w:lang w:val="fr-FR"/>
        </w:rPr>
        <w:t>Amélioration de l</w:t>
      </w:r>
      <w:r w:rsidR="00295FAB">
        <w:rPr>
          <w:lang w:val="fr-FR"/>
        </w:rPr>
        <w:t>’</w:t>
      </w:r>
      <w:r w:rsidRPr="00E45670">
        <w:rPr>
          <w:lang w:val="fr-FR"/>
        </w:rPr>
        <w:t xml:space="preserve">épreuve de </w:t>
      </w:r>
      <w:proofErr w:type="spellStart"/>
      <w:r w:rsidRPr="00E45670">
        <w:rPr>
          <w:lang w:val="fr-FR"/>
        </w:rPr>
        <w:t>Koenen</w:t>
      </w:r>
      <w:proofErr w:type="spellEnd"/>
      <w:r w:rsidRPr="00E45670">
        <w:rPr>
          <w:lang w:val="fr-FR"/>
        </w:rPr>
        <w:t xml:space="preserve"> 8 c)</w:t>
      </w:r>
      <w:r w:rsidR="00D77CF7">
        <w:tab/>
      </w:r>
      <w:r w:rsidR="00D77CF7">
        <w:tab/>
      </w:r>
      <w:r>
        <w:t>19−21</w:t>
      </w:r>
      <w:r w:rsidR="00D77CF7">
        <w:tab/>
      </w:r>
      <w:r w:rsidR="00832A35">
        <w:t>6</w:t>
      </w:r>
    </w:p>
    <w:p w:rsidR="00D77CF7" w:rsidRDefault="00E45670" w:rsidP="00D77CF7">
      <w:pPr>
        <w:tabs>
          <w:tab w:val="right" w:leader="dot" w:pos="7654"/>
          <w:tab w:val="right" w:pos="8929"/>
          <w:tab w:val="right" w:pos="9638"/>
        </w:tabs>
        <w:spacing w:after="120"/>
        <w:ind w:left="1984" w:hanging="425"/>
      </w:pPr>
      <w:r>
        <w:t>3</w:t>
      </w:r>
      <w:r w:rsidR="00D77CF7">
        <w:t>.</w:t>
      </w:r>
      <w:r w:rsidR="00D77CF7">
        <w:tab/>
      </w:r>
      <w:r w:rsidRPr="00E45670">
        <w:rPr>
          <w:lang w:val="fr-FR"/>
        </w:rPr>
        <w:t>Détonateurs normalisés</w:t>
      </w:r>
      <w:r w:rsidR="00D77CF7">
        <w:tab/>
      </w:r>
      <w:r w:rsidR="00D77CF7">
        <w:tab/>
      </w:r>
      <w:r w:rsidR="002D73D5">
        <w:t>21</w:t>
      </w:r>
      <w:r w:rsidR="00D77CF7">
        <w:tab/>
      </w:r>
      <w:r w:rsidR="00832A35">
        <w:t>6</w:t>
      </w:r>
    </w:p>
    <w:p w:rsidR="00D77CF7" w:rsidRDefault="002D73D5" w:rsidP="00D77CF7">
      <w:pPr>
        <w:tabs>
          <w:tab w:val="right" w:leader="dot" w:pos="7654"/>
          <w:tab w:val="right" w:pos="8929"/>
          <w:tab w:val="right" w:pos="9638"/>
        </w:tabs>
        <w:spacing w:after="120"/>
        <w:ind w:left="1559" w:hanging="425"/>
      </w:pPr>
      <w:r>
        <w:t>C</w:t>
      </w:r>
      <w:r w:rsidR="00D77CF7">
        <w:t>.</w:t>
      </w:r>
      <w:r w:rsidR="00D77CF7">
        <w:tab/>
      </w:r>
      <w:r w:rsidRPr="00E45670">
        <w:rPr>
          <w:lang w:val="fr-FR"/>
        </w:rPr>
        <w:t>Détonateurs électroniques</w:t>
      </w:r>
      <w:r w:rsidR="00D77CF7">
        <w:tab/>
      </w:r>
      <w:r w:rsidR="00D77CF7">
        <w:tab/>
      </w:r>
      <w:r>
        <w:t>22−23</w:t>
      </w:r>
      <w:r w:rsidR="00D77CF7">
        <w:tab/>
      </w:r>
      <w:r w:rsidR="00832A35">
        <w:t>6</w:t>
      </w:r>
    </w:p>
    <w:p w:rsidR="002D73D5" w:rsidRDefault="002D73D5" w:rsidP="002D73D5">
      <w:pPr>
        <w:tabs>
          <w:tab w:val="right" w:leader="dot" w:pos="7654"/>
          <w:tab w:val="right" w:pos="8929"/>
          <w:tab w:val="right" w:pos="9638"/>
        </w:tabs>
        <w:spacing w:after="120"/>
        <w:ind w:left="1984" w:hanging="425"/>
      </w:pPr>
      <w:r w:rsidRPr="00E45670">
        <w:rPr>
          <w:lang w:val="fr-FR"/>
        </w:rPr>
        <w:t>Nouvelles rubriques pour les détonateurs électroniques</w:t>
      </w:r>
      <w:r>
        <w:tab/>
      </w:r>
      <w:r>
        <w:tab/>
        <w:t>22−23</w:t>
      </w:r>
      <w:r>
        <w:tab/>
      </w:r>
      <w:r w:rsidR="00832A35">
        <w:t>6</w:t>
      </w:r>
    </w:p>
    <w:p w:rsidR="00D77CF7" w:rsidRDefault="002D73D5" w:rsidP="00D77CF7">
      <w:pPr>
        <w:tabs>
          <w:tab w:val="right" w:leader="dot" w:pos="7654"/>
          <w:tab w:val="right" w:pos="8929"/>
          <w:tab w:val="right" w:pos="9638"/>
        </w:tabs>
        <w:spacing w:after="120"/>
        <w:ind w:left="1559" w:hanging="425"/>
      </w:pPr>
      <w:r>
        <w:t>D</w:t>
      </w:r>
      <w:r w:rsidR="00D77CF7">
        <w:t>.</w:t>
      </w:r>
      <w:r w:rsidR="00D77CF7">
        <w:tab/>
      </w:r>
      <w:r w:rsidRPr="00E45670">
        <w:rPr>
          <w:lang w:val="fr-FR"/>
        </w:rPr>
        <w:t>Directives pour l</w:t>
      </w:r>
      <w:r w:rsidR="00295FAB">
        <w:rPr>
          <w:lang w:val="fr-FR"/>
        </w:rPr>
        <w:t>’</w:t>
      </w:r>
      <w:r w:rsidRPr="00E45670">
        <w:rPr>
          <w:lang w:val="fr-FR"/>
        </w:rPr>
        <w:t>application des épreuves des séries 3 et 4</w:t>
      </w:r>
      <w:r w:rsidR="00D77CF7">
        <w:tab/>
      </w:r>
      <w:r w:rsidR="00D77CF7">
        <w:tab/>
      </w:r>
      <w:r>
        <w:t>24</w:t>
      </w:r>
      <w:r w:rsidR="00D77CF7">
        <w:tab/>
      </w:r>
      <w:r w:rsidR="00832A35">
        <w:t>6</w:t>
      </w:r>
    </w:p>
    <w:p w:rsidR="002D73D5" w:rsidRDefault="002D73D5" w:rsidP="002D73D5">
      <w:pPr>
        <w:tabs>
          <w:tab w:val="right" w:leader="dot" w:pos="7654"/>
          <w:tab w:val="right" w:pos="8929"/>
          <w:tab w:val="right" w:pos="9638"/>
        </w:tabs>
        <w:spacing w:after="120"/>
        <w:ind w:left="1559" w:hanging="425"/>
      </w:pPr>
      <w:r>
        <w:t>E.</w:t>
      </w:r>
      <w:r>
        <w:tab/>
      </w:r>
      <w:r w:rsidRPr="00E45670">
        <w:rPr>
          <w:lang w:val="fr-FR"/>
        </w:rPr>
        <w:t>Épreuves de stabilité pour la nitrocellulose industrielle</w:t>
      </w:r>
      <w:r>
        <w:tab/>
      </w:r>
      <w:r>
        <w:tab/>
        <w:t>25−27</w:t>
      </w:r>
      <w:r>
        <w:tab/>
      </w:r>
      <w:r w:rsidR="00832A35">
        <w:t>7</w:t>
      </w:r>
    </w:p>
    <w:p w:rsidR="00D77CF7" w:rsidRDefault="00D77CF7" w:rsidP="00D77CF7">
      <w:pPr>
        <w:tabs>
          <w:tab w:val="right" w:leader="dot" w:pos="7654"/>
          <w:tab w:val="right" w:pos="8929"/>
          <w:tab w:val="right" w:pos="9638"/>
        </w:tabs>
        <w:spacing w:after="120"/>
        <w:ind w:left="1984" w:hanging="425"/>
      </w:pPr>
      <w:r>
        <w:t>1.</w:t>
      </w:r>
      <w:r>
        <w:tab/>
      </w:r>
      <w:r w:rsidR="002D73D5" w:rsidRPr="00E45670">
        <w:rPr>
          <w:lang w:val="fr-FR"/>
        </w:rPr>
        <w:t xml:space="preserve">Proposition visant à prescrire des épreuves de stabilité pour </w:t>
      </w:r>
      <w:r w:rsidR="002D73D5">
        <w:rPr>
          <w:lang w:val="fr-FR"/>
        </w:rPr>
        <w:br/>
      </w:r>
      <w:r w:rsidR="002D73D5" w:rsidRPr="00E45670">
        <w:rPr>
          <w:lang w:val="fr-FR"/>
        </w:rPr>
        <w:t>la nitrocellulose industrielle</w:t>
      </w:r>
      <w:r>
        <w:tab/>
      </w:r>
      <w:r>
        <w:tab/>
      </w:r>
      <w:r w:rsidR="002D73D5">
        <w:t>25−26</w:t>
      </w:r>
      <w:r>
        <w:tab/>
      </w:r>
      <w:r w:rsidR="00832A35">
        <w:t>7</w:t>
      </w:r>
    </w:p>
    <w:p w:rsidR="00D77CF7" w:rsidRDefault="002D73D5" w:rsidP="00D77CF7">
      <w:pPr>
        <w:tabs>
          <w:tab w:val="right" w:leader="dot" w:pos="7654"/>
          <w:tab w:val="right" w:pos="8929"/>
          <w:tab w:val="right" w:pos="9638"/>
        </w:tabs>
        <w:spacing w:after="120"/>
        <w:ind w:left="1984" w:hanging="425"/>
      </w:pPr>
      <w:r>
        <w:t>2.</w:t>
      </w:r>
      <w:r w:rsidR="00D77CF7">
        <w:tab/>
      </w:r>
      <w:r w:rsidRPr="00E45670">
        <w:rPr>
          <w:lang w:val="fr-FR"/>
        </w:rPr>
        <w:t>Classement des explosifs désensibilisés</w:t>
      </w:r>
      <w:r w:rsidR="00D77CF7">
        <w:tab/>
      </w:r>
      <w:r w:rsidR="00D77CF7">
        <w:tab/>
      </w:r>
      <w:r>
        <w:t>27</w:t>
      </w:r>
      <w:r w:rsidR="00D77CF7">
        <w:tab/>
      </w:r>
      <w:r w:rsidR="00832A35">
        <w:t>7</w:t>
      </w:r>
    </w:p>
    <w:p w:rsidR="00D77CF7" w:rsidRDefault="002D73D5" w:rsidP="00D77CF7">
      <w:pPr>
        <w:tabs>
          <w:tab w:val="right" w:leader="dot" w:pos="7654"/>
          <w:tab w:val="right" w:pos="8929"/>
          <w:tab w:val="right" w:pos="9638"/>
        </w:tabs>
        <w:spacing w:after="120"/>
        <w:ind w:left="1559" w:hanging="425"/>
      </w:pPr>
      <w:r>
        <w:t>F</w:t>
      </w:r>
      <w:r w:rsidR="00D77CF7">
        <w:t>.</w:t>
      </w:r>
      <w:r w:rsidR="00D77CF7">
        <w:tab/>
      </w:r>
      <w:r w:rsidRPr="00E45670">
        <w:rPr>
          <w:lang w:val="fr-FR"/>
        </w:rPr>
        <w:t xml:space="preserve">Application des dispositions relatives à la sûreté des explosifs </w:t>
      </w:r>
      <w:r>
        <w:rPr>
          <w:lang w:val="fr-FR"/>
        </w:rPr>
        <w:br/>
      </w:r>
      <w:r w:rsidRPr="00E45670">
        <w:rPr>
          <w:lang w:val="fr-FR"/>
        </w:rPr>
        <w:t>non spécifiés par ailleurs</w:t>
      </w:r>
      <w:r w:rsidR="00D77CF7">
        <w:tab/>
      </w:r>
      <w:r w:rsidR="00D77CF7">
        <w:tab/>
      </w:r>
      <w:r>
        <w:t>28</w:t>
      </w:r>
      <w:r w:rsidR="00D77CF7">
        <w:tab/>
      </w:r>
      <w:r w:rsidR="00832A35">
        <w:t>7</w:t>
      </w:r>
    </w:p>
    <w:p w:rsidR="00D77CF7" w:rsidRDefault="002D73D5" w:rsidP="00D77CF7">
      <w:pPr>
        <w:tabs>
          <w:tab w:val="right" w:leader="dot" w:pos="7654"/>
          <w:tab w:val="right" w:pos="8929"/>
          <w:tab w:val="right" w:pos="9638"/>
        </w:tabs>
        <w:spacing w:after="120"/>
        <w:ind w:left="1559" w:hanging="425"/>
      </w:pPr>
      <w:r>
        <w:t>G</w:t>
      </w:r>
      <w:r w:rsidR="00D77CF7">
        <w:t>.</w:t>
      </w:r>
      <w:r w:rsidR="00D77CF7">
        <w:tab/>
      </w:r>
      <w:r w:rsidR="00F74FEA" w:rsidRPr="00F74FEA">
        <w:rPr>
          <w:lang w:val="fr-FR"/>
        </w:rPr>
        <w:t>Révision des instructions d</w:t>
      </w:r>
      <w:r w:rsidR="00295FAB">
        <w:rPr>
          <w:lang w:val="fr-FR"/>
        </w:rPr>
        <w:t>’</w:t>
      </w:r>
      <w:r w:rsidR="00F74FEA" w:rsidRPr="00F74FEA">
        <w:rPr>
          <w:lang w:val="fr-FR"/>
        </w:rPr>
        <w:t>emballage relatives aux explosifs</w:t>
      </w:r>
      <w:r w:rsidR="00D77CF7">
        <w:tab/>
      </w:r>
      <w:r w:rsidR="00D77CF7">
        <w:tab/>
      </w:r>
      <w:r w:rsidR="000B4EE4">
        <w:t>29</w:t>
      </w:r>
      <w:r w:rsidR="00D77CF7">
        <w:tab/>
      </w:r>
      <w:r w:rsidR="00832A35">
        <w:t>7</w:t>
      </w:r>
    </w:p>
    <w:p w:rsidR="00D77CF7" w:rsidRDefault="002D73D5" w:rsidP="00D77CF7">
      <w:pPr>
        <w:tabs>
          <w:tab w:val="right" w:leader="dot" w:pos="7654"/>
          <w:tab w:val="right" w:pos="8929"/>
          <w:tab w:val="right" w:pos="9638"/>
        </w:tabs>
        <w:spacing w:after="120"/>
        <w:ind w:left="1559" w:hanging="425"/>
      </w:pPr>
      <w:r>
        <w:lastRenderedPageBreak/>
        <w:t>H</w:t>
      </w:r>
      <w:r w:rsidR="00D77CF7">
        <w:t>.</w:t>
      </w:r>
      <w:r w:rsidR="00D77CF7">
        <w:tab/>
      </w:r>
      <w:r w:rsidR="00F74FEA" w:rsidRPr="00F74FEA">
        <w:rPr>
          <w:lang w:val="fr-FR"/>
        </w:rPr>
        <w:t>Classement des objets sous le</w:t>
      </w:r>
      <w:r w:rsidR="005636D6">
        <w:rPr>
          <w:lang w:val="fr-FR"/>
        </w:rPr>
        <w:t xml:space="preserve"> No </w:t>
      </w:r>
      <w:r w:rsidR="00F74FEA" w:rsidRPr="00F74FEA">
        <w:rPr>
          <w:lang w:val="fr-FR"/>
        </w:rPr>
        <w:t>ONU 0349</w:t>
      </w:r>
      <w:r w:rsidR="00D77CF7">
        <w:tab/>
      </w:r>
      <w:r w:rsidR="00D77CF7">
        <w:tab/>
      </w:r>
      <w:r w:rsidR="000B4EE4">
        <w:t>30</w:t>
      </w:r>
      <w:r w:rsidR="00D77CF7">
        <w:tab/>
      </w:r>
      <w:r w:rsidR="00832A35">
        <w:t>8</w:t>
      </w:r>
    </w:p>
    <w:p w:rsidR="00F74FEA" w:rsidRDefault="00F74FEA" w:rsidP="00D77CF7">
      <w:pPr>
        <w:tabs>
          <w:tab w:val="right" w:leader="dot" w:pos="7654"/>
          <w:tab w:val="right" w:pos="8929"/>
          <w:tab w:val="right" w:pos="9638"/>
        </w:tabs>
        <w:spacing w:after="120"/>
        <w:ind w:left="1559" w:hanging="425"/>
        <w:rPr>
          <w:lang w:val="fr-FR"/>
        </w:rPr>
      </w:pPr>
      <w:r>
        <w:t>I.</w:t>
      </w:r>
      <w:r>
        <w:tab/>
      </w:r>
      <w:r w:rsidRPr="00F74FEA">
        <w:rPr>
          <w:lang w:val="fr-FR"/>
        </w:rPr>
        <w:t>Examen du chapitre 2.1 du SGH</w:t>
      </w:r>
      <w:r>
        <w:rPr>
          <w:lang w:val="fr-FR"/>
        </w:rPr>
        <w:tab/>
      </w:r>
      <w:r>
        <w:rPr>
          <w:lang w:val="fr-FR"/>
        </w:rPr>
        <w:tab/>
        <w:t>31</w:t>
      </w:r>
      <w:r>
        <w:rPr>
          <w:lang w:val="fr-FR"/>
        </w:rPr>
        <w:tab/>
      </w:r>
      <w:r w:rsidR="00832A35">
        <w:rPr>
          <w:lang w:val="fr-FR"/>
        </w:rPr>
        <w:t>8</w:t>
      </w:r>
    </w:p>
    <w:p w:rsidR="00F74FEA" w:rsidRDefault="00F74FEA" w:rsidP="00D77CF7">
      <w:pPr>
        <w:tabs>
          <w:tab w:val="right" w:leader="dot" w:pos="7654"/>
          <w:tab w:val="right" w:pos="8929"/>
          <w:tab w:val="right" w:pos="9638"/>
        </w:tabs>
        <w:spacing w:after="120"/>
        <w:ind w:left="1559" w:hanging="425"/>
        <w:rPr>
          <w:lang w:val="fr-FR"/>
        </w:rPr>
      </w:pPr>
      <w:r>
        <w:rPr>
          <w:lang w:val="fr-FR"/>
        </w:rPr>
        <w:t>J.</w:t>
      </w:r>
      <w:r>
        <w:rPr>
          <w:lang w:val="fr-FR"/>
        </w:rPr>
        <w:tab/>
      </w:r>
      <w:r w:rsidRPr="00F74FEA">
        <w:rPr>
          <w:lang w:val="fr-FR"/>
        </w:rPr>
        <w:t>Divers</w:t>
      </w:r>
      <w:r>
        <w:rPr>
          <w:lang w:val="fr-FR"/>
        </w:rPr>
        <w:tab/>
      </w:r>
      <w:r>
        <w:rPr>
          <w:lang w:val="fr-FR"/>
        </w:rPr>
        <w:tab/>
        <w:t>32−33</w:t>
      </w:r>
      <w:r>
        <w:rPr>
          <w:lang w:val="fr-FR"/>
        </w:rPr>
        <w:tab/>
      </w:r>
      <w:r w:rsidR="00832A35">
        <w:rPr>
          <w:lang w:val="fr-FR"/>
        </w:rPr>
        <w:t>8</w:t>
      </w:r>
    </w:p>
    <w:p w:rsidR="00F74FEA" w:rsidRDefault="00F74FEA" w:rsidP="00F74FEA">
      <w:pPr>
        <w:tabs>
          <w:tab w:val="right" w:leader="dot" w:pos="7654"/>
          <w:tab w:val="right" w:pos="8929"/>
          <w:tab w:val="right" w:pos="9638"/>
        </w:tabs>
        <w:spacing w:after="120"/>
        <w:ind w:left="1984" w:hanging="425"/>
      </w:pPr>
      <w:r>
        <w:t>1.</w:t>
      </w:r>
      <w:r>
        <w:tab/>
      </w:r>
      <w:r w:rsidRPr="00F74FEA">
        <w:rPr>
          <w:lang w:val="fr-FR"/>
        </w:rPr>
        <w:t>Transport des artifices de divertissement en petites quantités</w:t>
      </w:r>
      <w:r>
        <w:tab/>
      </w:r>
      <w:r>
        <w:tab/>
        <w:t>32−33</w:t>
      </w:r>
      <w:r>
        <w:tab/>
      </w:r>
      <w:r w:rsidR="00832A35">
        <w:t>8</w:t>
      </w:r>
    </w:p>
    <w:p w:rsidR="00F74FEA" w:rsidRDefault="00F74FEA" w:rsidP="00F74FEA">
      <w:pPr>
        <w:tabs>
          <w:tab w:val="right" w:pos="850"/>
          <w:tab w:val="right" w:leader="dot" w:pos="7654"/>
          <w:tab w:val="right" w:pos="8929"/>
          <w:tab w:val="right" w:pos="9638"/>
        </w:tabs>
        <w:spacing w:after="120"/>
        <w:ind w:left="1134" w:hanging="1134"/>
      </w:pPr>
      <w:r>
        <w:tab/>
        <w:t>IV.</w:t>
      </w:r>
      <w:r>
        <w:tab/>
      </w:r>
      <w:r w:rsidRPr="00F74FEA">
        <w:rPr>
          <w:lang w:val="fr-FR"/>
        </w:rPr>
        <w:t>Inscription, classement et emballage (point 3 de l</w:t>
      </w:r>
      <w:r w:rsidR="00295FAB">
        <w:rPr>
          <w:lang w:val="fr-FR"/>
        </w:rPr>
        <w:t>’</w:t>
      </w:r>
      <w:r w:rsidRPr="00F74FEA">
        <w:rPr>
          <w:lang w:val="fr-FR"/>
        </w:rPr>
        <w:t>ordre du jour)</w:t>
      </w:r>
      <w:r>
        <w:tab/>
      </w:r>
      <w:r>
        <w:tab/>
        <w:t>34−42</w:t>
      </w:r>
      <w:r>
        <w:tab/>
      </w:r>
      <w:r w:rsidR="00832A35">
        <w:t>8</w:t>
      </w:r>
    </w:p>
    <w:p w:rsidR="00F74FEA" w:rsidRDefault="00F74FEA" w:rsidP="00F74FEA">
      <w:pPr>
        <w:tabs>
          <w:tab w:val="right" w:leader="dot" w:pos="7654"/>
          <w:tab w:val="right" w:pos="8929"/>
          <w:tab w:val="right" w:pos="9638"/>
        </w:tabs>
        <w:spacing w:after="120"/>
        <w:ind w:left="1559" w:hanging="425"/>
        <w:rPr>
          <w:lang w:val="fr-FR"/>
        </w:rPr>
      </w:pPr>
      <w:r>
        <w:t>A.</w:t>
      </w:r>
      <w:r>
        <w:tab/>
      </w:r>
      <w:r w:rsidRPr="00F74FEA">
        <w:rPr>
          <w:lang w:val="fr-FR"/>
        </w:rPr>
        <w:t>Clarification des dispositions spéciales d</w:t>
      </w:r>
      <w:r w:rsidR="00295FAB">
        <w:rPr>
          <w:lang w:val="fr-FR"/>
        </w:rPr>
        <w:t>’</w:t>
      </w:r>
      <w:r w:rsidRPr="00F74FEA">
        <w:rPr>
          <w:lang w:val="fr-FR"/>
        </w:rPr>
        <w:t>emballage PP13 et PP33</w:t>
      </w:r>
      <w:r>
        <w:rPr>
          <w:lang w:val="fr-FR"/>
        </w:rPr>
        <w:tab/>
      </w:r>
      <w:r>
        <w:rPr>
          <w:lang w:val="fr-FR"/>
        </w:rPr>
        <w:tab/>
        <w:t>34−35</w:t>
      </w:r>
      <w:r>
        <w:rPr>
          <w:lang w:val="fr-FR"/>
        </w:rPr>
        <w:tab/>
      </w:r>
      <w:r w:rsidR="00832A35">
        <w:rPr>
          <w:lang w:val="fr-FR"/>
        </w:rPr>
        <w:t>8</w:t>
      </w:r>
    </w:p>
    <w:p w:rsidR="00F74FEA" w:rsidRDefault="00F74FEA" w:rsidP="00F74FEA">
      <w:pPr>
        <w:tabs>
          <w:tab w:val="right" w:leader="dot" w:pos="7654"/>
          <w:tab w:val="right" w:pos="8929"/>
          <w:tab w:val="right" w:pos="9638"/>
        </w:tabs>
        <w:spacing w:after="120"/>
        <w:ind w:left="1559" w:hanging="425"/>
        <w:rPr>
          <w:lang w:val="fr-FR"/>
        </w:rPr>
      </w:pPr>
      <w:r>
        <w:rPr>
          <w:lang w:val="fr-FR"/>
        </w:rPr>
        <w:t>B.</w:t>
      </w:r>
      <w:r>
        <w:rPr>
          <w:lang w:val="fr-FR"/>
        </w:rPr>
        <w:tab/>
      </w:r>
      <w:r w:rsidRPr="00F74FEA">
        <w:rPr>
          <w:lang w:val="fr-FR"/>
        </w:rPr>
        <w:t xml:space="preserve">Exemption dans la disposition spéciale 375 pour les matières </w:t>
      </w:r>
      <w:r>
        <w:rPr>
          <w:lang w:val="fr-FR"/>
        </w:rPr>
        <w:br/>
      </w:r>
      <w:r w:rsidRPr="00F74FEA">
        <w:rPr>
          <w:lang w:val="fr-FR"/>
        </w:rPr>
        <w:t>dangereuses pour l</w:t>
      </w:r>
      <w:r w:rsidR="00295FAB">
        <w:rPr>
          <w:lang w:val="fr-FR"/>
        </w:rPr>
        <w:t>’</w:t>
      </w:r>
      <w:r w:rsidRPr="00F74FEA">
        <w:rPr>
          <w:lang w:val="fr-FR"/>
        </w:rPr>
        <w:t xml:space="preserve">environnement </w:t>
      </w:r>
      <w:proofErr w:type="spellStart"/>
      <w:r w:rsidRPr="00F74FEA">
        <w:rPr>
          <w:lang w:val="fr-FR"/>
        </w:rPr>
        <w:t>des</w:t>
      </w:r>
      <w:proofErr w:type="spellEnd"/>
      <w:r w:rsidRPr="00F74FEA">
        <w:rPr>
          <w:lang w:val="fr-FR"/>
        </w:rPr>
        <w:t xml:space="preserve"> </w:t>
      </w:r>
      <w:r w:rsidR="005636D6">
        <w:rPr>
          <w:lang w:val="fr-FR"/>
        </w:rPr>
        <w:t xml:space="preserve">Nos </w:t>
      </w:r>
      <w:r w:rsidRPr="00F74FEA">
        <w:rPr>
          <w:lang w:val="fr-FR"/>
        </w:rPr>
        <w:t>ONU 3077 et 3082</w:t>
      </w:r>
      <w:r>
        <w:rPr>
          <w:lang w:val="fr-FR"/>
        </w:rPr>
        <w:tab/>
      </w:r>
      <w:r>
        <w:rPr>
          <w:lang w:val="fr-FR"/>
        </w:rPr>
        <w:tab/>
        <w:t>36</w:t>
      </w:r>
      <w:r>
        <w:rPr>
          <w:lang w:val="fr-FR"/>
        </w:rPr>
        <w:tab/>
      </w:r>
      <w:r w:rsidR="00832A35">
        <w:rPr>
          <w:lang w:val="fr-FR"/>
        </w:rPr>
        <w:t>9</w:t>
      </w:r>
    </w:p>
    <w:p w:rsidR="00F74FEA" w:rsidRDefault="00F74FEA" w:rsidP="00F74FEA">
      <w:pPr>
        <w:tabs>
          <w:tab w:val="right" w:leader="dot" w:pos="7654"/>
          <w:tab w:val="right" w:pos="8929"/>
          <w:tab w:val="right" w:pos="9638"/>
        </w:tabs>
        <w:spacing w:after="120"/>
        <w:ind w:left="1559" w:hanging="425"/>
        <w:rPr>
          <w:lang w:val="fr-FR"/>
        </w:rPr>
      </w:pPr>
      <w:r>
        <w:rPr>
          <w:lang w:val="fr-FR"/>
        </w:rPr>
        <w:t>C.</w:t>
      </w:r>
      <w:r>
        <w:rPr>
          <w:lang w:val="fr-FR"/>
        </w:rPr>
        <w:tab/>
      </w:r>
      <w:r w:rsidRPr="00F74FEA">
        <w:rPr>
          <w:lang w:val="fr-FR"/>
        </w:rPr>
        <w:t>Interprétation de la disposition spéciale 366</w:t>
      </w:r>
      <w:r>
        <w:rPr>
          <w:lang w:val="fr-FR"/>
        </w:rPr>
        <w:tab/>
      </w:r>
      <w:r>
        <w:rPr>
          <w:lang w:val="fr-FR"/>
        </w:rPr>
        <w:tab/>
        <w:t>37−38</w:t>
      </w:r>
      <w:r w:rsidR="001E42C1">
        <w:rPr>
          <w:lang w:val="fr-FR"/>
        </w:rPr>
        <w:tab/>
      </w:r>
      <w:r w:rsidR="00832A35">
        <w:rPr>
          <w:lang w:val="fr-FR"/>
        </w:rPr>
        <w:t>9</w:t>
      </w:r>
    </w:p>
    <w:p w:rsidR="001E42C1" w:rsidRDefault="001E42C1" w:rsidP="00F74FEA">
      <w:pPr>
        <w:tabs>
          <w:tab w:val="right" w:leader="dot" w:pos="7654"/>
          <w:tab w:val="right" w:pos="8929"/>
          <w:tab w:val="right" w:pos="9638"/>
        </w:tabs>
        <w:spacing w:after="120"/>
        <w:ind w:left="1559" w:hanging="425"/>
        <w:rPr>
          <w:lang w:val="fr-FR"/>
        </w:rPr>
      </w:pPr>
      <w:r>
        <w:rPr>
          <w:lang w:val="fr-FR"/>
        </w:rPr>
        <w:t>D.</w:t>
      </w:r>
      <w:r>
        <w:rPr>
          <w:lang w:val="fr-FR"/>
        </w:rPr>
        <w:tab/>
      </w:r>
      <w:r w:rsidRPr="00F74FEA">
        <w:rPr>
          <w:lang w:val="fr-FR"/>
        </w:rPr>
        <w:t>Application de l</w:t>
      </w:r>
      <w:r w:rsidR="00295FAB">
        <w:rPr>
          <w:lang w:val="fr-FR"/>
        </w:rPr>
        <w:t>’</w:t>
      </w:r>
      <w:r w:rsidRPr="00F74FEA">
        <w:rPr>
          <w:lang w:val="fr-FR"/>
        </w:rPr>
        <w:t>instruction d</w:t>
      </w:r>
      <w:r w:rsidR="00295FAB">
        <w:rPr>
          <w:lang w:val="fr-FR"/>
        </w:rPr>
        <w:t>’</w:t>
      </w:r>
      <w:r w:rsidRPr="00F74FEA">
        <w:rPr>
          <w:lang w:val="fr-FR"/>
        </w:rPr>
        <w:t>emballage P003 aux grands objets</w:t>
      </w:r>
      <w:r>
        <w:rPr>
          <w:lang w:val="fr-FR"/>
        </w:rPr>
        <w:tab/>
      </w:r>
      <w:r>
        <w:rPr>
          <w:lang w:val="fr-FR"/>
        </w:rPr>
        <w:tab/>
        <w:t>39</w:t>
      </w:r>
      <w:r>
        <w:rPr>
          <w:lang w:val="fr-FR"/>
        </w:rPr>
        <w:tab/>
      </w:r>
      <w:r w:rsidR="00832A35">
        <w:rPr>
          <w:lang w:val="fr-FR"/>
        </w:rPr>
        <w:t>9</w:t>
      </w:r>
    </w:p>
    <w:p w:rsidR="001E42C1" w:rsidRDefault="001E42C1" w:rsidP="00F74FEA">
      <w:pPr>
        <w:tabs>
          <w:tab w:val="right" w:leader="dot" w:pos="7654"/>
          <w:tab w:val="right" w:pos="8929"/>
          <w:tab w:val="right" w:pos="9638"/>
        </w:tabs>
        <w:spacing w:after="120"/>
        <w:ind w:left="1559" w:hanging="425"/>
        <w:rPr>
          <w:lang w:val="fr-FR"/>
        </w:rPr>
      </w:pPr>
      <w:r>
        <w:rPr>
          <w:lang w:val="fr-FR"/>
        </w:rPr>
        <w:t>E.</w:t>
      </w:r>
      <w:r>
        <w:rPr>
          <w:lang w:val="fr-FR"/>
        </w:rPr>
        <w:tab/>
      </w:r>
      <w:r w:rsidRPr="00F74FEA">
        <w:rPr>
          <w:lang w:val="fr-FR"/>
        </w:rPr>
        <w:t>Correction de la note d du tableau de l</w:t>
      </w:r>
      <w:r w:rsidR="00295FAB">
        <w:rPr>
          <w:lang w:val="fr-FR"/>
        </w:rPr>
        <w:t>’</w:t>
      </w:r>
      <w:r w:rsidRPr="00F74FEA">
        <w:rPr>
          <w:lang w:val="fr-FR"/>
        </w:rPr>
        <w:t>instruction d</w:t>
      </w:r>
      <w:r w:rsidR="00295FAB">
        <w:rPr>
          <w:lang w:val="fr-FR"/>
        </w:rPr>
        <w:t>’</w:t>
      </w:r>
      <w:r w:rsidRPr="00F74FEA">
        <w:rPr>
          <w:lang w:val="fr-FR"/>
        </w:rPr>
        <w:t>emballage P410</w:t>
      </w:r>
      <w:r>
        <w:rPr>
          <w:lang w:val="fr-FR"/>
        </w:rPr>
        <w:tab/>
      </w:r>
      <w:r>
        <w:rPr>
          <w:lang w:val="fr-FR"/>
        </w:rPr>
        <w:tab/>
        <w:t>40</w:t>
      </w:r>
      <w:r>
        <w:rPr>
          <w:lang w:val="fr-FR"/>
        </w:rPr>
        <w:tab/>
      </w:r>
      <w:r w:rsidR="00832A35">
        <w:rPr>
          <w:lang w:val="fr-FR"/>
        </w:rPr>
        <w:t>9</w:t>
      </w:r>
    </w:p>
    <w:p w:rsidR="001E42C1" w:rsidRDefault="001E42C1" w:rsidP="00F74FEA">
      <w:pPr>
        <w:tabs>
          <w:tab w:val="right" w:leader="dot" w:pos="7654"/>
          <w:tab w:val="right" w:pos="8929"/>
          <w:tab w:val="right" w:pos="9638"/>
        </w:tabs>
        <w:spacing w:after="120"/>
        <w:ind w:left="1559" w:hanging="425"/>
        <w:rPr>
          <w:lang w:val="fr-FR"/>
        </w:rPr>
      </w:pPr>
      <w:r>
        <w:rPr>
          <w:lang w:val="fr-FR"/>
        </w:rPr>
        <w:t>F.</w:t>
      </w:r>
      <w:r>
        <w:rPr>
          <w:lang w:val="fr-FR"/>
        </w:rPr>
        <w:tab/>
      </w:r>
      <w:r w:rsidRPr="00F74FEA">
        <w:rPr>
          <w:lang w:val="fr-FR"/>
        </w:rPr>
        <w:t>Révision de l</w:t>
      </w:r>
      <w:r w:rsidR="00295FAB">
        <w:rPr>
          <w:lang w:val="fr-FR"/>
        </w:rPr>
        <w:t>’</w:t>
      </w:r>
      <w:r w:rsidRPr="00F74FEA">
        <w:rPr>
          <w:lang w:val="fr-FR"/>
        </w:rPr>
        <w:t>instruction d</w:t>
      </w:r>
      <w:r w:rsidR="00295FAB">
        <w:rPr>
          <w:lang w:val="fr-FR"/>
        </w:rPr>
        <w:t>’</w:t>
      </w:r>
      <w:r w:rsidRPr="00F74FEA">
        <w:rPr>
          <w:lang w:val="fr-FR"/>
        </w:rPr>
        <w:t>emballage P801</w:t>
      </w:r>
      <w:r>
        <w:rPr>
          <w:lang w:val="fr-FR"/>
        </w:rPr>
        <w:tab/>
      </w:r>
      <w:r>
        <w:rPr>
          <w:lang w:val="fr-FR"/>
        </w:rPr>
        <w:tab/>
        <w:t>41</w:t>
      </w:r>
      <w:r>
        <w:rPr>
          <w:lang w:val="fr-FR"/>
        </w:rPr>
        <w:tab/>
      </w:r>
      <w:r w:rsidR="00832A35">
        <w:rPr>
          <w:lang w:val="fr-FR"/>
        </w:rPr>
        <w:t>9</w:t>
      </w:r>
    </w:p>
    <w:p w:rsidR="001E42C1" w:rsidRDefault="001E42C1" w:rsidP="00F74FEA">
      <w:pPr>
        <w:tabs>
          <w:tab w:val="right" w:leader="dot" w:pos="7654"/>
          <w:tab w:val="right" w:pos="8929"/>
          <w:tab w:val="right" w:pos="9638"/>
        </w:tabs>
        <w:spacing w:after="120"/>
        <w:ind w:left="1559" w:hanging="425"/>
        <w:rPr>
          <w:lang w:val="fr-FR"/>
        </w:rPr>
      </w:pPr>
      <w:r>
        <w:rPr>
          <w:lang w:val="fr-FR"/>
        </w:rPr>
        <w:t>G.</w:t>
      </w:r>
      <w:r>
        <w:rPr>
          <w:lang w:val="fr-FR"/>
        </w:rPr>
        <w:tab/>
      </w:r>
      <w:r w:rsidRPr="00F74FEA">
        <w:rPr>
          <w:lang w:val="fr-FR"/>
        </w:rPr>
        <w:t>Classement et emballage des déchets infectieux de la catégorie A</w:t>
      </w:r>
      <w:r>
        <w:rPr>
          <w:lang w:val="fr-FR"/>
        </w:rPr>
        <w:tab/>
      </w:r>
      <w:r>
        <w:rPr>
          <w:lang w:val="fr-FR"/>
        </w:rPr>
        <w:tab/>
        <w:t>42</w:t>
      </w:r>
      <w:r>
        <w:rPr>
          <w:lang w:val="fr-FR"/>
        </w:rPr>
        <w:tab/>
      </w:r>
      <w:r w:rsidR="00832A35">
        <w:rPr>
          <w:lang w:val="fr-FR"/>
        </w:rPr>
        <w:t>10</w:t>
      </w:r>
    </w:p>
    <w:p w:rsidR="001E42C1" w:rsidRDefault="001E42C1" w:rsidP="001E42C1">
      <w:pPr>
        <w:tabs>
          <w:tab w:val="right" w:pos="850"/>
          <w:tab w:val="right" w:leader="dot" w:pos="7654"/>
          <w:tab w:val="right" w:pos="8929"/>
          <w:tab w:val="right" w:pos="9638"/>
        </w:tabs>
        <w:spacing w:after="120"/>
        <w:ind w:left="1134" w:hanging="1134"/>
      </w:pPr>
      <w:r>
        <w:tab/>
        <w:t>V.</w:t>
      </w:r>
      <w:r>
        <w:tab/>
      </w:r>
      <w:r w:rsidRPr="00F74FEA">
        <w:rPr>
          <w:lang w:val="fr-FR"/>
        </w:rPr>
        <w:t>Systèmes de stockage de l</w:t>
      </w:r>
      <w:r w:rsidR="00295FAB">
        <w:rPr>
          <w:lang w:val="fr-FR"/>
        </w:rPr>
        <w:t>’</w:t>
      </w:r>
      <w:r w:rsidRPr="00F74FEA">
        <w:rPr>
          <w:lang w:val="fr-FR"/>
        </w:rPr>
        <w:t>électricité (point 4 de l</w:t>
      </w:r>
      <w:r w:rsidR="00295FAB">
        <w:rPr>
          <w:lang w:val="fr-FR"/>
        </w:rPr>
        <w:t>’</w:t>
      </w:r>
      <w:r w:rsidRPr="00F74FEA">
        <w:rPr>
          <w:lang w:val="fr-FR"/>
        </w:rPr>
        <w:t>ordre du jour)</w:t>
      </w:r>
      <w:r>
        <w:tab/>
      </w:r>
      <w:r>
        <w:tab/>
        <w:t>43−59</w:t>
      </w:r>
      <w:r>
        <w:tab/>
      </w:r>
      <w:r w:rsidR="00832A35">
        <w:t>10</w:t>
      </w:r>
    </w:p>
    <w:p w:rsidR="001E42C1" w:rsidRDefault="001E42C1" w:rsidP="001E42C1">
      <w:pPr>
        <w:tabs>
          <w:tab w:val="right" w:leader="dot" w:pos="7654"/>
          <w:tab w:val="right" w:pos="8929"/>
          <w:tab w:val="right" w:pos="9638"/>
        </w:tabs>
        <w:spacing w:after="120"/>
        <w:ind w:left="1559" w:hanging="425"/>
        <w:rPr>
          <w:lang w:val="fr-FR"/>
        </w:rPr>
      </w:pPr>
      <w:r>
        <w:t>A.</w:t>
      </w:r>
      <w:r>
        <w:tab/>
      </w:r>
      <w:r w:rsidRPr="00F74FEA">
        <w:rPr>
          <w:lang w:val="fr-FR"/>
        </w:rPr>
        <w:t>Épreuves des batteries au lithium</w:t>
      </w:r>
      <w:r>
        <w:rPr>
          <w:lang w:val="fr-FR"/>
        </w:rPr>
        <w:tab/>
      </w:r>
      <w:r>
        <w:rPr>
          <w:lang w:val="fr-FR"/>
        </w:rPr>
        <w:tab/>
        <w:t>43</w:t>
      </w:r>
      <w:r>
        <w:rPr>
          <w:lang w:val="fr-FR"/>
        </w:rPr>
        <w:tab/>
      </w:r>
      <w:r w:rsidR="00832A35">
        <w:rPr>
          <w:lang w:val="fr-FR"/>
        </w:rPr>
        <w:t>10</w:t>
      </w:r>
    </w:p>
    <w:p w:rsidR="001E42C1" w:rsidRPr="001E42C1" w:rsidRDefault="001E42C1" w:rsidP="001E42C1">
      <w:pPr>
        <w:tabs>
          <w:tab w:val="right" w:leader="dot" w:pos="7654"/>
          <w:tab w:val="right" w:pos="8929"/>
          <w:tab w:val="right" w:pos="9638"/>
        </w:tabs>
        <w:spacing w:after="120"/>
        <w:ind w:left="1559" w:hanging="425"/>
        <w:rPr>
          <w:lang w:val="fr-FR"/>
        </w:rPr>
      </w:pPr>
      <w:r w:rsidRPr="001E42C1">
        <w:rPr>
          <w:lang w:val="fr-FR"/>
        </w:rPr>
        <w:tab/>
        <w:t>Document de synthèse sur les épreuves des batteries au lithium</w:t>
      </w:r>
      <w:r>
        <w:rPr>
          <w:lang w:val="fr-FR"/>
        </w:rPr>
        <w:tab/>
      </w:r>
      <w:r>
        <w:rPr>
          <w:lang w:val="fr-FR"/>
        </w:rPr>
        <w:tab/>
        <w:t>43</w:t>
      </w:r>
      <w:r>
        <w:rPr>
          <w:lang w:val="fr-FR"/>
        </w:rPr>
        <w:tab/>
      </w:r>
      <w:r w:rsidR="00832A35">
        <w:rPr>
          <w:lang w:val="fr-FR"/>
        </w:rPr>
        <w:t>10</w:t>
      </w:r>
    </w:p>
    <w:p w:rsidR="001E42C1" w:rsidRDefault="001E42C1" w:rsidP="001E42C1">
      <w:pPr>
        <w:tabs>
          <w:tab w:val="right" w:leader="dot" w:pos="7654"/>
          <w:tab w:val="right" w:pos="8929"/>
          <w:tab w:val="right" w:pos="9638"/>
        </w:tabs>
        <w:spacing w:after="120"/>
        <w:ind w:left="1559" w:hanging="425"/>
        <w:rPr>
          <w:lang w:val="fr-FR"/>
        </w:rPr>
      </w:pPr>
      <w:r>
        <w:rPr>
          <w:lang w:val="fr-FR"/>
        </w:rPr>
        <w:t>B.</w:t>
      </w:r>
      <w:r>
        <w:rPr>
          <w:lang w:val="fr-FR"/>
        </w:rPr>
        <w:tab/>
      </w:r>
      <w:r w:rsidRPr="00F74FEA">
        <w:rPr>
          <w:lang w:val="fr-FR"/>
        </w:rPr>
        <w:t>Système de classification des piles au lithium en fonction du danger</w:t>
      </w:r>
      <w:r>
        <w:rPr>
          <w:lang w:val="fr-FR"/>
        </w:rPr>
        <w:tab/>
      </w:r>
      <w:r>
        <w:rPr>
          <w:lang w:val="fr-FR"/>
        </w:rPr>
        <w:tab/>
        <w:t>44−45</w:t>
      </w:r>
      <w:r>
        <w:rPr>
          <w:lang w:val="fr-FR"/>
        </w:rPr>
        <w:tab/>
      </w:r>
      <w:r w:rsidR="00832A35">
        <w:rPr>
          <w:lang w:val="fr-FR"/>
        </w:rPr>
        <w:t>10</w:t>
      </w:r>
    </w:p>
    <w:p w:rsidR="001E42C1" w:rsidRDefault="001E42C1" w:rsidP="001E42C1">
      <w:pPr>
        <w:tabs>
          <w:tab w:val="right" w:leader="dot" w:pos="7654"/>
          <w:tab w:val="right" w:pos="8929"/>
          <w:tab w:val="right" w:pos="9638"/>
        </w:tabs>
        <w:spacing w:after="120"/>
        <w:ind w:left="1559" w:hanging="425"/>
        <w:rPr>
          <w:lang w:val="fr-FR"/>
        </w:rPr>
      </w:pPr>
      <w:r>
        <w:rPr>
          <w:lang w:val="fr-FR"/>
        </w:rPr>
        <w:t>C.</w:t>
      </w:r>
      <w:r>
        <w:rPr>
          <w:lang w:val="fr-FR"/>
        </w:rPr>
        <w:tab/>
      </w:r>
      <w:r w:rsidRPr="00F74FEA">
        <w:rPr>
          <w:lang w:val="fr-FR"/>
        </w:rPr>
        <w:t>Dispositions relatives au transport</w:t>
      </w:r>
      <w:r>
        <w:rPr>
          <w:lang w:val="fr-FR"/>
        </w:rPr>
        <w:tab/>
      </w:r>
      <w:r>
        <w:rPr>
          <w:lang w:val="fr-FR"/>
        </w:rPr>
        <w:tab/>
        <w:t>46−50</w:t>
      </w:r>
      <w:r>
        <w:rPr>
          <w:lang w:val="fr-FR"/>
        </w:rPr>
        <w:tab/>
      </w:r>
      <w:r w:rsidR="00832A35">
        <w:rPr>
          <w:lang w:val="fr-FR"/>
        </w:rPr>
        <w:t>11</w:t>
      </w:r>
    </w:p>
    <w:p w:rsidR="001E42C1" w:rsidRDefault="001E42C1" w:rsidP="001E42C1">
      <w:pPr>
        <w:tabs>
          <w:tab w:val="right" w:leader="dot" w:pos="7654"/>
          <w:tab w:val="right" w:pos="8929"/>
          <w:tab w:val="right" w:pos="9638"/>
        </w:tabs>
        <w:spacing w:after="120"/>
        <w:ind w:left="1984" w:hanging="425"/>
      </w:pPr>
      <w:r>
        <w:t>1.</w:t>
      </w:r>
      <w:r>
        <w:tab/>
      </w:r>
      <w:r w:rsidRPr="00F74FEA">
        <w:rPr>
          <w:lang w:val="fr-FR"/>
        </w:rPr>
        <w:t>Accumulateurs installés dans des véhicules</w:t>
      </w:r>
      <w:r>
        <w:tab/>
      </w:r>
      <w:r>
        <w:tab/>
        <w:t>46−47</w:t>
      </w:r>
      <w:r>
        <w:tab/>
      </w:r>
      <w:r w:rsidR="00832A35">
        <w:t>11</w:t>
      </w:r>
    </w:p>
    <w:p w:rsidR="001E42C1" w:rsidRDefault="001E42C1" w:rsidP="001E42C1">
      <w:pPr>
        <w:tabs>
          <w:tab w:val="right" w:leader="dot" w:pos="7654"/>
          <w:tab w:val="right" w:pos="8929"/>
          <w:tab w:val="right" w:pos="9638"/>
        </w:tabs>
        <w:spacing w:after="120"/>
        <w:ind w:left="1984" w:hanging="425"/>
      </w:pPr>
      <w:r>
        <w:t>2.</w:t>
      </w:r>
      <w:r>
        <w:tab/>
      </w:r>
      <w:r w:rsidRPr="00F74FEA">
        <w:rPr>
          <w:lang w:val="fr-FR"/>
        </w:rPr>
        <w:t xml:space="preserve">Affectation des équipements mus par des accumulateurs et des piles </w:t>
      </w:r>
      <w:r>
        <w:rPr>
          <w:lang w:val="fr-FR"/>
        </w:rPr>
        <w:br/>
      </w:r>
      <w:r w:rsidRPr="00F74FEA">
        <w:rPr>
          <w:lang w:val="fr-FR"/>
        </w:rPr>
        <w:t xml:space="preserve">aux </w:t>
      </w:r>
      <w:r w:rsidR="005636D6">
        <w:rPr>
          <w:lang w:val="fr-FR"/>
        </w:rPr>
        <w:t xml:space="preserve">Nos </w:t>
      </w:r>
      <w:r w:rsidRPr="00F74FEA">
        <w:rPr>
          <w:lang w:val="fr-FR"/>
        </w:rPr>
        <w:t>ONU 2800, 2794, 2795, 3028 et 3496</w:t>
      </w:r>
      <w:r>
        <w:tab/>
      </w:r>
      <w:r>
        <w:tab/>
        <w:t>48</w:t>
      </w:r>
      <w:r>
        <w:tab/>
      </w:r>
      <w:r w:rsidR="00832A35">
        <w:t>11</w:t>
      </w:r>
    </w:p>
    <w:p w:rsidR="001E42C1" w:rsidRDefault="001E42C1" w:rsidP="001E42C1">
      <w:pPr>
        <w:tabs>
          <w:tab w:val="right" w:leader="dot" w:pos="7654"/>
          <w:tab w:val="right" w:pos="8929"/>
          <w:tab w:val="right" w:pos="9638"/>
        </w:tabs>
        <w:spacing w:after="120"/>
        <w:ind w:left="1984" w:hanging="425"/>
      </w:pPr>
      <w:r>
        <w:t>3.</w:t>
      </w:r>
      <w:r>
        <w:tab/>
      </w:r>
      <w:r w:rsidRPr="00E45670">
        <w:rPr>
          <w:lang w:val="fr-FR"/>
        </w:rPr>
        <w:t xml:space="preserve">Dimension du numéro ONU sur les marques requises pour </w:t>
      </w:r>
      <w:r>
        <w:rPr>
          <w:lang w:val="fr-FR"/>
        </w:rPr>
        <w:br/>
      </w:r>
      <w:r w:rsidRPr="00E45670">
        <w:rPr>
          <w:lang w:val="fr-FR"/>
        </w:rPr>
        <w:t>les batteries au lithium</w:t>
      </w:r>
      <w:r>
        <w:rPr>
          <w:lang w:val="fr-FR"/>
        </w:rPr>
        <w:tab/>
      </w:r>
      <w:r>
        <w:rPr>
          <w:lang w:val="fr-FR"/>
        </w:rPr>
        <w:tab/>
        <w:t>49−50</w:t>
      </w:r>
      <w:r>
        <w:rPr>
          <w:lang w:val="fr-FR"/>
        </w:rPr>
        <w:tab/>
      </w:r>
      <w:r w:rsidR="00832A35">
        <w:rPr>
          <w:lang w:val="fr-FR"/>
        </w:rPr>
        <w:t>11</w:t>
      </w:r>
    </w:p>
    <w:p w:rsidR="001E42C1" w:rsidRDefault="001E42C1" w:rsidP="001E42C1">
      <w:pPr>
        <w:tabs>
          <w:tab w:val="right" w:leader="dot" w:pos="7654"/>
          <w:tab w:val="right" w:pos="8929"/>
          <w:tab w:val="right" w:pos="9638"/>
        </w:tabs>
        <w:spacing w:after="120"/>
        <w:ind w:left="1559" w:hanging="425"/>
        <w:rPr>
          <w:lang w:val="fr-FR"/>
        </w:rPr>
      </w:pPr>
      <w:r>
        <w:rPr>
          <w:lang w:val="fr-FR"/>
        </w:rPr>
        <w:t>D.</w:t>
      </w:r>
      <w:r>
        <w:rPr>
          <w:lang w:val="fr-FR"/>
        </w:rPr>
        <w:tab/>
      </w:r>
      <w:r w:rsidRPr="00E45670">
        <w:rPr>
          <w:lang w:val="fr-FR"/>
        </w:rPr>
        <w:t>Batteries au lithium endommagées ou défectueuses</w:t>
      </w:r>
      <w:r>
        <w:rPr>
          <w:lang w:val="fr-FR"/>
        </w:rPr>
        <w:tab/>
      </w:r>
      <w:r>
        <w:rPr>
          <w:lang w:val="fr-FR"/>
        </w:rPr>
        <w:tab/>
        <w:t>51−52</w:t>
      </w:r>
      <w:r>
        <w:rPr>
          <w:lang w:val="fr-FR"/>
        </w:rPr>
        <w:tab/>
      </w:r>
      <w:r w:rsidR="00832A35">
        <w:rPr>
          <w:lang w:val="fr-FR"/>
        </w:rPr>
        <w:t>11</w:t>
      </w:r>
    </w:p>
    <w:p w:rsidR="001E42C1" w:rsidRDefault="001E42C1" w:rsidP="001E42C1">
      <w:pPr>
        <w:tabs>
          <w:tab w:val="right" w:leader="dot" w:pos="7654"/>
          <w:tab w:val="right" w:pos="8929"/>
          <w:tab w:val="right" w:pos="9638"/>
        </w:tabs>
        <w:spacing w:after="120"/>
        <w:ind w:left="1559" w:hanging="425"/>
        <w:rPr>
          <w:lang w:val="fr-FR"/>
        </w:rPr>
      </w:pPr>
      <w:r>
        <w:rPr>
          <w:lang w:val="fr-FR"/>
        </w:rPr>
        <w:tab/>
      </w:r>
      <w:r w:rsidRPr="00E45670">
        <w:rPr>
          <w:lang w:val="fr-FR"/>
        </w:rPr>
        <w:t xml:space="preserve">Transport de piles et batteries au lithium contenues dans les véhicules </w:t>
      </w:r>
      <w:r>
        <w:rPr>
          <w:lang w:val="fr-FR"/>
        </w:rPr>
        <w:br/>
      </w:r>
      <w:r w:rsidRPr="00E45670">
        <w:rPr>
          <w:lang w:val="fr-FR"/>
        </w:rPr>
        <w:t>et leur équipement lorsqu</w:t>
      </w:r>
      <w:r w:rsidR="00295FAB">
        <w:rPr>
          <w:lang w:val="fr-FR"/>
        </w:rPr>
        <w:t>’</w:t>
      </w:r>
      <w:r w:rsidRPr="00E45670">
        <w:rPr>
          <w:lang w:val="fr-FR"/>
        </w:rPr>
        <w:t>elles sont endommagées ou défectueuses</w:t>
      </w:r>
      <w:r>
        <w:rPr>
          <w:lang w:val="fr-FR"/>
        </w:rPr>
        <w:tab/>
      </w:r>
      <w:r>
        <w:rPr>
          <w:lang w:val="fr-FR"/>
        </w:rPr>
        <w:tab/>
        <w:t>51−52</w:t>
      </w:r>
      <w:r>
        <w:rPr>
          <w:lang w:val="fr-FR"/>
        </w:rPr>
        <w:tab/>
      </w:r>
      <w:r w:rsidR="00832A35">
        <w:rPr>
          <w:lang w:val="fr-FR"/>
        </w:rPr>
        <w:t>11</w:t>
      </w:r>
    </w:p>
    <w:p w:rsidR="001E42C1" w:rsidRDefault="001E42C1" w:rsidP="001E42C1">
      <w:pPr>
        <w:tabs>
          <w:tab w:val="right" w:leader="dot" w:pos="7654"/>
          <w:tab w:val="right" w:pos="8929"/>
          <w:tab w:val="right" w:pos="9638"/>
        </w:tabs>
        <w:spacing w:after="120"/>
        <w:ind w:left="1559" w:hanging="425"/>
        <w:rPr>
          <w:lang w:val="fr-FR"/>
        </w:rPr>
      </w:pPr>
      <w:r>
        <w:rPr>
          <w:lang w:val="fr-FR"/>
        </w:rPr>
        <w:t>E.</w:t>
      </w:r>
      <w:r>
        <w:rPr>
          <w:lang w:val="fr-FR"/>
        </w:rPr>
        <w:tab/>
      </w:r>
      <w:r w:rsidRPr="00E45670">
        <w:rPr>
          <w:lang w:val="fr-FR"/>
        </w:rPr>
        <w:t>Diver</w:t>
      </w:r>
      <w:r>
        <w:rPr>
          <w:lang w:val="fr-FR"/>
        </w:rPr>
        <w:t>s</w:t>
      </w:r>
      <w:r>
        <w:rPr>
          <w:lang w:val="fr-FR"/>
        </w:rPr>
        <w:tab/>
      </w:r>
      <w:r>
        <w:rPr>
          <w:lang w:val="fr-FR"/>
        </w:rPr>
        <w:tab/>
      </w:r>
      <w:r w:rsidR="00C1051B">
        <w:rPr>
          <w:lang w:val="fr-FR"/>
        </w:rPr>
        <w:t>53−59</w:t>
      </w:r>
      <w:r w:rsidR="00C1051B">
        <w:rPr>
          <w:lang w:val="fr-FR"/>
        </w:rPr>
        <w:tab/>
      </w:r>
      <w:r w:rsidR="00832A35">
        <w:rPr>
          <w:lang w:val="fr-FR"/>
        </w:rPr>
        <w:t>12</w:t>
      </w:r>
    </w:p>
    <w:p w:rsidR="00C1051B" w:rsidRDefault="00C1051B" w:rsidP="00C1051B">
      <w:pPr>
        <w:tabs>
          <w:tab w:val="right" w:leader="dot" w:pos="7654"/>
          <w:tab w:val="right" w:pos="8929"/>
          <w:tab w:val="right" w:pos="9638"/>
        </w:tabs>
        <w:spacing w:after="120"/>
        <w:ind w:left="1984" w:hanging="425"/>
      </w:pPr>
      <w:r>
        <w:t>1.</w:t>
      </w:r>
      <w:r>
        <w:tab/>
      </w:r>
      <w:r w:rsidRPr="00E45670">
        <w:rPr>
          <w:lang w:val="fr-FR"/>
        </w:rPr>
        <w:t>No ONU 3536 et disposition spéciale 389</w:t>
      </w:r>
      <w:r>
        <w:tab/>
      </w:r>
      <w:r>
        <w:tab/>
        <w:t>53−56</w:t>
      </w:r>
      <w:r>
        <w:tab/>
      </w:r>
      <w:r w:rsidR="00832A35">
        <w:t>12</w:t>
      </w:r>
    </w:p>
    <w:p w:rsidR="00C1051B" w:rsidRDefault="00C1051B" w:rsidP="00C1051B">
      <w:pPr>
        <w:tabs>
          <w:tab w:val="right" w:leader="dot" w:pos="7654"/>
          <w:tab w:val="right" w:pos="8929"/>
          <w:tab w:val="right" w:pos="9638"/>
        </w:tabs>
        <w:spacing w:after="120"/>
        <w:ind w:left="1984" w:hanging="425"/>
      </w:pPr>
      <w:r>
        <w:t>2.</w:t>
      </w:r>
      <w:r>
        <w:tab/>
      </w:r>
      <w:r w:rsidRPr="00E45670">
        <w:rPr>
          <w:lang w:val="fr-FR"/>
        </w:rPr>
        <w:t xml:space="preserve">Exemption pour les dispositifs de localisation des marchandises </w:t>
      </w:r>
      <w:r>
        <w:rPr>
          <w:lang w:val="fr-FR"/>
        </w:rPr>
        <w:br/>
      </w:r>
      <w:r w:rsidRPr="00E45670">
        <w:rPr>
          <w:lang w:val="fr-FR"/>
        </w:rPr>
        <w:t>et les enregistreurs de données alimentés par batterie au lithium</w:t>
      </w:r>
      <w:r w:rsidR="00295FAB">
        <w:rPr>
          <w:lang w:val="fr-FR"/>
        </w:rPr>
        <w:t> </w:t>
      </w:r>
      <w:r w:rsidRPr="00E45670">
        <w:rPr>
          <w:lang w:val="fr-FR"/>
        </w:rPr>
        <w:t xml:space="preserve">; </w:t>
      </w:r>
      <w:r>
        <w:rPr>
          <w:lang w:val="fr-FR"/>
        </w:rPr>
        <w:br/>
      </w:r>
      <w:r w:rsidRPr="00E45670">
        <w:rPr>
          <w:lang w:val="fr-FR"/>
        </w:rPr>
        <w:t>champ d</w:t>
      </w:r>
      <w:r w:rsidR="00295FAB">
        <w:rPr>
          <w:lang w:val="fr-FR"/>
        </w:rPr>
        <w:t>’</w:t>
      </w:r>
      <w:r w:rsidRPr="00E45670">
        <w:rPr>
          <w:lang w:val="fr-FR"/>
        </w:rPr>
        <w:t>application des exemptions au 1.1.1.2</w:t>
      </w:r>
      <w:r>
        <w:tab/>
      </w:r>
      <w:r>
        <w:tab/>
        <w:t>57−59</w:t>
      </w:r>
      <w:r>
        <w:tab/>
      </w:r>
      <w:r w:rsidR="00832A35">
        <w:t>12</w:t>
      </w:r>
    </w:p>
    <w:p w:rsidR="00C1051B" w:rsidRDefault="00C1051B" w:rsidP="00C1051B">
      <w:pPr>
        <w:tabs>
          <w:tab w:val="right" w:pos="850"/>
          <w:tab w:val="right" w:leader="dot" w:pos="7654"/>
          <w:tab w:val="right" w:pos="8929"/>
          <w:tab w:val="right" w:pos="9638"/>
        </w:tabs>
        <w:spacing w:after="120"/>
        <w:ind w:left="1134" w:hanging="1134"/>
      </w:pPr>
      <w:r>
        <w:tab/>
        <w:t>VI.</w:t>
      </w:r>
      <w:r>
        <w:tab/>
      </w:r>
      <w:r w:rsidRPr="00E45670">
        <w:rPr>
          <w:lang w:val="fr-FR"/>
        </w:rPr>
        <w:t>Transport de gaz (point 5 de l</w:t>
      </w:r>
      <w:r w:rsidR="00295FAB">
        <w:rPr>
          <w:lang w:val="fr-FR"/>
        </w:rPr>
        <w:t>’</w:t>
      </w:r>
      <w:r w:rsidRPr="00E45670">
        <w:rPr>
          <w:lang w:val="fr-FR"/>
        </w:rPr>
        <w:t>ordre du jour)</w:t>
      </w:r>
      <w:r>
        <w:tab/>
      </w:r>
      <w:r>
        <w:tab/>
        <w:t>60−68</w:t>
      </w:r>
      <w:r>
        <w:tab/>
      </w:r>
      <w:r w:rsidR="00832A35">
        <w:t>13</w:t>
      </w:r>
    </w:p>
    <w:p w:rsidR="00C1051B" w:rsidRDefault="00C1051B" w:rsidP="00C1051B">
      <w:pPr>
        <w:tabs>
          <w:tab w:val="right" w:leader="dot" w:pos="7654"/>
          <w:tab w:val="right" w:pos="8929"/>
          <w:tab w:val="right" w:pos="9638"/>
        </w:tabs>
        <w:spacing w:after="120"/>
        <w:ind w:left="1559" w:hanging="425"/>
        <w:rPr>
          <w:lang w:val="fr-FR"/>
        </w:rPr>
      </w:pPr>
      <w:r>
        <w:t>A.</w:t>
      </w:r>
      <w:r>
        <w:tab/>
      </w:r>
      <w:r w:rsidRPr="00E45670">
        <w:rPr>
          <w:lang w:val="fr-FR"/>
        </w:rPr>
        <w:t>Reconnaissance universelle des récipients à pression ONU et non-ONU</w:t>
      </w:r>
      <w:r>
        <w:rPr>
          <w:lang w:val="fr-FR"/>
        </w:rPr>
        <w:tab/>
      </w:r>
      <w:r>
        <w:rPr>
          <w:lang w:val="fr-FR"/>
        </w:rPr>
        <w:tab/>
        <w:t>60</w:t>
      </w:r>
      <w:r>
        <w:rPr>
          <w:lang w:val="fr-FR"/>
        </w:rPr>
        <w:tab/>
      </w:r>
      <w:r w:rsidR="00832A35">
        <w:rPr>
          <w:lang w:val="fr-FR"/>
        </w:rPr>
        <w:t>13</w:t>
      </w:r>
    </w:p>
    <w:p w:rsidR="00C1051B" w:rsidRDefault="00C1051B" w:rsidP="00C1051B">
      <w:pPr>
        <w:tabs>
          <w:tab w:val="right" w:leader="dot" w:pos="7654"/>
          <w:tab w:val="right" w:pos="8929"/>
          <w:tab w:val="right" w:pos="9638"/>
        </w:tabs>
        <w:spacing w:after="120"/>
        <w:ind w:left="1559" w:hanging="425"/>
        <w:rPr>
          <w:lang w:val="fr-FR"/>
        </w:rPr>
      </w:pPr>
      <w:r>
        <w:rPr>
          <w:lang w:val="fr-FR"/>
        </w:rPr>
        <w:t>B.</w:t>
      </w:r>
      <w:r>
        <w:rPr>
          <w:lang w:val="fr-FR"/>
        </w:rPr>
        <w:tab/>
      </w:r>
      <w:r w:rsidRPr="00E45670">
        <w:rPr>
          <w:lang w:val="fr-FR"/>
        </w:rPr>
        <w:t>Divers</w:t>
      </w:r>
      <w:r>
        <w:rPr>
          <w:lang w:val="fr-FR"/>
        </w:rPr>
        <w:tab/>
      </w:r>
      <w:r>
        <w:rPr>
          <w:lang w:val="fr-FR"/>
        </w:rPr>
        <w:tab/>
        <w:t>61−68</w:t>
      </w:r>
      <w:r>
        <w:rPr>
          <w:lang w:val="fr-FR"/>
        </w:rPr>
        <w:tab/>
      </w:r>
      <w:r w:rsidR="00832A35">
        <w:rPr>
          <w:lang w:val="fr-FR"/>
        </w:rPr>
        <w:t>13</w:t>
      </w:r>
    </w:p>
    <w:p w:rsidR="00C1051B" w:rsidRDefault="00C1051B" w:rsidP="00C1051B">
      <w:pPr>
        <w:tabs>
          <w:tab w:val="right" w:leader="dot" w:pos="7654"/>
          <w:tab w:val="right" w:pos="8929"/>
          <w:tab w:val="right" w:pos="9638"/>
        </w:tabs>
        <w:spacing w:after="120"/>
        <w:ind w:left="1984" w:hanging="425"/>
      </w:pPr>
      <w:r>
        <w:t>1.</w:t>
      </w:r>
      <w:r>
        <w:tab/>
      </w:r>
      <w:r w:rsidRPr="00E45670">
        <w:rPr>
          <w:lang w:val="fr-FR"/>
        </w:rPr>
        <w:t xml:space="preserve">Gaz adsorbés − exemption pour les gaz de la division 2.2 </w:t>
      </w:r>
      <w:r>
        <w:rPr>
          <w:lang w:val="fr-FR"/>
        </w:rPr>
        <w:br/>
      </w:r>
      <w:r w:rsidRPr="00E45670">
        <w:rPr>
          <w:lang w:val="fr-FR"/>
        </w:rPr>
        <w:t>(ininflammables, non toxiques)</w:t>
      </w:r>
      <w:r>
        <w:tab/>
      </w:r>
      <w:r>
        <w:tab/>
        <w:t>61</w:t>
      </w:r>
      <w:r>
        <w:tab/>
      </w:r>
      <w:r w:rsidR="00832A35">
        <w:t>13</w:t>
      </w:r>
    </w:p>
    <w:p w:rsidR="00C1051B" w:rsidRDefault="00C1051B" w:rsidP="00C1051B">
      <w:pPr>
        <w:tabs>
          <w:tab w:val="right" w:leader="dot" w:pos="7654"/>
          <w:tab w:val="right" w:pos="8929"/>
          <w:tab w:val="right" w:pos="9638"/>
        </w:tabs>
        <w:spacing w:after="120"/>
        <w:ind w:left="1984" w:hanging="425"/>
      </w:pPr>
      <w:r>
        <w:t>2.</w:t>
      </w:r>
      <w:r>
        <w:tab/>
      </w:r>
      <w:r w:rsidR="005F6092" w:rsidRPr="00E45670">
        <w:rPr>
          <w:lang w:val="fr-FR"/>
        </w:rPr>
        <w:t>Bouteilles d</w:t>
      </w:r>
      <w:r w:rsidR="00295FAB">
        <w:rPr>
          <w:lang w:val="fr-FR"/>
        </w:rPr>
        <w:t>’</w:t>
      </w:r>
      <w:r w:rsidR="005F6092" w:rsidRPr="00E45670">
        <w:rPr>
          <w:lang w:val="fr-FR"/>
        </w:rPr>
        <w:t xml:space="preserve">acétylène − normes relatives aux prescriptions </w:t>
      </w:r>
      <w:r w:rsidR="005F6092">
        <w:rPr>
          <w:lang w:val="fr-FR"/>
        </w:rPr>
        <w:br/>
      </w:r>
      <w:r w:rsidR="005F6092" w:rsidRPr="00E45670">
        <w:rPr>
          <w:lang w:val="fr-FR"/>
        </w:rPr>
        <w:t>conformément à la sous-section 6.2.1.1.9</w:t>
      </w:r>
      <w:r>
        <w:tab/>
      </w:r>
      <w:r>
        <w:tab/>
        <w:t>62</w:t>
      </w:r>
      <w:r>
        <w:tab/>
      </w:r>
      <w:r w:rsidR="00832A35">
        <w:t>13</w:t>
      </w:r>
    </w:p>
    <w:p w:rsidR="00C1051B" w:rsidRDefault="00C1051B" w:rsidP="00C1051B">
      <w:pPr>
        <w:tabs>
          <w:tab w:val="right" w:leader="dot" w:pos="7654"/>
          <w:tab w:val="right" w:pos="8929"/>
          <w:tab w:val="right" w:pos="9638"/>
        </w:tabs>
        <w:spacing w:after="120"/>
        <w:ind w:left="1984" w:hanging="425"/>
      </w:pPr>
      <w:r>
        <w:t>3.</w:t>
      </w:r>
      <w:r>
        <w:tab/>
      </w:r>
      <w:r w:rsidR="005F6092" w:rsidRPr="00E45670">
        <w:rPr>
          <w:lang w:val="fr-FR"/>
        </w:rPr>
        <w:t>Mise à jour des références aux normes ISO relatives à la classe 2</w:t>
      </w:r>
      <w:r>
        <w:tab/>
      </w:r>
      <w:r>
        <w:tab/>
        <w:t>63−64</w:t>
      </w:r>
      <w:r>
        <w:tab/>
      </w:r>
      <w:r w:rsidR="00832A35">
        <w:t>13</w:t>
      </w:r>
    </w:p>
    <w:p w:rsidR="00C1051B" w:rsidRDefault="00C1051B" w:rsidP="00C1051B">
      <w:pPr>
        <w:tabs>
          <w:tab w:val="right" w:leader="dot" w:pos="7654"/>
          <w:tab w:val="right" w:pos="8929"/>
          <w:tab w:val="right" w:pos="9638"/>
        </w:tabs>
        <w:spacing w:after="120"/>
        <w:ind w:left="1984" w:hanging="425"/>
      </w:pPr>
      <w:r>
        <w:t>4.</w:t>
      </w:r>
      <w:r>
        <w:tab/>
      </w:r>
      <w:r w:rsidR="005F6092" w:rsidRPr="00E45670">
        <w:rPr>
          <w:lang w:val="fr-FR"/>
        </w:rPr>
        <w:t>Modifications diverses concernant la classe 2</w:t>
      </w:r>
      <w:r>
        <w:tab/>
      </w:r>
      <w:r>
        <w:tab/>
        <w:t>65−67</w:t>
      </w:r>
      <w:r>
        <w:tab/>
      </w:r>
      <w:r w:rsidR="00832A35">
        <w:t>13</w:t>
      </w:r>
    </w:p>
    <w:p w:rsidR="00C1051B" w:rsidRDefault="00C1051B" w:rsidP="00C1051B">
      <w:pPr>
        <w:tabs>
          <w:tab w:val="right" w:leader="dot" w:pos="7654"/>
          <w:tab w:val="right" w:pos="8929"/>
          <w:tab w:val="right" w:pos="9638"/>
        </w:tabs>
        <w:spacing w:after="120"/>
        <w:ind w:left="1984" w:hanging="425"/>
      </w:pPr>
      <w:r>
        <w:t>5.</w:t>
      </w:r>
      <w:r>
        <w:tab/>
      </w:r>
      <w:r w:rsidR="005F6092" w:rsidRPr="00E45670">
        <w:rPr>
          <w:lang w:val="fr-FR"/>
        </w:rPr>
        <w:t>Dispositions relatives aux fermetures des récipients à pression</w:t>
      </w:r>
      <w:r>
        <w:tab/>
      </w:r>
      <w:r>
        <w:tab/>
        <w:t>68</w:t>
      </w:r>
      <w:r>
        <w:tab/>
      </w:r>
      <w:r w:rsidR="00832A35">
        <w:t>13</w:t>
      </w:r>
    </w:p>
    <w:p w:rsidR="00C1051B" w:rsidRDefault="00C1051B" w:rsidP="00C1051B">
      <w:pPr>
        <w:tabs>
          <w:tab w:val="right" w:pos="850"/>
          <w:tab w:val="right" w:leader="dot" w:pos="7654"/>
          <w:tab w:val="right" w:pos="8929"/>
          <w:tab w:val="right" w:pos="9638"/>
        </w:tabs>
        <w:spacing w:after="120"/>
        <w:ind w:left="1134" w:hanging="1134"/>
      </w:pPr>
      <w:r>
        <w:tab/>
        <w:t>VII.</w:t>
      </w:r>
      <w:r>
        <w:tab/>
      </w:r>
      <w:r w:rsidR="005F6092" w:rsidRPr="00E45670">
        <w:rPr>
          <w:lang w:val="fr-FR"/>
        </w:rPr>
        <w:t>Propositions diverses d</w:t>
      </w:r>
      <w:r w:rsidR="00295FAB">
        <w:rPr>
          <w:lang w:val="fr-FR"/>
        </w:rPr>
        <w:t>’</w:t>
      </w:r>
      <w:r w:rsidR="005F6092" w:rsidRPr="00E45670">
        <w:rPr>
          <w:lang w:val="fr-FR"/>
        </w:rPr>
        <w:t xml:space="preserve">amendements au Règlement type pour le transport </w:t>
      </w:r>
      <w:r w:rsidR="00D44C84">
        <w:rPr>
          <w:lang w:val="fr-FR"/>
        </w:rPr>
        <w:br/>
      </w:r>
      <w:r w:rsidR="005F6092" w:rsidRPr="00E45670">
        <w:rPr>
          <w:lang w:val="fr-FR"/>
        </w:rPr>
        <w:t>des marchandises dangereuses (point 6 de l</w:t>
      </w:r>
      <w:r w:rsidR="00295FAB">
        <w:rPr>
          <w:lang w:val="fr-FR"/>
        </w:rPr>
        <w:t>’</w:t>
      </w:r>
      <w:r w:rsidR="005F6092" w:rsidRPr="00E45670">
        <w:rPr>
          <w:lang w:val="fr-FR"/>
        </w:rPr>
        <w:t>ordre du jour)</w:t>
      </w:r>
      <w:r>
        <w:tab/>
      </w:r>
      <w:r>
        <w:tab/>
      </w:r>
      <w:r w:rsidR="005F6092">
        <w:t>69</w:t>
      </w:r>
      <w:r>
        <w:t>−</w:t>
      </w:r>
      <w:r w:rsidR="005F6092">
        <w:t>76</w:t>
      </w:r>
      <w:r>
        <w:tab/>
      </w:r>
      <w:r w:rsidR="00832A35">
        <w:t>14</w:t>
      </w:r>
    </w:p>
    <w:p w:rsidR="00C1051B" w:rsidRDefault="00C1051B" w:rsidP="00C1051B">
      <w:pPr>
        <w:tabs>
          <w:tab w:val="right" w:leader="dot" w:pos="7654"/>
          <w:tab w:val="right" w:pos="8929"/>
          <w:tab w:val="right" w:pos="9638"/>
        </w:tabs>
        <w:spacing w:after="120"/>
        <w:ind w:left="1559" w:hanging="425"/>
        <w:rPr>
          <w:lang w:val="fr-FR"/>
        </w:rPr>
      </w:pPr>
      <w:r>
        <w:lastRenderedPageBreak/>
        <w:t>A.</w:t>
      </w:r>
      <w:r>
        <w:tab/>
      </w:r>
      <w:r w:rsidR="00D44C84" w:rsidRPr="00E45670">
        <w:rPr>
          <w:lang w:val="fr-FR"/>
        </w:rPr>
        <w:t>Marquage et étiquetage</w:t>
      </w:r>
      <w:r>
        <w:rPr>
          <w:lang w:val="fr-FR"/>
        </w:rPr>
        <w:tab/>
      </w:r>
      <w:r>
        <w:rPr>
          <w:lang w:val="fr-FR"/>
        </w:rPr>
        <w:tab/>
      </w:r>
      <w:r w:rsidR="005F6092">
        <w:rPr>
          <w:lang w:val="fr-FR"/>
        </w:rPr>
        <w:t>6</w:t>
      </w:r>
      <w:r w:rsidR="00D44C84">
        <w:rPr>
          <w:lang w:val="fr-FR"/>
        </w:rPr>
        <w:t>9−70</w:t>
      </w:r>
      <w:r>
        <w:rPr>
          <w:lang w:val="fr-FR"/>
        </w:rPr>
        <w:tab/>
      </w:r>
      <w:r w:rsidR="00832A35">
        <w:rPr>
          <w:lang w:val="fr-FR"/>
        </w:rPr>
        <w:t>14</w:t>
      </w:r>
    </w:p>
    <w:p w:rsidR="005F6092" w:rsidRPr="001E42C1" w:rsidRDefault="005F6092" w:rsidP="005F6092">
      <w:pPr>
        <w:tabs>
          <w:tab w:val="right" w:leader="dot" w:pos="7654"/>
          <w:tab w:val="right" w:pos="8929"/>
          <w:tab w:val="right" w:pos="9638"/>
        </w:tabs>
        <w:spacing w:after="120"/>
        <w:ind w:left="1559" w:hanging="425"/>
        <w:rPr>
          <w:lang w:val="fr-FR"/>
        </w:rPr>
      </w:pPr>
      <w:r w:rsidRPr="001E42C1">
        <w:rPr>
          <w:lang w:val="fr-FR"/>
        </w:rPr>
        <w:tab/>
      </w:r>
      <w:r w:rsidR="00D44C84" w:rsidRPr="00E45670">
        <w:rPr>
          <w:lang w:val="fr-FR"/>
        </w:rPr>
        <w:t>Étiquettes et marques de danger</w:t>
      </w:r>
      <w:r>
        <w:rPr>
          <w:lang w:val="fr-FR"/>
        </w:rPr>
        <w:tab/>
      </w:r>
      <w:r>
        <w:rPr>
          <w:lang w:val="fr-FR"/>
        </w:rPr>
        <w:tab/>
        <w:t>69−70</w:t>
      </w:r>
      <w:r>
        <w:rPr>
          <w:lang w:val="fr-FR"/>
        </w:rPr>
        <w:tab/>
      </w:r>
      <w:r w:rsidR="00832A35">
        <w:rPr>
          <w:lang w:val="fr-FR"/>
        </w:rPr>
        <w:t>14</w:t>
      </w:r>
    </w:p>
    <w:p w:rsidR="00C1051B" w:rsidRDefault="00C1051B" w:rsidP="00C1051B">
      <w:pPr>
        <w:tabs>
          <w:tab w:val="right" w:leader="dot" w:pos="7654"/>
          <w:tab w:val="right" w:pos="8929"/>
          <w:tab w:val="right" w:pos="9638"/>
        </w:tabs>
        <w:spacing w:after="120"/>
        <w:ind w:left="1559" w:hanging="425"/>
        <w:rPr>
          <w:lang w:val="fr-FR"/>
        </w:rPr>
      </w:pPr>
      <w:r>
        <w:rPr>
          <w:lang w:val="fr-FR"/>
        </w:rPr>
        <w:t>B.</w:t>
      </w:r>
      <w:r>
        <w:rPr>
          <w:lang w:val="fr-FR"/>
        </w:rPr>
        <w:tab/>
      </w:r>
      <w:r w:rsidR="00D44C84" w:rsidRPr="00E45670">
        <w:rPr>
          <w:lang w:val="fr-FR"/>
        </w:rPr>
        <w:t>Emballage</w:t>
      </w:r>
      <w:r>
        <w:rPr>
          <w:lang w:val="fr-FR"/>
        </w:rPr>
        <w:tab/>
      </w:r>
      <w:r>
        <w:rPr>
          <w:lang w:val="fr-FR"/>
        </w:rPr>
        <w:tab/>
      </w:r>
      <w:r w:rsidR="00D44C84">
        <w:rPr>
          <w:lang w:val="fr-FR"/>
        </w:rPr>
        <w:t>71</w:t>
      </w:r>
      <w:r>
        <w:rPr>
          <w:lang w:val="fr-FR"/>
        </w:rPr>
        <w:t>−</w:t>
      </w:r>
      <w:r w:rsidR="00D44C84">
        <w:rPr>
          <w:lang w:val="fr-FR"/>
        </w:rPr>
        <w:t>73</w:t>
      </w:r>
      <w:r>
        <w:rPr>
          <w:lang w:val="fr-FR"/>
        </w:rPr>
        <w:tab/>
      </w:r>
      <w:r w:rsidR="00832A35">
        <w:rPr>
          <w:lang w:val="fr-FR"/>
        </w:rPr>
        <w:t>14</w:t>
      </w:r>
    </w:p>
    <w:p w:rsidR="005F6092" w:rsidRDefault="005F6092" w:rsidP="005F6092">
      <w:pPr>
        <w:tabs>
          <w:tab w:val="right" w:leader="dot" w:pos="7654"/>
          <w:tab w:val="right" w:pos="8929"/>
          <w:tab w:val="right" w:pos="9638"/>
        </w:tabs>
        <w:spacing w:after="120"/>
        <w:ind w:left="1984" w:hanging="425"/>
      </w:pPr>
      <w:r>
        <w:t>1.</w:t>
      </w:r>
      <w:r>
        <w:tab/>
      </w:r>
      <w:r w:rsidR="00D44C84" w:rsidRPr="00E45670">
        <w:rPr>
          <w:lang w:val="fr-FR"/>
        </w:rPr>
        <w:t>Marquage additionnel de la charge de gerbage maximale pour les GRV</w:t>
      </w:r>
      <w:r>
        <w:tab/>
        <w:t>71−72</w:t>
      </w:r>
      <w:r>
        <w:tab/>
      </w:r>
      <w:r w:rsidR="00832A35">
        <w:t>14</w:t>
      </w:r>
    </w:p>
    <w:p w:rsidR="005F6092" w:rsidRDefault="005F6092" w:rsidP="005F6092">
      <w:pPr>
        <w:tabs>
          <w:tab w:val="right" w:leader="dot" w:pos="7654"/>
          <w:tab w:val="right" w:pos="8929"/>
          <w:tab w:val="right" w:pos="9638"/>
        </w:tabs>
        <w:spacing w:after="120"/>
        <w:ind w:left="1984" w:hanging="425"/>
      </w:pPr>
      <w:r>
        <w:t>2.</w:t>
      </w:r>
      <w:r>
        <w:tab/>
      </w:r>
      <w:r w:rsidR="00D44C84" w:rsidRPr="00E45670">
        <w:rPr>
          <w:lang w:val="fr-FR"/>
        </w:rPr>
        <w:t>Nouvelles épreuves pour les emballages aux chapitres 6.1 et 6.6</w:t>
      </w:r>
      <w:r>
        <w:tab/>
      </w:r>
      <w:r>
        <w:tab/>
        <w:t>73</w:t>
      </w:r>
      <w:r>
        <w:tab/>
      </w:r>
      <w:r w:rsidR="00832A35">
        <w:t>14</w:t>
      </w:r>
    </w:p>
    <w:p w:rsidR="00D44C84" w:rsidRDefault="00D44C84" w:rsidP="00D44C84">
      <w:pPr>
        <w:tabs>
          <w:tab w:val="right" w:leader="dot" w:pos="7654"/>
          <w:tab w:val="right" w:pos="8929"/>
          <w:tab w:val="right" w:pos="9638"/>
        </w:tabs>
        <w:spacing w:after="120"/>
        <w:ind w:left="1559" w:hanging="425"/>
        <w:rPr>
          <w:lang w:val="fr-FR"/>
        </w:rPr>
      </w:pPr>
      <w:r>
        <w:t>C.</w:t>
      </w:r>
      <w:r>
        <w:tab/>
      </w:r>
      <w:r w:rsidRPr="00E45670">
        <w:rPr>
          <w:lang w:val="fr-FR"/>
        </w:rPr>
        <w:t>Citernes mobiles</w:t>
      </w:r>
      <w:r>
        <w:rPr>
          <w:lang w:val="fr-FR"/>
        </w:rPr>
        <w:tab/>
      </w:r>
      <w:r>
        <w:rPr>
          <w:lang w:val="fr-FR"/>
        </w:rPr>
        <w:tab/>
        <w:t>74</w:t>
      </w:r>
      <w:r>
        <w:rPr>
          <w:lang w:val="fr-FR"/>
        </w:rPr>
        <w:tab/>
      </w:r>
      <w:r w:rsidR="00832A35">
        <w:rPr>
          <w:lang w:val="fr-FR"/>
        </w:rPr>
        <w:t>15</w:t>
      </w:r>
    </w:p>
    <w:p w:rsidR="00D44C84" w:rsidRDefault="00D44C84" w:rsidP="00D44C84">
      <w:pPr>
        <w:tabs>
          <w:tab w:val="right" w:leader="dot" w:pos="7654"/>
          <w:tab w:val="right" w:pos="8929"/>
          <w:tab w:val="right" w:pos="9638"/>
        </w:tabs>
        <w:spacing w:after="120"/>
        <w:ind w:left="1559" w:hanging="425"/>
        <w:rPr>
          <w:lang w:val="fr-FR"/>
        </w:rPr>
      </w:pPr>
      <w:r>
        <w:t>D.</w:t>
      </w:r>
      <w:r>
        <w:tab/>
      </w:r>
      <w:r w:rsidRPr="00E45670">
        <w:rPr>
          <w:lang w:val="fr-FR"/>
        </w:rPr>
        <w:t>Autres propositions diverses</w:t>
      </w:r>
      <w:r>
        <w:rPr>
          <w:lang w:val="fr-FR"/>
        </w:rPr>
        <w:tab/>
      </w:r>
      <w:r>
        <w:rPr>
          <w:lang w:val="fr-FR"/>
        </w:rPr>
        <w:tab/>
        <w:t>75−76</w:t>
      </w:r>
      <w:r>
        <w:rPr>
          <w:lang w:val="fr-FR"/>
        </w:rPr>
        <w:tab/>
      </w:r>
      <w:r w:rsidR="00832A35">
        <w:rPr>
          <w:lang w:val="fr-FR"/>
        </w:rPr>
        <w:t>15</w:t>
      </w:r>
    </w:p>
    <w:p w:rsidR="00C1051B" w:rsidRPr="00E45670" w:rsidRDefault="00C1051B" w:rsidP="00D44C84">
      <w:pPr>
        <w:tabs>
          <w:tab w:val="right" w:leader="dot" w:pos="7654"/>
          <w:tab w:val="right" w:pos="8929"/>
          <w:tab w:val="right" w:pos="9638"/>
        </w:tabs>
        <w:spacing w:after="120"/>
        <w:ind w:left="1559" w:hanging="425"/>
        <w:rPr>
          <w:lang w:val="fr-FR"/>
        </w:rPr>
      </w:pPr>
      <w:r w:rsidRPr="00E45670">
        <w:rPr>
          <w:lang w:val="fr-FR"/>
        </w:rPr>
        <w:tab/>
        <w:t>Proposition d</w:t>
      </w:r>
      <w:r w:rsidR="00295FAB">
        <w:rPr>
          <w:lang w:val="fr-FR"/>
        </w:rPr>
        <w:t>’</w:t>
      </w:r>
      <w:r w:rsidRPr="00E45670">
        <w:rPr>
          <w:lang w:val="fr-FR"/>
        </w:rPr>
        <w:t>amendement à la section 5.5.3</w:t>
      </w:r>
      <w:r w:rsidR="00D44C84">
        <w:rPr>
          <w:lang w:val="fr-FR"/>
        </w:rPr>
        <w:tab/>
      </w:r>
      <w:r w:rsidR="00D44C84">
        <w:rPr>
          <w:lang w:val="fr-FR"/>
        </w:rPr>
        <w:tab/>
        <w:t>75−76</w:t>
      </w:r>
      <w:r w:rsidR="00D44C84">
        <w:rPr>
          <w:lang w:val="fr-FR"/>
        </w:rPr>
        <w:tab/>
      </w:r>
      <w:r w:rsidR="00832A35">
        <w:rPr>
          <w:lang w:val="fr-FR"/>
        </w:rPr>
        <w:t>15</w:t>
      </w:r>
    </w:p>
    <w:p w:rsidR="005F6092" w:rsidRPr="00E45670" w:rsidRDefault="00D44C84" w:rsidP="00D44C84">
      <w:pPr>
        <w:tabs>
          <w:tab w:val="right" w:pos="850"/>
          <w:tab w:val="right" w:leader="dot" w:pos="7654"/>
          <w:tab w:val="right" w:pos="8929"/>
          <w:tab w:val="right" w:pos="9638"/>
        </w:tabs>
        <w:spacing w:after="120"/>
        <w:ind w:left="1134" w:hanging="1134"/>
        <w:rPr>
          <w:lang w:val="fr-FR"/>
        </w:rPr>
      </w:pPr>
      <w:r>
        <w:rPr>
          <w:lang w:val="fr-FR"/>
        </w:rPr>
        <w:tab/>
      </w:r>
      <w:r w:rsidR="005F6092" w:rsidRPr="00E45670">
        <w:rPr>
          <w:lang w:val="fr-FR"/>
        </w:rPr>
        <w:t>VI</w:t>
      </w:r>
      <w:r>
        <w:rPr>
          <w:lang w:val="fr-FR"/>
        </w:rPr>
        <w:t>II</w:t>
      </w:r>
      <w:r w:rsidR="005F6092" w:rsidRPr="00E45670">
        <w:rPr>
          <w:lang w:val="fr-FR"/>
        </w:rPr>
        <w:t>.</w:t>
      </w:r>
      <w:r w:rsidR="005F6092" w:rsidRPr="00E45670">
        <w:rPr>
          <w:lang w:val="fr-FR"/>
        </w:rPr>
        <w:tab/>
      </w:r>
      <w:r w:rsidRPr="00E45670">
        <w:rPr>
          <w:lang w:val="fr-FR"/>
        </w:rPr>
        <w:t xml:space="preserve">Harmonisation générale des règlements de transport des marchandises </w:t>
      </w:r>
      <w:r>
        <w:rPr>
          <w:lang w:val="fr-FR"/>
        </w:rPr>
        <w:br/>
      </w:r>
      <w:r w:rsidRPr="00E45670">
        <w:rPr>
          <w:lang w:val="fr-FR"/>
        </w:rPr>
        <w:t>dangereuses avec le Règlement type (point 7 de l</w:t>
      </w:r>
      <w:r w:rsidR="00295FAB">
        <w:rPr>
          <w:lang w:val="fr-FR"/>
        </w:rPr>
        <w:t>’</w:t>
      </w:r>
      <w:r w:rsidRPr="00E45670">
        <w:rPr>
          <w:lang w:val="fr-FR"/>
        </w:rPr>
        <w:t>ordre du jour)</w:t>
      </w:r>
      <w:r>
        <w:rPr>
          <w:lang w:val="fr-FR"/>
        </w:rPr>
        <w:tab/>
      </w:r>
      <w:r>
        <w:rPr>
          <w:lang w:val="fr-FR"/>
        </w:rPr>
        <w:tab/>
        <w:t>77−89</w:t>
      </w:r>
      <w:r>
        <w:rPr>
          <w:lang w:val="fr-FR"/>
        </w:rPr>
        <w:tab/>
      </w:r>
      <w:r w:rsidR="00832A35">
        <w:rPr>
          <w:lang w:val="fr-FR"/>
        </w:rPr>
        <w:t>15</w:t>
      </w:r>
    </w:p>
    <w:p w:rsidR="00D44C84" w:rsidRDefault="00D44C84" w:rsidP="00D44C84">
      <w:pPr>
        <w:tabs>
          <w:tab w:val="right" w:leader="dot" w:pos="7654"/>
          <w:tab w:val="right" w:pos="8929"/>
          <w:tab w:val="right" w:pos="9638"/>
        </w:tabs>
        <w:spacing w:after="120"/>
        <w:ind w:left="1559" w:hanging="425"/>
        <w:rPr>
          <w:lang w:val="fr-FR"/>
        </w:rPr>
      </w:pPr>
      <w:r>
        <w:t>A.</w:t>
      </w:r>
      <w:r>
        <w:tab/>
      </w:r>
      <w:r w:rsidRPr="00E45670">
        <w:rPr>
          <w:lang w:val="fr-FR"/>
        </w:rPr>
        <w:t>Formation axée sur les compétences</w:t>
      </w:r>
      <w:r>
        <w:rPr>
          <w:lang w:val="fr-FR"/>
        </w:rPr>
        <w:tab/>
      </w:r>
      <w:r>
        <w:rPr>
          <w:lang w:val="fr-FR"/>
        </w:rPr>
        <w:tab/>
        <w:t>77−79</w:t>
      </w:r>
      <w:r>
        <w:rPr>
          <w:lang w:val="fr-FR"/>
        </w:rPr>
        <w:tab/>
      </w:r>
      <w:r w:rsidR="00832A35">
        <w:rPr>
          <w:lang w:val="fr-FR"/>
        </w:rPr>
        <w:t>15</w:t>
      </w:r>
    </w:p>
    <w:p w:rsidR="00D44C84" w:rsidRDefault="00D44C84" w:rsidP="00D44C84">
      <w:pPr>
        <w:tabs>
          <w:tab w:val="right" w:leader="dot" w:pos="7654"/>
          <w:tab w:val="right" w:pos="8929"/>
          <w:tab w:val="right" w:pos="9638"/>
        </w:tabs>
        <w:spacing w:after="120"/>
        <w:ind w:left="1559" w:hanging="425"/>
        <w:rPr>
          <w:lang w:val="fr-FR"/>
        </w:rPr>
      </w:pPr>
      <w:r>
        <w:t>B.</w:t>
      </w:r>
      <w:r>
        <w:tab/>
      </w:r>
      <w:r w:rsidRPr="00E45670">
        <w:rPr>
          <w:lang w:val="fr-FR"/>
        </w:rPr>
        <w:t>Harmonisation du RID/ADR/ADN avec le Règlement type</w:t>
      </w:r>
      <w:r>
        <w:rPr>
          <w:lang w:val="fr-FR"/>
        </w:rPr>
        <w:tab/>
      </w:r>
      <w:r>
        <w:rPr>
          <w:lang w:val="fr-FR"/>
        </w:rPr>
        <w:tab/>
        <w:t>80−86</w:t>
      </w:r>
      <w:r>
        <w:rPr>
          <w:lang w:val="fr-FR"/>
        </w:rPr>
        <w:tab/>
      </w:r>
      <w:r w:rsidR="00832A35">
        <w:rPr>
          <w:lang w:val="fr-FR"/>
        </w:rPr>
        <w:t>16</w:t>
      </w:r>
    </w:p>
    <w:p w:rsidR="00C1051B" w:rsidRPr="00E45670" w:rsidRDefault="00C1051B" w:rsidP="00D44C84">
      <w:pPr>
        <w:tabs>
          <w:tab w:val="right" w:leader="dot" w:pos="7654"/>
          <w:tab w:val="right" w:pos="8929"/>
          <w:tab w:val="right" w:pos="9638"/>
        </w:tabs>
        <w:spacing w:after="120"/>
        <w:ind w:left="1559" w:hanging="425"/>
        <w:rPr>
          <w:lang w:val="fr-FR"/>
        </w:rPr>
      </w:pPr>
      <w:r w:rsidRPr="00E45670">
        <w:rPr>
          <w:lang w:val="fr-FR"/>
        </w:rPr>
        <w:tab/>
        <w:t>Questions soulevées lors de la session d</w:t>
      </w:r>
      <w:r w:rsidR="00295FAB">
        <w:rPr>
          <w:lang w:val="fr-FR"/>
        </w:rPr>
        <w:t>’</w:t>
      </w:r>
      <w:r w:rsidRPr="00E45670">
        <w:rPr>
          <w:lang w:val="fr-FR"/>
        </w:rPr>
        <w:t xml:space="preserve">avril 2017 du Groupe de travail </w:t>
      </w:r>
      <w:r w:rsidR="00D44C84">
        <w:rPr>
          <w:lang w:val="fr-FR"/>
        </w:rPr>
        <w:br/>
      </w:r>
      <w:r w:rsidRPr="00D44C84">
        <w:rPr>
          <w:spacing w:val="-2"/>
          <w:lang w:val="fr-FR"/>
        </w:rPr>
        <w:t>ad hoc sur l</w:t>
      </w:r>
      <w:r w:rsidR="00295FAB">
        <w:rPr>
          <w:spacing w:val="-2"/>
          <w:lang w:val="fr-FR"/>
        </w:rPr>
        <w:t>’</w:t>
      </w:r>
      <w:r w:rsidRPr="00D44C84">
        <w:rPr>
          <w:spacing w:val="-2"/>
          <w:lang w:val="fr-FR"/>
        </w:rPr>
        <w:t xml:space="preserve">harmonisation du RID/ADR/ADN avec les Recommandations </w:t>
      </w:r>
      <w:r w:rsidR="00D44C84" w:rsidRPr="00D44C84">
        <w:rPr>
          <w:spacing w:val="-2"/>
          <w:lang w:val="fr-FR"/>
        </w:rPr>
        <w:br/>
      </w:r>
      <w:r w:rsidRPr="00E45670">
        <w:rPr>
          <w:lang w:val="fr-FR"/>
        </w:rPr>
        <w:t>de l</w:t>
      </w:r>
      <w:r w:rsidR="00295FAB">
        <w:rPr>
          <w:lang w:val="fr-FR"/>
        </w:rPr>
        <w:t>’</w:t>
      </w:r>
      <w:r w:rsidRPr="00E45670">
        <w:rPr>
          <w:lang w:val="fr-FR"/>
        </w:rPr>
        <w:t>ONU relatives au transport des marchandises dangereuses</w:t>
      </w:r>
      <w:r w:rsidR="00D44C84">
        <w:rPr>
          <w:lang w:val="fr-FR"/>
        </w:rPr>
        <w:tab/>
      </w:r>
      <w:r w:rsidR="00D44C84">
        <w:rPr>
          <w:lang w:val="fr-FR"/>
        </w:rPr>
        <w:tab/>
        <w:t>80−86</w:t>
      </w:r>
      <w:r w:rsidR="00D44C84">
        <w:rPr>
          <w:lang w:val="fr-FR"/>
        </w:rPr>
        <w:tab/>
      </w:r>
      <w:r w:rsidR="00832A35">
        <w:rPr>
          <w:lang w:val="fr-FR"/>
        </w:rPr>
        <w:t>16</w:t>
      </w:r>
    </w:p>
    <w:p w:rsidR="00C1051B" w:rsidRPr="00E45670" w:rsidRDefault="00C1051B" w:rsidP="00D44C84">
      <w:pPr>
        <w:tabs>
          <w:tab w:val="right" w:leader="dot" w:pos="7654"/>
          <w:tab w:val="right" w:pos="8929"/>
          <w:tab w:val="right" w:pos="9638"/>
        </w:tabs>
        <w:spacing w:after="120"/>
        <w:ind w:left="1559" w:hanging="425"/>
        <w:rPr>
          <w:lang w:val="fr-FR"/>
        </w:rPr>
      </w:pPr>
      <w:r w:rsidRPr="00E45670">
        <w:rPr>
          <w:lang w:val="fr-FR"/>
        </w:rPr>
        <w:t>C.</w:t>
      </w:r>
      <w:r w:rsidRPr="00E45670">
        <w:rPr>
          <w:lang w:val="fr-FR"/>
        </w:rPr>
        <w:tab/>
        <w:t xml:space="preserve">Résultats de la vingt-septième session du Groupe des questions techniques </w:t>
      </w:r>
      <w:r w:rsidR="00D44C84">
        <w:rPr>
          <w:lang w:val="fr-FR"/>
        </w:rPr>
        <w:br/>
      </w:r>
      <w:r w:rsidRPr="00E45670">
        <w:rPr>
          <w:lang w:val="fr-FR"/>
        </w:rPr>
        <w:t>et éditoriales de l</w:t>
      </w:r>
      <w:r w:rsidR="00295FAB">
        <w:rPr>
          <w:lang w:val="fr-FR"/>
        </w:rPr>
        <w:t>’</w:t>
      </w:r>
      <w:r w:rsidRPr="00E45670">
        <w:rPr>
          <w:lang w:val="fr-FR"/>
        </w:rPr>
        <w:t>OMI (8-12</w:t>
      </w:r>
      <w:r w:rsidR="00D44C84">
        <w:rPr>
          <w:lang w:val="fr-FR"/>
        </w:rPr>
        <w:t> </w:t>
      </w:r>
      <w:r w:rsidRPr="00E45670">
        <w:rPr>
          <w:lang w:val="fr-FR"/>
        </w:rPr>
        <w:t>mai 2017)</w:t>
      </w:r>
      <w:r w:rsidR="00D44C84">
        <w:rPr>
          <w:lang w:val="fr-FR"/>
        </w:rPr>
        <w:tab/>
      </w:r>
      <w:r w:rsidR="00D44C84">
        <w:rPr>
          <w:lang w:val="fr-FR"/>
        </w:rPr>
        <w:tab/>
        <w:t>87</w:t>
      </w:r>
      <w:r w:rsidR="00D44C84">
        <w:rPr>
          <w:lang w:val="fr-FR"/>
        </w:rPr>
        <w:tab/>
      </w:r>
      <w:r w:rsidR="00832A35">
        <w:rPr>
          <w:lang w:val="fr-FR"/>
        </w:rPr>
        <w:t>16</w:t>
      </w:r>
    </w:p>
    <w:p w:rsidR="00C1051B" w:rsidRPr="00E45670" w:rsidRDefault="00C1051B" w:rsidP="00D44C84">
      <w:pPr>
        <w:tabs>
          <w:tab w:val="right" w:leader="dot" w:pos="7654"/>
          <w:tab w:val="right" w:pos="8929"/>
          <w:tab w:val="right" w:pos="9638"/>
        </w:tabs>
        <w:spacing w:after="120"/>
        <w:ind w:left="1559" w:hanging="425"/>
        <w:rPr>
          <w:lang w:val="fr-FR"/>
        </w:rPr>
      </w:pPr>
      <w:r w:rsidRPr="00E45670">
        <w:rPr>
          <w:lang w:val="fr-FR"/>
        </w:rPr>
        <w:t>D.</w:t>
      </w:r>
      <w:r w:rsidRPr="00E45670">
        <w:rPr>
          <w:lang w:val="fr-FR"/>
        </w:rPr>
        <w:tab/>
        <w:t xml:space="preserve">Affectation de la disposition spéciale 238 aux appareils et véhicules mus </w:t>
      </w:r>
      <w:r w:rsidR="00D44C84">
        <w:rPr>
          <w:lang w:val="fr-FR"/>
        </w:rPr>
        <w:br/>
      </w:r>
      <w:r w:rsidRPr="00E45670">
        <w:rPr>
          <w:lang w:val="fr-FR"/>
        </w:rPr>
        <w:t>par accumulateurs</w:t>
      </w:r>
      <w:r w:rsidR="00D44C84">
        <w:rPr>
          <w:lang w:val="fr-FR"/>
        </w:rPr>
        <w:tab/>
      </w:r>
      <w:r w:rsidR="00D44C84">
        <w:rPr>
          <w:lang w:val="fr-FR"/>
        </w:rPr>
        <w:tab/>
        <w:t>88−89</w:t>
      </w:r>
      <w:r w:rsidR="00D44C84">
        <w:rPr>
          <w:lang w:val="fr-FR"/>
        </w:rPr>
        <w:tab/>
      </w:r>
      <w:r w:rsidR="00832A35">
        <w:rPr>
          <w:lang w:val="fr-FR"/>
        </w:rPr>
        <w:t>17</w:t>
      </w:r>
    </w:p>
    <w:p w:rsidR="00C1051B" w:rsidRPr="00E45670" w:rsidRDefault="00D44C84" w:rsidP="00D44C84">
      <w:pPr>
        <w:tabs>
          <w:tab w:val="right" w:pos="850"/>
          <w:tab w:val="right" w:leader="dot" w:pos="7654"/>
          <w:tab w:val="right" w:pos="8929"/>
          <w:tab w:val="right" w:pos="9638"/>
        </w:tabs>
        <w:spacing w:after="120"/>
        <w:ind w:left="1134" w:hanging="1134"/>
        <w:rPr>
          <w:lang w:val="fr-FR"/>
        </w:rPr>
      </w:pPr>
      <w:r>
        <w:rPr>
          <w:lang w:val="fr-FR"/>
        </w:rPr>
        <w:tab/>
      </w:r>
      <w:r w:rsidR="00C1051B" w:rsidRPr="00E45670">
        <w:rPr>
          <w:lang w:val="fr-FR"/>
        </w:rPr>
        <w:t>IX.</w:t>
      </w:r>
      <w:r w:rsidR="00C1051B" w:rsidRPr="00E45670">
        <w:rPr>
          <w:lang w:val="fr-FR"/>
        </w:rPr>
        <w:tab/>
        <w:t>Coopération avec l</w:t>
      </w:r>
      <w:r w:rsidR="00295FAB">
        <w:rPr>
          <w:lang w:val="fr-FR"/>
        </w:rPr>
        <w:t>’</w:t>
      </w:r>
      <w:r w:rsidR="00C1051B" w:rsidRPr="00E45670">
        <w:rPr>
          <w:lang w:val="fr-FR"/>
        </w:rPr>
        <w:t>Agence internationale de l</w:t>
      </w:r>
      <w:r w:rsidR="00295FAB">
        <w:rPr>
          <w:lang w:val="fr-FR"/>
        </w:rPr>
        <w:t>’</w:t>
      </w:r>
      <w:r w:rsidR="00C1051B" w:rsidRPr="00E45670">
        <w:rPr>
          <w:lang w:val="fr-FR"/>
        </w:rPr>
        <w:t xml:space="preserve">énergie atomique </w:t>
      </w:r>
      <w:r>
        <w:rPr>
          <w:lang w:val="fr-FR"/>
        </w:rPr>
        <w:br/>
      </w:r>
      <w:r w:rsidR="00C1051B" w:rsidRPr="00E45670">
        <w:rPr>
          <w:lang w:val="fr-FR"/>
        </w:rPr>
        <w:t>(point 8 de l</w:t>
      </w:r>
      <w:r w:rsidR="00295FAB">
        <w:rPr>
          <w:lang w:val="fr-FR"/>
        </w:rPr>
        <w:t>’</w:t>
      </w:r>
      <w:r w:rsidR="00C1051B" w:rsidRPr="00E45670">
        <w:rPr>
          <w:lang w:val="fr-FR"/>
        </w:rPr>
        <w:t>ordre du jour)</w:t>
      </w:r>
      <w:r>
        <w:rPr>
          <w:lang w:val="fr-FR"/>
        </w:rPr>
        <w:tab/>
      </w:r>
      <w:r>
        <w:rPr>
          <w:lang w:val="fr-FR"/>
        </w:rPr>
        <w:tab/>
      </w:r>
      <w:r w:rsidR="005C4993">
        <w:rPr>
          <w:lang w:val="fr-FR"/>
        </w:rPr>
        <w:t>90</w:t>
      </w:r>
      <w:r w:rsidR="005C4993">
        <w:rPr>
          <w:lang w:val="fr-FR"/>
        </w:rPr>
        <w:tab/>
      </w:r>
      <w:r w:rsidR="00832A35">
        <w:rPr>
          <w:lang w:val="fr-FR"/>
        </w:rPr>
        <w:t>17</w:t>
      </w:r>
    </w:p>
    <w:p w:rsidR="00C1051B" w:rsidRPr="00E45670" w:rsidRDefault="005C4993" w:rsidP="005C4993">
      <w:pPr>
        <w:tabs>
          <w:tab w:val="right" w:pos="850"/>
          <w:tab w:val="right" w:leader="dot" w:pos="7654"/>
          <w:tab w:val="right" w:pos="8929"/>
          <w:tab w:val="right" w:pos="9638"/>
        </w:tabs>
        <w:spacing w:after="120"/>
        <w:ind w:left="1134" w:hanging="1134"/>
        <w:rPr>
          <w:lang w:val="fr-FR"/>
        </w:rPr>
      </w:pPr>
      <w:r>
        <w:rPr>
          <w:lang w:val="fr-FR"/>
        </w:rPr>
        <w:tab/>
      </w:r>
      <w:r w:rsidR="00C1051B" w:rsidRPr="00E45670">
        <w:rPr>
          <w:lang w:val="fr-FR"/>
        </w:rPr>
        <w:t>X.</w:t>
      </w:r>
      <w:r w:rsidR="00C1051B" w:rsidRPr="00E45670">
        <w:rPr>
          <w:lang w:val="fr-FR"/>
        </w:rPr>
        <w:tab/>
        <w:t>Principes directeurs du Règlement type (point 9 de l</w:t>
      </w:r>
      <w:r w:rsidR="00295FAB">
        <w:rPr>
          <w:lang w:val="fr-FR"/>
        </w:rPr>
        <w:t>’</w:t>
      </w:r>
      <w:r w:rsidR="00C1051B" w:rsidRPr="00E45670">
        <w:rPr>
          <w:lang w:val="fr-FR"/>
        </w:rPr>
        <w:t>ordre du jour)</w:t>
      </w:r>
      <w:r>
        <w:rPr>
          <w:lang w:val="fr-FR"/>
        </w:rPr>
        <w:tab/>
      </w:r>
      <w:r>
        <w:rPr>
          <w:lang w:val="fr-FR"/>
        </w:rPr>
        <w:tab/>
        <w:t>91</w:t>
      </w:r>
      <w:r>
        <w:rPr>
          <w:lang w:val="fr-FR"/>
        </w:rPr>
        <w:tab/>
      </w:r>
      <w:r w:rsidR="00832A35">
        <w:rPr>
          <w:lang w:val="fr-FR"/>
        </w:rPr>
        <w:t>17</w:t>
      </w:r>
    </w:p>
    <w:p w:rsidR="00C1051B" w:rsidRPr="00E45670" w:rsidRDefault="005C4993" w:rsidP="005C4993">
      <w:pPr>
        <w:tabs>
          <w:tab w:val="right" w:pos="850"/>
          <w:tab w:val="right" w:leader="dot" w:pos="7654"/>
          <w:tab w:val="right" w:pos="8929"/>
          <w:tab w:val="right" w:pos="9638"/>
        </w:tabs>
        <w:spacing w:after="120"/>
        <w:ind w:left="1134" w:hanging="1134"/>
        <w:rPr>
          <w:lang w:val="fr-FR"/>
        </w:rPr>
      </w:pPr>
      <w:r>
        <w:rPr>
          <w:lang w:val="fr-FR"/>
        </w:rPr>
        <w:tab/>
      </w:r>
      <w:r w:rsidR="00C1051B" w:rsidRPr="00E45670">
        <w:rPr>
          <w:lang w:val="fr-FR"/>
        </w:rPr>
        <w:t>XI.</w:t>
      </w:r>
      <w:r w:rsidR="00C1051B" w:rsidRPr="00E45670">
        <w:rPr>
          <w:lang w:val="fr-FR"/>
        </w:rPr>
        <w:tab/>
        <w:t xml:space="preserve">Questions relatives au Système général harmonisé de classification </w:t>
      </w:r>
      <w:r>
        <w:rPr>
          <w:lang w:val="fr-FR"/>
        </w:rPr>
        <w:br/>
      </w:r>
      <w:r w:rsidR="00C1051B" w:rsidRPr="00E45670">
        <w:rPr>
          <w:lang w:val="fr-FR"/>
        </w:rPr>
        <w:t>et d</w:t>
      </w:r>
      <w:r w:rsidR="00295FAB">
        <w:rPr>
          <w:lang w:val="fr-FR"/>
        </w:rPr>
        <w:t>’</w:t>
      </w:r>
      <w:r w:rsidR="00C1051B" w:rsidRPr="00E45670">
        <w:rPr>
          <w:lang w:val="fr-FR"/>
        </w:rPr>
        <w:t>étiquetage des produits chimique</w:t>
      </w:r>
      <w:r>
        <w:rPr>
          <w:lang w:val="fr-FR"/>
        </w:rPr>
        <w:t>s (point 10 de l</w:t>
      </w:r>
      <w:r w:rsidR="00295FAB">
        <w:rPr>
          <w:lang w:val="fr-FR"/>
        </w:rPr>
        <w:t>’</w:t>
      </w:r>
      <w:r>
        <w:rPr>
          <w:lang w:val="fr-FR"/>
        </w:rPr>
        <w:t>ordre du jour)</w:t>
      </w:r>
      <w:r>
        <w:rPr>
          <w:lang w:val="fr-FR"/>
        </w:rPr>
        <w:tab/>
      </w:r>
      <w:r>
        <w:rPr>
          <w:lang w:val="fr-FR"/>
        </w:rPr>
        <w:tab/>
        <w:t>92−98</w:t>
      </w:r>
      <w:r>
        <w:rPr>
          <w:lang w:val="fr-FR"/>
        </w:rPr>
        <w:tab/>
      </w:r>
      <w:r w:rsidR="00832A35">
        <w:rPr>
          <w:lang w:val="fr-FR"/>
        </w:rPr>
        <w:t>17</w:t>
      </w:r>
    </w:p>
    <w:p w:rsidR="00C1051B" w:rsidRPr="00E45670" w:rsidRDefault="00C1051B" w:rsidP="005C4993">
      <w:pPr>
        <w:tabs>
          <w:tab w:val="right" w:leader="dot" w:pos="7654"/>
          <w:tab w:val="right" w:pos="8929"/>
          <w:tab w:val="right" w:pos="9638"/>
        </w:tabs>
        <w:spacing w:after="120"/>
        <w:ind w:left="1559" w:hanging="425"/>
        <w:rPr>
          <w:lang w:val="fr-FR"/>
        </w:rPr>
      </w:pPr>
      <w:r w:rsidRPr="00E45670">
        <w:rPr>
          <w:lang w:val="fr-FR"/>
        </w:rPr>
        <w:t>A.</w:t>
      </w:r>
      <w:r w:rsidRPr="00E45670">
        <w:rPr>
          <w:lang w:val="fr-FR"/>
        </w:rPr>
        <w:tab/>
        <w:t>Critères relatifs à l</w:t>
      </w:r>
      <w:r w:rsidR="00295FAB">
        <w:rPr>
          <w:lang w:val="fr-FR"/>
        </w:rPr>
        <w:t>’</w:t>
      </w:r>
      <w:proofErr w:type="spellStart"/>
      <w:r w:rsidRPr="00E45670">
        <w:rPr>
          <w:lang w:val="fr-FR"/>
        </w:rPr>
        <w:t>hydroréactivité</w:t>
      </w:r>
      <w:proofErr w:type="spellEnd"/>
      <w:r w:rsidR="005C4993">
        <w:rPr>
          <w:lang w:val="fr-FR"/>
        </w:rPr>
        <w:tab/>
      </w:r>
      <w:r w:rsidR="005C4993">
        <w:rPr>
          <w:lang w:val="fr-FR"/>
        </w:rPr>
        <w:tab/>
        <w:t>92</w:t>
      </w:r>
      <w:r w:rsidR="005C4993">
        <w:rPr>
          <w:lang w:val="fr-FR"/>
        </w:rPr>
        <w:tab/>
      </w:r>
      <w:r w:rsidR="00832A35">
        <w:rPr>
          <w:lang w:val="fr-FR"/>
        </w:rPr>
        <w:t>17</w:t>
      </w:r>
    </w:p>
    <w:p w:rsidR="00C1051B" w:rsidRPr="00E45670" w:rsidRDefault="00C1051B" w:rsidP="005C4993">
      <w:pPr>
        <w:tabs>
          <w:tab w:val="right" w:leader="dot" w:pos="7654"/>
          <w:tab w:val="right" w:pos="8929"/>
          <w:tab w:val="right" w:pos="9638"/>
        </w:tabs>
        <w:spacing w:after="120"/>
        <w:ind w:left="1559" w:hanging="425"/>
        <w:rPr>
          <w:lang w:val="fr-FR"/>
        </w:rPr>
      </w:pPr>
      <w:r w:rsidRPr="00E45670">
        <w:rPr>
          <w:lang w:val="fr-FR"/>
        </w:rPr>
        <w:t>B.</w:t>
      </w:r>
      <w:r w:rsidRPr="00E45670">
        <w:rPr>
          <w:lang w:val="fr-FR"/>
        </w:rPr>
        <w:tab/>
        <w:t>Épreuves relatives aux matières comburantes</w:t>
      </w:r>
      <w:r w:rsidR="005C4993">
        <w:rPr>
          <w:lang w:val="fr-FR"/>
        </w:rPr>
        <w:tab/>
      </w:r>
      <w:r w:rsidR="005C4993">
        <w:rPr>
          <w:lang w:val="fr-FR"/>
        </w:rPr>
        <w:tab/>
        <w:t>93</w:t>
      </w:r>
      <w:r w:rsidR="005C4993">
        <w:rPr>
          <w:lang w:val="fr-FR"/>
        </w:rPr>
        <w:tab/>
      </w:r>
      <w:r w:rsidR="00832A35">
        <w:rPr>
          <w:lang w:val="fr-FR"/>
        </w:rPr>
        <w:t>17</w:t>
      </w:r>
    </w:p>
    <w:p w:rsidR="00C1051B" w:rsidRPr="00E45670" w:rsidRDefault="00C1051B" w:rsidP="005C4993">
      <w:pPr>
        <w:tabs>
          <w:tab w:val="right" w:leader="dot" w:pos="7654"/>
          <w:tab w:val="right" w:pos="8929"/>
          <w:tab w:val="right" w:pos="9638"/>
        </w:tabs>
        <w:spacing w:after="120"/>
        <w:ind w:left="1559" w:hanging="425"/>
        <w:rPr>
          <w:lang w:val="fr-FR"/>
        </w:rPr>
      </w:pPr>
      <w:r w:rsidRPr="00E45670">
        <w:rPr>
          <w:lang w:val="fr-FR"/>
        </w:rPr>
        <w:t>C.</w:t>
      </w:r>
      <w:r w:rsidRPr="00E45670">
        <w:rPr>
          <w:lang w:val="fr-FR"/>
        </w:rPr>
        <w:tab/>
        <w:t>Mise à jour des références aux directives de l</w:t>
      </w:r>
      <w:r w:rsidR="00295FAB">
        <w:rPr>
          <w:lang w:val="fr-FR"/>
        </w:rPr>
        <w:t>’</w:t>
      </w:r>
      <w:r w:rsidRPr="00E45670">
        <w:rPr>
          <w:lang w:val="fr-FR"/>
        </w:rPr>
        <w:t>OCDE</w:t>
      </w:r>
      <w:r w:rsidR="005C4993">
        <w:rPr>
          <w:lang w:val="fr-FR"/>
        </w:rPr>
        <w:tab/>
      </w:r>
      <w:r w:rsidR="005C4993">
        <w:rPr>
          <w:lang w:val="fr-FR"/>
        </w:rPr>
        <w:tab/>
        <w:t>94</w:t>
      </w:r>
      <w:r w:rsidR="005C4993">
        <w:rPr>
          <w:lang w:val="fr-FR"/>
        </w:rPr>
        <w:tab/>
      </w:r>
      <w:r w:rsidR="00C11027">
        <w:rPr>
          <w:lang w:val="fr-FR"/>
        </w:rPr>
        <w:t>18</w:t>
      </w:r>
    </w:p>
    <w:p w:rsidR="00C1051B" w:rsidRPr="00E45670" w:rsidRDefault="00C1051B" w:rsidP="005C4993">
      <w:pPr>
        <w:tabs>
          <w:tab w:val="right" w:leader="dot" w:pos="7654"/>
          <w:tab w:val="right" w:pos="8929"/>
          <w:tab w:val="right" w:pos="9638"/>
        </w:tabs>
        <w:spacing w:after="120"/>
        <w:ind w:left="1559" w:hanging="425"/>
        <w:rPr>
          <w:lang w:val="fr-FR"/>
        </w:rPr>
      </w:pPr>
      <w:r w:rsidRPr="00E45670">
        <w:rPr>
          <w:lang w:val="fr-FR"/>
        </w:rPr>
        <w:t>D.</w:t>
      </w:r>
      <w:r w:rsidRPr="00E45670">
        <w:rPr>
          <w:lang w:val="fr-FR"/>
        </w:rPr>
        <w:tab/>
        <w:t>Utilisation du Manuel d</w:t>
      </w:r>
      <w:r w:rsidR="00295FAB">
        <w:rPr>
          <w:lang w:val="fr-FR"/>
        </w:rPr>
        <w:t>’</w:t>
      </w:r>
      <w:r w:rsidRPr="00E45670">
        <w:rPr>
          <w:lang w:val="fr-FR"/>
        </w:rPr>
        <w:t>épreuves et de critères dans le contexte du SGH</w:t>
      </w:r>
      <w:r w:rsidR="005C4993">
        <w:rPr>
          <w:lang w:val="fr-FR"/>
        </w:rPr>
        <w:tab/>
      </w:r>
      <w:r w:rsidR="005C4993">
        <w:rPr>
          <w:lang w:val="fr-FR"/>
        </w:rPr>
        <w:tab/>
        <w:t>95−97</w:t>
      </w:r>
      <w:r w:rsidR="005C4993">
        <w:rPr>
          <w:lang w:val="fr-FR"/>
        </w:rPr>
        <w:tab/>
      </w:r>
      <w:r w:rsidR="00C11027">
        <w:rPr>
          <w:lang w:val="fr-FR"/>
        </w:rPr>
        <w:t>18</w:t>
      </w:r>
    </w:p>
    <w:p w:rsidR="00C1051B" w:rsidRPr="00E45670" w:rsidRDefault="00C1051B" w:rsidP="005C4993">
      <w:pPr>
        <w:tabs>
          <w:tab w:val="right" w:leader="dot" w:pos="7654"/>
          <w:tab w:val="right" w:pos="8929"/>
          <w:tab w:val="right" w:pos="9638"/>
        </w:tabs>
        <w:spacing w:after="120"/>
        <w:ind w:left="1559" w:hanging="425"/>
        <w:rPr>
          <w:b/>
          <w:lang w:val="fr-FR"/>
        </w:rPr>
      </w:pPr>
      <w:r w:rsidRPr="005C4993">
        <w:rPr>
          <w:lang w:val="fr-FR"/>
        </w:rPr>
        <w:t>E.</w:t>
      </w:r>
      <w:r w:rsidRPr="005C4993">
        <w:rPr>
          <w:lang w:val="fr-FR"/>
        </w:rPr>
        <w:tab/>
        <w:t>Divers</w:t>
      </w:r>
      <w:r w:rsidR="005C4993">
        <w:rPr>
          <w:lang w:val="fr-FR"/>
        </w:rPr>
        <w:tab/>
      </w:r>
      <w:r w:rsidR="005C4993">
        <w:rPr>
          <w:lang w:val="fr-FR"/>
        </w:rPr>
        <w:tab/>
        <w:t>98</w:t>
      </w:r>
      <w:r w:rsidR="005C4993">
        <w:rPr>
          <w:lang w:val="fr-FR"/>
        </w:rPr>
        <w:tab/>
      </w:r>
      <w:r w:rsidR="00C11027">
        <w:rPr>
          <w:lang w:val="fr-FR"/>
        </w:rPr>
        <w:t>18</w:t>
      </w:r>
    </w:p>
    <w:p w:rsidR="00C1051B" w:rsidRPr="005C4993" w:rsidRDefault="00C1051B" w:rsidP="005C4993">
      <w:pPr>
        <w:tabs>
          <w:tab w:val="right" w:leader="dot" w:pos="7654"/>
          <w:tab w:val="right" w:pos="8929"/>
          <w:tab w:val="right" w:pos="9638"/>
        </w:tabs>
        <w:spacing w:after="120"/>
        <w:ind w:left="1559" w:hanging="425"/>
        <w:rPr>
          <w:spacing w:val="-2"/>
          <w:lang w:val="fr-FR"/>
        </w:rPr>
      </w:pPr>
      <w:r w:rsidRPr="005C4993">
        <w:rPr>
          <w:spacing w:val="-2"/>
          <w:lang w:val="fr-FR"/>
        </w:rPr>
        <w:tab/>
        <w:t>Évaluation de la possibilité d</w:t>
      </w:r>
      <w:r w:rsidR="00295FAB">
        <w:rPr>
          <w:spacing w:val="-2"/>
          <w:lang w:val="fr-FR"/>
        </w:rPr>
        <w:t>’</w:t>
      </w:r>
      <w:r w:rsidRPr="005C4993">
        <w:rPr>
          <w:spacing w:val="-2"/>
          <w:lang w:val="fr-FR"/>
        </w:rPr>
        <w:t xml:space="preserve">élaborer une liste mondiale des produits </w:t>
      </w:r>
      <w:r w:rsidR="005C4993">
        <w:rPr>
          <w:spacing w:val="-2"/>
          <w:lang w:val="fr-FR"/>
        </w:rPr>
        <w:br/>
      </w:r>
      <w:r w:rsidRPr="005C4993">
        <w:rPr>
          <w:spacing w:val="-2"/>
          <w:lang w:val="fr-FR"/>
        </w:rPr>
        <w:t>chimiques classés conformément au SGH</w:t>
      </w:r>
      <w:r w:rsidR="005C4993">
        <w:rPr>
          <w:spacing w:val="-2"/>
          <w:lang w:val="fr-FR"/>
        </w:rPr>
        <w:tab/>
      </w:r>
      <w:r w:rsidR="005C4993">
        <w:rPr>
          <w:spacing w:val="-2"/>
          <w:lang w:val="fr-FR"/>
        </w:rPr>
        <w:tab/>
        <w:t>98</w:t>
      </w:r>
      <w:r w:rsidR="005C4993">
        <w:rPr>
          <w:spacing w:val="-2"/>
          <w:lang w:val="fr-FR"/>
        </w:rPr>
        <w:tab/>
      </w:r>
      <w:r w:rsidR="00C11027">
        <w:rPr>
          <w:spacing w:val="-2"/>
          <w:lang w:val="fr-FR"/>
        </w:rPr>
        <w:t>18</w:t>
      </w:r>
    </w:p>
    <w:p w:rsidR="00C1051B" w:rsidRPr="005C4993" w:rsidRDefault="005C4993" w:rsidP="005C4993">
      <w:pPr>
        <w:tabs>
          <w:tab w:val="right" w:pos="850"/>
          <w:tab w:val="right" w:leader="dot" w:pos="7654"/>
          <w:tab w:val="right" w:pos="8929"/>
          <w:tab w:val="right" w:pos="9638"/>
        </w:tabs>
        <w:spacing w:after="120"/>
        <w:ind w:left="1134" w:hanging="1134"/>
        <w:rPr>
          <w:lang w:val="fr-FR"/>
        </w:rPr>
      </w:pPr>
      <w:r>
        <w:rPr>
          <w:lang w:val="fr-FR"/>
        </w:rPr>
        <w:tab/>
      </w:r>
      <w:r w:rsidR="00C1051B" w:rsidRPr="005C4993">
        <w:rPr>
          <w:lang w:val="fr-FR"/>
        </w:rPr>
        <w:t>XII.</w:t>
      </w:r>
      <w:r w:rsidR="00C1051B" w:rsidRPr="005C4993">
        <w:rPr>
          <w:lang w:val="fr-FR"/>
        </w:rPr>
        <w:tab/>
        <w:t>Questions diverses (point 11 de l</w:t>
      </w:r>
      <w:r w:rsidR="00295FAB">
        <w:rPr>
          <w:lang w:val="fr-FR"/>
        </w:rPr>
        <w:t>’</w:t>
      </w:r>
      <w:r w:rsidR="00C1051B" w:rsidRPr="005C4993">
        <w:rPr>
          <w:lang w:val="fr-FR"/>
        </w:rPr>
        <w:t>ordre du jour)</w:t>
      </w:r>
      <w:r>
        <w:rPr>
          <w:lang w:val="fr-FR"/>
        </w:rPr>
        <w:tab/>
      </w:r>
      <w:r>
        <w:rPr>
          <w:lang w:val="fr-FR"/>
        </w:rPr>
        <w:tab/>
        <w:t>99−102</w:t>
      </w:r>
      <w:r>
        <w:rPr>
          <w:lang w:val="fr-FR"/>
        </w:rPr>
        <w:tab/>
      </w:r>
      <w:r w:rsidR="00C11027">
        <w:rPr>
          <w:lang w:val="fr-FR"/>
        </w:rPr>
        <w:t>19</w:t>
      </w:r>
    </w:p>
    <w:p w:rsidR="00C1051B" w:rsidRPr="005C4993" w:rsidRDefault="00C1051B" w:rsidP="005C4993">
      <w:pPr>
        <w:tabs>
          <w:tab w:val="right" w:leader="dot" w:pos="7654"/>
          <w:tab w:val="right" w:pos="8929"/>
          <w:tab w:val="right" w:pos="9638"/>
        </w:tabs>
        <w:spacing w:after="120"/>
        <w:ind w:left="1559" w:hanging="425"/>
        <w:rPr>
          <w:spacing w:val="-2"/>
          <w:lang w:val="fr-FR"/>
        </w:rPr>
      </w:pPr>
      <w:r w:rsidRPr="005C4993">
        <w:rPr>
          <w:spacing w:val="-2"/>
          <w:lang w:val="fr-FR"/>
        </w:rPr>
        <w:tab/>
        <w:t>Changements au sein du secrétariat</w:t>
      </w:r>
      <w:r w:rsidR="005C4993">
        <w:rPr>
          <w:spacing w:val="-2"/>
          <w:lang w:val="fr-FR"/>
        </w:rPr>
        <w:tab/>
      </w:r>
      <w:r w:rsidR="005C4993">
        <w:rPr>
          <w:spacing w:val="-2"/>
          <w:lang w:val="fr-FR"/>
        </w:rPr>
        <w:tab/>
        <w:t>99−102</w:t>
      </w:r>
      <w:r w:rsidR="005C4993">
        <w:rPr>
          <w:spacing w:val="-2"/>
          <w:lang w:val="fr-FR"/>
        </w:rPr>
        <w:tab/>
      </w:r>
      <w:r w:rsidR="00C11027">
        <w:rPr>
          <w:spacing w:val="-2"/>
          <w:lang w:val="fr-FR"/>
        </w:rPr>
        <w:t>19</w:t>
      </w:r>
    </w:p>
    <w:p w:rsidR="00C1051B" w:rsidRPr="005C4993" w:rsidRDefault="005C4993" w:rsidP="005C4993">
      <w:pPr>
        <w:tabs>
          <w:tab w:val="right" w:pos="850"/>
          <w:tab w:val="right" w:leader="dot" w:pos="7654"/>
          <w:tab w:val="right" w:pos="8929"/>
          <w:tab w:val="right" w:pos="9638"/>
        </w:tabs>
        <w:spacing w:after="120"/>
        <w:ind w:left="1134" w:hanging="1134"/>
        <w:rPr>
          <w:lang w:val="fr-FR"/>
        </w:rPr>
      </w:pPr>
      <w:r>
        <w:rPr>
          <w:lang w:val="fr-FR"/>
        </w:rPr>
        <w:tab/>
      </w:r>
      <w:r w:rsidR="00C1051B" w:rsidRPr="005C4993">
        <w:rPr>
          <w:lang w:val="fr-FR"/>
        </w:rPr>
        <w:t>XIII.</w:t>
      </w:r>
      <w:r w:rsidR="00C1051B" w:rsidRPr="005C4993">
        <w:rPr>
          <w:lang w:val="fr-FR"/>
        </w:rPr>
        <w:tab/>
        <w:t>Adoption du rapport (point 12 de l</w:t>
      </w:r>
      <w:r w:rsidR="00295FAB">
        <w:rPr>
          <w:lang w:val="fr-FR"/>
        </w:rPr>
        <w:t>’</w:t>
      </w:r>
      <w:r w:rsidR="00C1051B" w:rsidRPr="005C4993">
        <w:rPr>
          <w:lang w:val="fr-FR"/>
        </w:rPr>
        <w:t>ordre du jour)</w:t>
      </w:r>
      <w:r>
        <w:rPr>
          <w:lang w:val="fr-FR"/>
        </w:rPr>
        <w:tab/>
      </w:r>
      <w:r>
        <w:rPr>
          <w:lang w:val="fr-FR"/>
        </w:rPr>
        <w:tab/>
        <w:t>103</w:t>
      </w:r>
      <w:r>
        <w:rPr>
          <w:lang w:val="fr-FR"/>
        </w:rPr>
        <w:tab/>
      </w:r>
      <w:r w:rsidR="00C11027">
        <w:rPr>
          <w:lang w:val="fr-FR"/>
        </w:rPr>
        <w:t>19</w:t>
      </w:r>
    </w:p>
    <w:p w:rsidR="00D77CF7" w:rsidRPr="00D77CF7" w:rsidRDefault="00D77CF7" w:rsidP="00D77CF7">
      <w:pPr>
        <w:tabs>
          <w:tab w:val="right" w:pos="850"/>
        </w:tabs>
        <w:spacing w:after="120"/>
      </w:pPr>
      <w:r>
        <w:tab/>
        <w:t>Annexes</w:t>
      </w:r>
      <w:r w:rsidR="005C4993">
        <w:t xml:space="preserve"> </w:t>
      </w:r>
    </w:p>
    <w:p w:rsidR="00D77CF7" w:rsidRDefault="00D77CF7" w:rsidP="00D77CF7">
      <w:pPr>
        <w:tabs>
          <w:tab w:val="right" w:pos="850"/>
          <w:tab w:val="right" w:leader="dot" w:pos="8929"/>
          <w:tab w:val="right" w:pos="9638"/>
        </w:tabs>
        <w:spacing w:after="120"/>
        <w:ind w:left="1134" w:hanging="1134"/>
      </w:pPr>
      <w:r>
        <w:tab/>
        <w:t>I.</w:t>
      </w:r>
      <w:r>
        <w:tab/>
      </w:r>
      <w:r w:rsidRPr="00CF5BFF">
        <w:rPr>
          <w:lang w:val="fr-FR"/>
        </w:rPr>
        <w:t xml:space="preserve">Corrections à la vingtième édition révisée des Recommandations relatives au transport </w:t>
      </w:r>
      <w:r w:rsidR="005C4993">
        <w:rPr>
          <w:lang w:val="fr-FR"/>
        </w:rPr>
        <w:br/>
      </w:r>
      <w:r w:rsidRPr="00CF5BFF">
        <w:rPr>
          <w:lang w:val="fr-FR"/>
        </w:rPr>
        <w:t>des marchandises dangereuses, Règlement type (ST/SG/AC.10/1/Rev.20)</w:t>
      </w:r>
      <w:r w:rsidR="00FF77AB" w:rsidRPr="00FF77AB">
        <w:rPr>
          <w:rStyle w:val="FootnoteReference"/>
          <w:sz w:val="20"/>
          <w:vertAlign w:val="baseline"/>
        </w:rPr>
        <w:footnoteReference w:customMarkFollows="1" w:id="2"/>
        <w:t>*</w:t>
      </w:r>
      <w:r>
        <w:tab/>
      </w:r>
      <w:r>
        <w:tab/>
      </w:r>
      <w:r w:rsidR="00C11027">
        <w:t>20</w:t>
      </w:r>
    </w:p>
    <w:p w:rsidR="00D77CF7" w:rsidRDefault="00D77CF7" w:rsidP="00D77CF7">
      <w:pPr>
        <w:tabs>
          <w:tab w:val="right" w:pos="850"/>
          <w:tab w:val="right" w:leader="dot" w:pos="8929"/>
          <w:tab w:val="right" w:pos="9638"/>
        </w:tabs>
        <w:spacing w:after="120"/>
        <w:ind w:left="1134" w:hanging="1134"/>
        <w:rPr>
          <w:lang w:val="fr-FR"/>
        </w:rPr>
      </w:pPr>
      <w:r>
        <w:tab/>
        <w:t>II.</w:t>
      </w:r>
      <w:r>
        <w:tab/>
      </w:r>
      <w:r w:rsidRPr="00CF5BFF">
        <w:rPr>
          <w:lang w:val="fr-FR"/>
        </w:rPr>
        <w:t>Projet d</w:t>
      </w:r>
      <w:r w:rsidR="00295FAB">
        <w:rPr>
          <w:lang w:val="fr-FR"/>
        </w:rPr>
        <w:t>’</w:t>
      </w:r>
      <w:r w:rsidRPr="00CF5BFF">
        <w:rPr>
          <w:lang w:val="fr-FR"/>
        </w:rPr>
        <w:t xml:space="preserve">amendements à la vingtième édition révisée des Recommandations relatives </w:t>
      </w:r>
      <w:r w:rsidR="005C4993">
        <w:rPr>
          <w:lang w:val="fr-FR"/>
        </w:rPr>
        <w:br/>
      </w:r>
      <w:r w:rsidRPr="00CF5BFF">
        <w:rPr>
          <w:lang w:val="fr-FR"/>
        </w:rPr>
        <w:t>au transport des marchandises dangereuses, Règlement type (ST/SG/AC.10/1/Rev.20)</w:t>
      </w:r>
      <w:r>
        <w:rPr>
          <w:lang w:val="fr-FR"/>
        </w:rPr>
        <w:t>*</w:t>
      </w:r>
      <w:r>
        <w:rPr>
          <w:lang w:val="fr-FR"/>
        </w:rPr>
        <w:tab/>
      </w:r>
      <w:r>
        <w:rPr>
          <w:lang w:val="fr-FR"/>
        </w:rPr>
        <w:tab/>
      </w:r>
      <w:r w:rsidR="00C11027">
        <w:rPr>
          <w:lang w:val="fr-FR"/>
        </w:rPr>
        <w:t>20</w:t>
      </w:r>
    </w:p>
    <w:p w:rsidR="00D77CF7" w:rsidRDefault="00D77CF7" w:rsidP="00D77CF7">
      <w:pPr>
        <w:tabs>
          <w:tab w:val="right" w:pos="850"/>
          <w:tab w:val="right" w:leader="dot" w:pos="8929"/>
          <w:tab w:val="right" w:pos="9638"/>
        </w:tabs>
        <w:spacing w:after="120"/>
        <w:ind w:left="1134" w:hanging="1134"/>
        <w:rPr>
          <w:lang w:val="fr-FR"/>
        </w:rPr>
      </w:pPr>
      <w:r>
        <w:rPr>
          <w:lang w:val="fr-FR"/>
        </w:rPr>
        <w:tab/>
        <w:t>III.</w:t>
      </w:r>
      <w:r>
        <w:rPr>
          <w:lang w:val="fr-FR"/>
        </w:rPr>
        <w:tab/>
      </w:r>
      <w:r w:rsidRPr="00CF5BFF">
        <w:rPr>
          <w:lang w:val="fr-FR"/>
        </w:rPr>
        <w:t>Projets d</w:t>
      </w:r>
      <w:r w:rsidR="00295FAB">
        <w:rPr>
          <w:lang w:val="fr-FR"/>
        </w:rPr>
        <w:t>’</w:t>
      </w:r>
      <w:r w:rsidRPr="00CF5BFF">
        <w:rPr>
          <w:lang w:val="fr-FR"/>
        </w:rPr>
        <w:t>amendements à la sixième édition révisée des Recommandations relatives au</w:t>
      </w:r>
      <w:r w:rsidR="0020037E">
        <w:rPr>
          <w:lang w:val="fr-FR"/>
        </w:rPr>
        <w:br/>
      </w:r>
      <w:r w:rsidRPr="00CF5BFF">
        <w:rPr>
          <w:lang w:val="fr-FR"/>
        </w:rPr>
        <w:t>transport des marchandises dangereuses, Manuel d</w:t>
      </w:r>
      <w:r w:rsidR="00295FAB">
        <w:rPr>
          <w:lang w:val="fr-FR"/>
        </w:rPr>
        <w:t>’</w:t>
      </w:r>
      <w:r w:rsidRPr="00CF5BFF">
        <w:rPr>
          <w:lang w:val="fr-FR"/>
        </w:rPr>
        <w:t>épreuves et de critères (ST/SG/AC.10/</w:t>
      </w:r>
      <w:r w:rsidR="005C4993">
        <w:rPr>
          <w:lang w:val="fr-FR"/>
        </w:rPr>
        <w:t xml:space="preserve"> </w:t>
      </w:r>
      <w:r w:rsidR="005C4993">
        <w:rPr>
          <w:lang w:val="fr-FR"/>
        </w:rPr>
        <w:br/>
      </w:r>
      <w:r w:rsidRPr="00CF5BFF">
        <w:rPr>
          <w:lang w:val="fr-FR"/>
        </w:rPr>
        <w:t>11/Rev.6) (telle que modifiée conformément au document ST/SG/AC.10/44/Add.2)*</w:t>
      </w:r>
      <w:r>
        <w:rPr>
          <w:lang w:val="fr-FR"/>
        </w:rPr>
        <w:tab/>
      </w:r>
      <w:r>
        <w:rPr>
          <w:lang w:val="fr-FR"/>
        </w:rPr>
        <w:tab/>
      </w:r>
      <w:r w:rsidR="00C11027">
        <w:rPr>
          <w:lang w:val="fr-FR"/>
        </w:rPr>
        <w:t>20</w:t>
      </w:r>
    </w:p>
    <w:p w:rsidR="00D77CF7" w:rsidRDefault="00D77CF7" w:rsidP="00D77CF7">
      <w:pPr>
        <w:tabs>
          <w:tab w:val="right" w:pos="850"/>
          <w:tab w:val="right" w:leader="dot" w:pos="8929"/>
          <w:tab w:val="right" w:pos="9638"/>
        </w:tabs>
        <w:spacing w:after="120"/>
        <w:ind w:left="1134" w:hanging="1134"/>
        <w:rPr>
          <w:lang w:val="fr-FR"/>
        </w:rPr>
      </w:pPr>
    </w:p>
    <w:p w:rsidR="00D77CF7" w:rsidRDefault="00D77CF7" w:rsidP="00C11027">
      <w:pPr>
        <w:tabs>
          <w:tab w:val="right" w:pos="850"/>
          <w:tab w:val="right" w:leader="dot" w:pos="8929"/>
          <w:tab w:val="right" w:pos="9638"/>
        </w:tabs>
        <w:ind w:left="1134" w:hanging="1134"/>
        <w:rPr>
          <w:lang w:val="fr-FR"/>
        </w:rPr>
        <w:sectPr w:rsidR="00D77CF7" w:rsidSect="00D77CF7">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417" w:right="1134" w:bottom="1134" w:left="1134" w:header="850" w:footer="567" w:gutter="0"/>
          <w:cols w:space="708"/>
          <w:titlePg/>
          <w:docGrid w:linePitch="360"/>
        </w:sectPr>
      </w:pPr>
    </w:p>
    <w:p w:rsidR="00E45670" w:rsidRPr="00E45670" w:rsidRDefault="005C4993" w:rsidP="00C11027">
      <w:pPr>
        <w:pStyle w:val="HChG"/>
        <w:spacing w:before="0"/>
        <w:rPr>
          <w:lang w:val="fr-FR"/>
        </w:rPr>
      </w:pPr>
      <w:r>
        <w:rPr>
          <w:lang w:val="fr-FR"/>
        </w:rPr>
        <w:tab/>
      </w:r>
      <w:r w:rsidR="00E45670" w:rsidRPr="00E45670">
        <w:rPr>
          <w:lang w:val="fr-FR"/>
        </w:rPr>
        <w:t>I.</w:t>
      </w:r>
      <w:r w:rsidR="00E45670" w:rsidRPr="00E45670">
        <w:rPr>
          <w:lang w:val="fr-FR"/>
        </w:rPr>
        <w:tab/>
        <w:t>Participation</w:t>
      </w:r>
    </w:p>
    <w:p w:rsidR="00E45670" w:rsidRPr="00E45670" w:rsidRDefault="00E45670" w:rsidP="00885A0C">
      <w:pPr>
        <w:pStyle w:val="SingleTxtG"/>
        <w:rPr>
          <w:lang w:val="fr-FR"/>
        </w:rPr>
      </w:pPr>
      <w:r w:rsidRPr="00E45670">
        <w:rPr>
          <w:lang w:val="fr-FR"/>
        </w:rPr>
        <w:t>1.</w:t>
      </w:r>
      <w:r w:rsidRPr="00E45670">
        <w:rPr>
          <w:lang w:val="fr-FR"/>
        </w:rPr>
        <w:tab/>
        <w:t>Le Sous-Comité d</w:t>
      </w:r>
      <w:r w:rsidR="00295FAB">
        <w:rPr>
          <w:lang w:val="fr-FR"/>
        </w:rPr>
        <w:t>’</w:t>
      </w:r>
      <w:r w:rsidRPr="00E45670">
        <w:rPr>
          <w:lang w:val="fr-FR"/>
        </w:rPr>
        <w:t>experts du transport des marchandises dangereuses a tenu sa cinquante et unième session du 3 au 7</w:t>
      </w:r>
      <w:r w:rsidR="005C4993">
        <w:rPr>
          <w:lang w:val="fr-FR"/>
        </w:rPr>
        <w:t> </w:t>
      </w:r>
      <w:r w:rsidRPr="00E45670">
        <w:rPr>
          <w:lang w:val="fr-FR"/>
        </w:rPr>
        <w:t xml:space="preserve">juillet 2017. </w:t>
      </w:r>
    </w:p>
    <w:p w:rsidR="00E45670" w:rsidRPr="00E45670" w:rsidRDefault="00E45670" w:rsidP="00E45670">
      <w:pPr>
        <w:pStyle w:val="SingleTxtG"/>
        <w:rPr>
          <w:lang w:val="fr-FR"/>
        </w:rPr>
      </w:pPr>
      <w:r w:rsidRPr="00E45670">
        <w:rPr>
          <w:lang w:val="fr-FR"/>
        </w:rPr>
        <w:t>2.</w:t>
      </w:r>
      <w:r w:rsidRPr="00E45670">
        <w:rPr>
          <w:lang w:val="fr-FR"/>
        </w:rPr>
        <w:tab/>
        <w:t>Ont participé à cette session des experts des pays suivants</w:t>
      </w:r>
      <w:r w:rsidR="00295FAB">
        <w:rPr>
          <w:lang w:val="fr-FR"/>
        </w:rPr>
        <w:t> </w:t>
      </w:r>
      <w:r w:rsidRPr="00E45670">
        <w:rPr>
          <w:lang w:val="fr-FR"/>
        </w:rPr>
        <w:t>: Allemagne, Argentine, Australie, Autriche, Belgique, Brésil, Canada, Chine, Espagne, États-Unis d</w:t>
      </w:r>
      <w:r w:rsidR="00295FAB">
        <w:rPr>
          <w:lang w:val="fr-FR"/>
        </w:rPr>
        <w:t>’</w:t>
      </w:r>
      <w:r w:rsidRPr="00E45670">
        <w:rPr>
          <w:lang w:val="fr-FR"/>
        </w:rPr>
        <w:t>Amérique, Fédération de Russie, Finlande, France, Italie, Japon, Norvège, Pays-Bas, Pologne, Portugal, République de Corée, Royaume-Uni, Suède et Suisse.</w:t>
      </w:r>
    </w:p>
    <w:p w:rsidR="00E45670" w:rsidRPr="00E45670" w:rsidRDefault="00E45670" w:rsidP="00E45670">
      <w:pPr>
        <w:pStyle w:val="SingleTxtG"/>
        <w:rPr>
          <w:lang w:val="fr-FR"/>
        </w:rPr>
      </w:pPr>
      <w:r w:rsidRPr="00E45670">
        <w:rPr>
          <w:lang w:val="fr-FR"/>
        </w:rPr>
        <w:t xml:space="preserve">3. </w:t>
      </w:r>
      <w:r w:rsidRPr="00E45670">
        <w:rPr>
          <w:lang w:val="fr-FR"/>
        </w:rPr>
        <w:tab/>
        <w:t>En vertu de l</w:t>
      </w:r>
      <w:r w:rsidR="00295FAB">
        <w:rPr>
          <w:lang w:val="fr-FR"/>
        </w:rPr>
        <w:t>’</w:t>
      </w:r>
      <w:r w:rsidRPr="00E45670">
        <w:rPr>
          <w:lang w:val="fr-FR"/>
        </w:rPr>
        <w:t>article 72 du Règlement intérieur du Conseil économique et social, des observateurs des pays suivants y ont également participé</w:t>
      </w:r>
      <w:r w:rsidR="00295FAB">
        <w:rPr>
          <w:lang w:val="fr-FR"/>
        </w:rPr>
        <w:t> </w:t>
      </w:r>
      <w:r w:rsidRPr="00E45670">
        <w:rPr>
          <w:lang w:val="fr-FR"/>
        </w:rPr>
        <w:t>: Nouvelle-Zélande, Qatar et Roumanie.</w:t>
      </w:r>
    </w:p>
    <w:p w:rsidR="00E45670" w:rsidRPr="00885A0C" w:rsidRDefault="00E45670" w:rsidP="00885A0C">
      <w:pPr>
        <w:pStyle w:val="SingleTxtG"/>
      </w:pPr>
      <w:r w:rsidRPr="00E45670">
        <w:rPr>
          <w:lang w:val="fr-FR"/>
        </w:rPr>
        <w:t>4.</w:t>
      </w:r>
      <w:r w:rsidRPr="00E45670">
        <w:rPr>
          <w:lang w:val="fr-FR"/>
        </w:rPr>
        <w:tab/>
        <w:t>L</w:t>
      </w:r>
      <w:r w:rsidR="00295FAB">
        <w:rPr>
          <w:lang w:val="fr-FR"/>
        </w:rPr>
        <w:t>’</w:t>
      </w:r>
      <w:r w:rsidRPr="00E45670">
        <w:rPr>
          <w:lang w:val="fr-FR"/>
        </w:rPr>
        <w:t>Union européenne et l</w:t>
      </w:r>
      <w:r w:rsidR="00295FAB">
        <w:rPr>
          <w:lang w:val="fr-FR"/>
        </w:rPr>
        <w:t>’</w:t>
      </w:r>
      <w:r w:rsidRPr="00E45670">
        <w:rPr>
          <w:lang w:val="fr-FR"/>
        </w:rPr>
        <w:t>Organisation intergouvernementale pour les transports internationaux ferroviaires (OTIF) étaient également représentées.</w:t>
      </w:r>
    </w:p>
    <w:p w:rsidR="00E45670" w:rsidRPr="00E45670" w:rsidRDefault="00E45670" w:rsidP="00885A0C">
      <w:pPr>
        <w:pStyle w:val="SingleTxtG"/>
        <w:rPr>
          <w:lang w:val="fr-FR"/>
        </w:rPr>
      </w:pPr>
      <w:r w:rsidRPr="00E45670">
        <w:rPr>
          <w:lang w:val="fr-FR"/>
        </w:rPr>
        <w:t>5.</w:t>
      </w:r>
      <w:r w:rsidRPr="00E45670">
        <w:rPr>
          <w:lang w:val="fr-FR"/>
        </w:rPr>
        <w:tab/>
        <w:t>Des représentants de l</w:t>
      </w:r>
      <w:r w:rsidR="00295FAB">
        <w:rPr>
          <w:lang w:val="fr-FR"/>
        </w:rPr>
        <w:t>’</w:t>
      </w:r>
      <w:r w:rsidRPr="00E45670">
        <w:rPr>
          <w:lang w:val="fr-FR"/>
        </w:rPr>
        <w:t>Organisation de l</w:t>
      </w:r>
      <w:r w:rsidR="00295FAB">
        <w:rPr>
          <w:lang w:val="fr-FR"/>
        </w:rPr>
        <w:t>’</w:t>
      </w:r>
      <w:r w:rsidRPr="00E45670">
        <w:rPr>
          <w:lang w:val="fr-FR"/>
        </w:rPr>
        <w:t>aviation civile internationale (OACI), de l</w:t>
      </w:r>
      <w:r w:rsidR="00295FAB">
        <w:rPr>
          <w:lang w:val="fr-FR"/>
        </w:rPr>
        <w:t>’</w:t>
      </w:r>
      <w:r w:rsidRPr="00E45670">
        <w:rPr>
          <w:lang w:val="fr-FR"/>
        </w:rPr>
        <w:t>Organisation maritime internationale (OMI), de l</w:t>
      </w:r>
      <w:r w:rsidR="00295FAB">
        <w:rPr>
          <w:lang w:val="fr-FR"/>
        </w:rPr>
        <w:t>’</w:t>
      </w:r>
      <w:r w:rsidRPr="00E45670">
        <w:rPr>
          <w:lang w:val="fr-FR"/>
        </w:rPr>
        <w:t>Organisation mondiale de la Santé (OMS) et de l</w:t>
      </w:r>
      <w:r w:rsidR="00295FAB">
        <w:rPr>
          <w:lang w:val="fr-FR"/>
        </w:rPr>
        <w:t>’</w:t>
      </w:r>
      <w:r w:rsidRPr="00E45670">
        <w:rPr>
          <w:lang w:val="fr-FR"/>
        </w:rPr>
        <w:t>Organisation des Nations Unies pour l</w:t>
      </w:r>
      <w:r w:rsidR="00295FAB">
        <w:rPr>
          <w:lang w:val="fr-FR"/>
        </w:rPr>
        <w:t>’</w:t>
      </w:r>
      <w:r w:rsidRPr="00E45670">
        <w:rPr>
          <w:lang w:val="fr-FR"/>
        </w:rPr>
        <w:t>alimentation et l</w:t>
      </w:r>
      <w:r w:rsidR="00295FAB">
        <w:rPr>
          <w:lang w:val="fr-FR"/>
        </w:rPr>
        <w:t>’</w:t>
      </w:r>
      <w:r w:rsidRPr="00E45670">
        <w:rPr>
          <w:lang w:val="fr-FR"/>
        </w:rPr>
        <w:t>agriculture (FAO) étaient également présents.</w:t>
      </w:r>
    </w:p>
    <w:p w:rsidR="00E45670" w:rsidRPr="00E45670" w:rsidRDefault="00E45670" w:rsidP="00E45670">
      <w:pPr>
        <w:pStyle w:val="SingleTxtG"/>
        <w:rPr>
          <w:lang w:val="fr-FR"/>
        </w:rPr>
      </w:pPr>
      <w:r w:rsidRPr="00E45670">
        <w:rPr>
          <w:lang w:val="fr-FR"/>
        </w:rPr>
        <w:t>6.</w:t>
      </w:r>
      <w:r w:rsidRPr="00E45670">
        <w:rPr>
          <w:lang w:val="fr-FR"/>
        </w:rPr>
        <w:tab/>
        <w:t>Des représentants des organisations non gouvernementales suivantes ont participé aux débats sur des points intéressant leur organisation</w:t>
      </w:r>
      <w:r w:rsidR="00295FAB">
        <w:rPr>
          <w:lang w:val="fr-FR"/>
        </w:rPr>
        <w:t> </w:t>
      </w:r>
      <w:r w:rsidR="005636D6">
        <w:rPr>
          <w:lang w:val="fr-FR"/>
        </w:rPr>
        <w:t xml:space="preserve">: </w:t>
      </w:r>
      <w:r w:rsidRPr="00E45670">
        <w:rPr>
          <w:lang w:val="fr-FR"/>
        </w:rPr>
        <w:t>Association des Fabricants Européens de Munitions de Sport (AFEMS)</w:t>
      </w:r>
      <w:r w:rsidR="00295FAB">
        <w:rPr>
          <w:lang w:val="fr-FR"/>
        </w:rPr>
        <w:t> ;</w:t>
      </w:r>
      <w:r w:rsidRPr="00E45670">
        <w:rPr>
          <w:lang w:val="fr-FR"/>
        </w:rPr>
        <w:t xml:space="preserve"> Association du transport aérien international (IATA)</w:t>
      </w:r>
      <w:r w:rsidR="00295FAB">
        <w:rPr>
          <w:lang w:val="fr-FR"/>
        </w:rPr>
        <w:t> ;</w:t>
      </w:r>
      <w:r w:rsidRPr="00E45670">
        <w:rPr>
          <w:lang w:val="fr-FR"/>
        </w:rPr>
        <w:t xml:space="preserve"> Association européenne des fournisseurs de l</w:t>
      </w:r>
      <w:r w:rsidR="00295FAB">
        <w:rPr>
          <w:lang w:val="fr-FR"/>
        </w:rPr>
        <w:t>’</w:t>
      </w:r>
      <w:r w:rsidRPr="00E45670">
        <w:rPr>
          <w:lang w:val="fr-FR"/>
        </w:rPr>
        <w:t>automobile (CLEPA)</w:t>
      </w:r>
      <w:r w:rsidR="00295FAB">
        <w:rPr>
          <w:lang w:val="fr-FR"/>
        </w:rPr>
        <w:t> ;</w:t>
      </w:r>
      <w:r w:rsidRPr="00E45670">
        <w:rPr>
          <w:lang w:val="fr-FR"/>
        </w:rPr>
        <w:t xml:space="preserve"> Association européenne des gaz industriels (EIGA)</w:t>
      </w:r>
      <w:r w:rsidR="00295FAB">
        <w:rPr>
          <w:lang w:val="fr-FR"/>
        </w:rPr>
        <w:t> ;</w:t>
      </w:r>
      <w:r w:rsidRPr="00E45670">
        <w:rPr>
          <w:lang w:val="fr-FR"/>
        </w:rPr>
        <w:t xml:space="preserve"> Association internationale des services d</w:t>
      </w:r>
      <w:r w:rsidR="00295FAB">
        <w:rPr>
          <w:lang w:val="fr-FR"/>
        </w:rPr>
        <w:t>’</w:t>
      </w:r>
      <w:r w:rsidRPr="00E45670">
        <w:rPr>
          <w:lang w:val="fr-FR"/>
        </w:rPr>
        <w:t>incendie et de secours (CTIF)</w:t>
      </w:r>
      <w:r w:rsidR="00295FAB">
        <w:rPr>
          <w:lang w:val="fr-FR"/>
        </w:rPr>
        <w:t> ;</w:t>
      </w:r>
      <w:r w:rsidRPr="00E45670">
        <w:rPr>
          <w:lang w:val="fr-FR"/>
        </w:rPr>
        <w:t xml:space="preserve"> Association mondiale du GPL (WLPGA)</w:t>
      </w:r>
      <w:r w:rsidR="00295FAB">
        <w:rPr>
          <w:lang w:val="fr-FR"/>
        </w:rPr>
        <w:t> ;</w:t>
      </w:r>
      <w:r w:rsidRPr="00E45670">
        <w:rPr>
          <w:lang w:val="fr-FR"/>
        </w:rPr>
        <w:t xml:space="preserve"> Australian Explosives Industry Safety Group (AEISG)</w:t>
      </w:r>
      <w:r w:rsidR="00295FAB">
        <w:rPr>
          <w:lang w:val="fr-FR"/>
        </w:rPr>
        <w:t> ;</w:t>
      </w:r>
      <w:r w:rsidRPr="00E45670">
        <w:rPr>
          <w:lang w:val="fr-FR"/>
        </w:rPr>
        <w:t xml:space="preserve"> Compressed Gas Association (CGA)</w:t>
      </w:r>
      <w:r w:rsidR="00295FAB">
        <w:rPr>
          <w:lang w:val="fr-FR"/>
        </w:rPr>
        <w:t> ;</w:t>
      </w:r>
      <w:r w:rsidRPr="00E45670">
        <w:rPr>
          <w:lang w:val="fr-FR"/>
        </w:rPr>
        <w:t xml:space="preserve"> Conseil européen de l</w:t>
      </w:r>
      <w:r w:rsidR="00295FAB">
        <w:rPr>
          <w:lang w:val="fr-FR"/>
        </w:rPr>
        <w:t>’</w:t>
      </w:r>
      <w:r w:rsidRPr="00E45670">
        <w:rPr>
          <w:lang w:val="fr-FR"/>
        </w:rPr>
        <w:t>industrie chimique (CEFIC)</w:t>
      </w:r>
      <w:r w:rsidR="00295FAB">
        <w:rPr>
          <w:lang w:val="fr-FR"/>
        </w:rPr>
        <w:t> ;</w:t>
      </w:r>
      <w:r w:rsidRPr="00E45670">
        <w:rPr>
          <w:lang w:val="fr-FR"/>
        </w:rPr>
        <w:t xml:space="preserve"> Conseil international des peintures et des encres d</w:t>
      </w:r>
      <w:r w:rsidR="00295FAB">
        <w:rPr>
          <w:lang w:val="fr-FR"/>
        </w:rPr>
        <w:t>’</w:t>
      </w:r>
      <w:r w:rsidRPr="00E45670">
        <w:rPr>
          <w:lang w:val="fr-FR"/>
        </w:rPr>
        <w:t>imprimerie (IPPIC)</w:t>
      </w:r>
      <w:r w:rsidR="00295FAB">
        <w:rPr>
          <w:lang w:val="fr-FR"/>
        </w:rPr>
        <w:t> ;</w:t>
      </w:r>
      <w:r w:rsidRPr="00E45670">
        <w:rPr>
          <w:lang w:val="fr-FR"/>
        </w:rPr>
        <w:t xml:space="preserve"> Cosmetics Europe</w:t>
      </w:r>
      <w:r w:rsidR="00295FAB">
        <w:rPr>
          <w:lang w:val="fr-FR"/>
        </w:rPr>
        <w:t> ;</w:t>
      </w:r>
      <w:r w:rsidRPr="00E45670">
        <w:rPr>
          <w:lang w:val="fr-FR"/>
        </w:rPr>
        <w:t xml:space="preserve"> Council on Safe Transportation of Hazardous Articles (COSTHA)</w:t>
      </w:r>
      <w:r w:rsidR="00295FAB">
        <w:rPr>
          <w:lang w:val="fr-FR"/>
        </w:rPr>
        <w:t> ;</w:t>
      </w:r>
      <w:r w:rsidRPr="00E45670">
        <w:rPr>
          <w:lang w:val="fr-FR"/>
        </w:rPr>
        <w:t xml:space="preserve"> Dangerous Goods Advisory Council (DGAC)</w:t>
      </w:r>
      <w:r w:rsidR="00295FAB">
        <w:rPr>
          <w:lang w:val="fr-FR"/>
        </w:rPr>
        <w:t> ;</w:t>
      </w:r>
      <w:r w:rsidRPr="00E45670">
        <w:rPr>
          <w:lang w:val="fr-FR"/>
        </w:rPr>
        <w:t xml:space="preserve"> Dangerous Goods Trainers Association (DGTA)</w:t>
      </w:r>
      <w:r w:rsidR="00295FAB">
        <w:rPr>
          <w:lang w:val="fr-FR"/>
        </w:rPr>
        <w:t> ;</w:t>
      </w:r>
      <w:r w:rsidRPr="00E45670">
        <w:rPr>
          <w:lang w:val="fr-FR"/>
        </w:rPr>
        <w:t xml:space="preserve"> European Association for Advanced Rechargeable Batteries (RECHARGE)</w:t>
      </w:r>
      <w:r w:rsidR="00295FAB">
        <w:rPr>
          <w:lang w:val="fr-FR"/>
        </w:rPr>
        <w:t> ;</w:t>
      </w:r>
      <w:r w:rsidRPr="00E45670">
        <w:rPr>
          <w:lang w:val="fr-FR"/>
        </w:rPr>
        <w:t xml:space="preserve"> European Industrial Gases Association (EIGA)</w:t>
      </w:r>
      <w:r w:rsidR="00295FAB">
        <w:rPr>
          <w:lang w:val="fr-FR"/>
        </w:rPr>
        <w:t> ;</w:t>
      </w:r>
      <w:r w:rsidRPr="00E45670">
        <w:rPr>
          <w:lang w:val="fr-FR"/>
        </w:rPr>
        <w:t xml:space="preserve"> Fédération européenne des aérosols (FEA)</w:t>
      </w:r>
      <w:r w:rsidR="00295FAB">
        <w:rPr>
          <w:lang w:val="fr-FR"/>
        </w:rPr>
        <w:t> ;</w:t>
      </w:r>
      <w:r w:rsidRPr="00E45670">
        <w:rPr>
          <w:lang w:val="fr-FR"/>
        </w:rPr>
        <w:t xml:space="preserve"> European Metal Packaging (EMPAC)</w:t>
      </w:r>
      <w:r w:rsidR="00295FAB">
        <w:rPr>
          <w:lang w:val="fr-FR"/>
        </w:rPr>
        <w:t> ;</w:t>
      </w:r>
      <w:r w:rsidRPr="00E45670">
        <w:rPr>
          <w:lang w:val="fr-FR"/>
        </w:rPr>
        <w:t xml:space="preserve"> Institute of Makers of Explosives (IME)</w:t>
      </w:r>
      <w:r w:rsidR="00295FAB">
        <w:rPr>
          <w:lang w:val="fr-FR"/>
        </w:rPr>
        <w:t> ;</w:t>
      </w:r>
      <w:r w:rsidRPr="00E45670">
        <w:rPr>
          <w:lang w:val="fr-FR"/>
        </w:rPr>
        <w:t xml:space="preserve"> International Association for Soaps, Detergents and Maintenance Products (AISE)</w:t>
      </w:r>
      <w:r w:rsidR="00295FAB">
        <w:rPr>
          <w:lang w:val="fr-FR"/>
        </w:rPr>
        <w:t> ;</w:t>
      </w:r>
      <w:r w:rsidRPr="00E45670">
        <w:rPr>
          <w:lang w:val="fr-FR"/>
        </w:rPr>
        <w:t xml:space="preserve"> International Confederation of Container Reconditioners (ICCR)</w:t>
      </w:r>
      <w:r w:rsidR="00295FAB">
        <w:rPr>
          <w:lang w:val="fr-FR"/>
        </w:rPr>
        <w:t> ;</w:t>
      </w:r>
      <w:r w:rsidRPr="00E45670">
        <w:rPr>
          <w:lang w:val="fr-FR"/>
        </w:rPr>
        <w:t xml:space="preserve"> International Confederation of Plastics Packaging Manufacturers (ICPP)</w:t>
      </w:r>
      <w:r w:rsidR="00295FAB">
        <w:rPr>
          <w:lang w:val="fr-FR"/>
        </w:rPr>
        <w:t> ;</w:t>
      </w:r>
      <w:r w:rsidRPr="00E45670">
        <w:rPr>
          <w:lang w:val="fr-FR"/>
        </w:rPr>
        <w:t xml:space="preserve"> International Council of Intermediate Bulk Container Associations (ICIBCA)</w:t>
      </w:r>
      <w:r w:rsidR="00295FAB">
        <w:rPr>
          <w:lang w:val="fr-FR"/>
        </w:rPr>
        <w:t> ;</w:t>
      </w:r>
      <w:r w:rsidRPr="00E45670">
        <w:rPr>
          <w:lang w:val="fr-FR"/>
        </w:rPr>
        <w:t xml:space="preserve"> International Fibre Drum Institute (IFDI)</w:t>
      </w:r>
      <w:r w:rsidR="00295FAB">
        <w:rPr>
          <w:lang w:val="fr-FR"/>
        </w:rPr>
        <w:t> ;</w:t>
      </w:r>
      <w:r w:rsidRPr="00E45670">
        <w:rPr>
          <w:lang w:val="fr-FR"/>
        </w:rPr>
        <w:t xml:space="preserve"> International Tank Container organisation (ITCO)</w:t>
      </w:r>
      <w:r w:rsidR="00295FAB">
        <w:rPr>
          <w:lang w:val="fr-FR"/>
        </w:rPr>
        <w:t> ;</w:t>
      </w:r>
      <w:r w:rsidRPr="00E45670">
        <w:rPr>
          <w:lang w:val="fr-FR"/>
        </w:rPr>
        <w:t xml:space="preserve"> Medical Device Battery Transport Council (MDBTC)</w:t>
      </w:r>
      <w:r w:rsidR="00295FAB">
        <w:rPr>
          <w:lang w:val="fr-FR"/>
        </w:rPr>
        <w:t> ;</w:t>
      </w:r>
      <w:r w:rsidRPr="00E45670">
        <w:rPr>
          <w:lang w:val="fr-FR"/>
        </w:rPr>
        <w:t xml:space="preserve"> Organisation internationale des constructeurs automobiles (OICA)</w:t>
      </w:r>
      <w:r w:rsidR="00295FAB">
        <w:rPr>
          <w:lang w:val="fr-FR"/>
        </w:rPr>
        <w:t> ;</w:t>
      </w:r>
      <w:r w:rsidRPr="00E45670">
        <w:rPr>
          <w:lang w:val="fr-FR"/>
        </w:rPr>
        <w:t xml:space="preserve"> Organisation internationale de normalisation (ISO)</w:t>
      </w:r>
      <w:r w:rsidR="00295FAB">
        <w:rPr>
          <w:lang w:val="fr-FR"/>
        </w:rPr>
        <w:t> ;</w:t>
      </w:r>
      <w:r w:rsidRPr="00E45670">
        <w:rPr>
          <w:lang w:val="fr-FR"/>
        </w:rPr>
        <w:t xml:space="preserve"> Portable Rechargeable Battery Association (PRBA)</w:t>
      </w:r>
      <w:r w:rsidR="00295FAB">
        <w:rPr>
          <w:lang w:val="fr-FR"/>
        </w:rPr>
        <w:t> ;</w:t>
      </w:r>
      <w:r w:rsidRPr="00E45670">
        <w:rPr>
          <w:lang w:val="fr-FR"/>
        </w:rPr>
        <w:t xml:space="preserve"> Responsible Packaging Management Association of Southern Africa (RPMASA)</w:t>
      </w:r>
      <w:r w:rsidR="00295FAB">
        <w:rPr>
          <w:lang w:val="fr-FR"/>
        </w:rPr>
        <w:t> ;</w:t>
      </w:r>
      <w:r w:rsidRPr="00E45670">
        <w:rPr>
          <w:lang w:val="fr-FR"/>
        </w:rPr>
        <w:t xml:space="preserve"> Sporting Arms and Ammunition Manufacturers</w:t>
      </w:r>
      <w:r w:rsidR="00295FAB">
        <w:rPr>
          <w:lang w:val="fr-FR"/>
        </w:rPr>
        <w:t>’</w:t>
      </w:r>
      <w:r w:rsidRPr="00E45670">
        <w:rPr>
          <w:lang w:val="fr-FR"/>
        </w:rPr>
        <w:t xml:space="preserve"> Institute (SAAMI).</w:t>
      </w:r>
    </w:p>
    <w:p w:rsidR="00E45670" w:rsidRPr="00E45670" w:rsidRDefault="00885A0C" w:rsidP="00885A0C">
      <w:pPr>
        <w:pStyle w:val="HChG"/>
        <w:rPr>
          <w:lang w:val="fr-FR"/>
        </w:rPr>
      </w:pPr>
      <w:r>
        <w:rPr>
          <w:lang w:val="fr-FR"/>
        </w:rPr>
        <w:tab/>
      </w:r>
      <w:r w:rsidR="00E45670" w:rsidRPr="00E45670">
        <w:rPr>
          <w:lang w:val="fr-FR"/>
        </w:rPr>
        <w:t>II.</w:t>
      </w:r>
      <w:r w:rsidR="00E45670" w:rsidRPr="00E45670">
        <w:rPr>
          <w:lang w:val="fr-FR"/>
        </w:rPr>
        <w:tab/>
        <w:t>Adoption de l</w:t>
      </w:r>
      <w:r w:rsidR="00295FAB">
        <w:rPr>
          <w:lang w:val="fr-FR"/>
        </w:rPr>
        <w:t>’</w:t>
      </w:r>
      <w:r w:rsidR="00E45670" w:rsidRPr="00E45670">
        <w:rPr>
          <w:lang w:val="fr-FR"/>
        </w:rPr>
        <w:t>ordre du jour (point 1 de l</w:t>
      </w:r>
      <w:r w:rsidR="00295FAB">
        <w:rPr>
          <w:lang w:val="fr-FR"/>
        </w:rPr>
        <w:t>’</w:t>
      </w:r>
      <w:r w:rsidR="00E45670" w:rsidRPr="00E45670">
        <w:rPr>
          <w:lang w:val="fr-FR"/>
        </w:rPr>
        <w:t>ordre du jour)</w:t>
      </w:r>
    </w:p>
    <w:p w:rsidR="00006831" w:rsidRDefault="00E45670" w:rsidP="00885A0C">
      <w:pPr>
        <w:pStyle w:val="SingleTxtG"/>
        <w:ind w:left="3119" w:hanging="1985"/>
        <w:jc w:val="left"/>
        <w:rPr>
          <w:lang w:val="fr-FR"/>
        </w:rPr>
      </w:pPr>
      <w:r w:rsidRPr="00885A0C">
        <w:rPr>
          <w:i/>
          <w:lang w:val="fr-FR"/>
        </w:rPr>
        <w:t>Documents</w:t>
      </w:r>
      <w:r w:rsidR="00885A0C">
        <w:rPr>
          <w:lang w:val="fr-FR"/>
        </w:rPr>
        <w:t> </w:t>
      </w:r>
      <w:r w:rsidRPr="00E45670">
        <w:rPr>
          <w:lang w:val="fr-FR"/>
        </w:rPr>
        <w:t>:</w:t>
      </w:r>
      <w:r w:rsidRPr="00E45670">
        <w:rPr>
          <w:lang w:val="fr-FR"/>
        </w:rPr>
        <w:tab/>
        <w:t>ST/SG/AC.10/C.3/101 (Ordre du jour provisoire) ST/SG/AC.10/C.3/101/Add.1 (Liste des documents)</w:t>
      </w:r>
      <w:r w:rsidR="00006831">
        <w:rPr>
          <w:lang w:val="fr-FR"/>
        </w:rPr>
        <w:t>.</w:t>
      </w:r>
    </w:p>
    <w:p w:rsidR="00E45670" w:rsidRPr="00E45670" w:rsidRDefault="00E45670" w:rsidP="00885A0C">
      <w:pPr>
        <w:pStyle w:val="SingleTxtG"/>
        <w:ind w:left="3119" w:hanging="1985"/>
        <w:jc w:val="left"/>
        <w:rPr>
          <w:lang w:val="fr-FR"/>
        </w:rPr>
      </w:pPr>
      <w:r w:rsidRPr="00006831">
        <w:rPr>
          <w:i/>
          <w:lang w:val="fr-FR"/>
        </w:rPr>
        <w:t>Documents informels</w:t>
      </w:r>
      <w:r w:rsidR="00885A0C">
        <w:rPr>
          <w:lang w:val="fr-FR"/>
        </w:rPr>
        <w:t> :</w:t>
      </w:r>
      <w:r w:rsidR="00006831">
        <w:rPr>
          <w:lang w:val="fr-FR"/>
        </w:rPr>
        <w:tab/>
      </w:r>
      <w:r w:rsidRPr="00E45670">
        <w:rPr>
          <w:lang w:val="fr-FR"/>
        </w:rPr>
        <w:t>INF.1 et INF.2 (Liste des documents)</w:t>
      </w:r>
      <w:r w:rsidR="00885A0C">
        <w:rPr>
          <w:lang w:val="fr-FR"/>
        </w:rPr>
        <w:br/>
      </w:r>
      <w:r w:rsidRPr="00E45670">
        <w:rPr>
          <w:lang w:val="fr-FR"/>
        </w:rPr>
        <w:t xml:space="preserve">INF.16 (Calendrier provisoire) INF.23 (Réception organisée </w:t>
      </w:r>
      <w:r w:rsidR="00885A0C">
        <w:rPr>
          <w:lang w:val="fr-FR"/>
        </w:rPr>
        <w:br/>
      </w:r>
      <w:r w:rsidRPr="00E45670">
        <w:rPr>
          <w:lang w:val="fr-FR"/>
        </w:rPr>
        <w:t>par les organisations non gouvernementales)</w:t>
      </w:r>
      <w:r w:rsidR="00006831">
        <w:rPr>
          <w:lang w:val="fr-FR"/>
        </w:rPr>
        <w:t>.</w:t>
      </w:r>
    </w:p>
    <w:p w:rsidR="00E45670" w:rsidRPr="00E45670" w:rsidRDefault="00E45670" w:rsidP="00E45670">
      <w:pPr>
        <w:pStyle w:val="SingleTxtG"/>
        <w:rPr>
          <w:lang w:val="fr-FR"/>
        </w:rPr>
      </w:pPr>
      <w:r w:rsidRPr="00E45670">
        <w:rPr>
          <w:lang w:val="fr-FR"/>
        </w:rPr>
        <w:t>7.</w:t>
      </w:r>
      <w:r w:rsidRPr="00E45670">
        <w:rPr>
          <w:lang w:val="fr-FR"/>
        </w:rPr>
        <w:tab/>
        <w:t>Le Sous-Comité a adopté l</w:t>
      </w:r>
      <w:r w:rsidR="00295FAB">
        <w:rPr>
          <w:lang w:val="fr-FR"/>
        </w:rPr>
        <w:t>’</w:t>
      </w:r>
      <w:r w:rsidRPr="00E45670">
        <w:rPr>
          <w:lang w:val="fr-FR"/>
        </w:rPr>
        <w:t>ordre du jour provisoire établi par le secrétariat après l</w:t>
      </w:r>
      <w:r w:rsidR="00295FAB">
        <w:rPr>
          <w:lang w:val="fr-FR"/>
        </w:rPr>
        <w:t>’</w:t>
      </w:r>
      <w:r w:rsidRPr="00E45670">
        <w:rPr>
          <w:lang w:val="fr-FR"/>
        </w:rPr>
        <w:t>avoir modifié pour tenir compte des documents informels et du retrait du document ST/SG/AC.10/C.3/2017/24 par l</w:t>
      </w:r>
      <w:r w:rsidR="00295FAB">
        <w:rPr>
          <w:lang w:val="fr-FR"/>
        </w:rPr>
        <w:t>’</w:t>
      </w:r>
      <w:r w:rsidRPr="00E45670">
        <w:rPr>
          <w:lang w:val="fr-FR"/>
        </w:rPr>
        <w:t>IATA.</w:t>
      </w:r>
    </w:p>
    <w:p w:rsidR="00E45670" w:rsidRPr="00E45670" w:rsidRDefault="00E45670" w:rsidP="00E45670">
      <w:pPr>
        <w:pStyle w:val="SingleTxtG"/>
        <w:rPr>
          <w:lang w:val="fr-FR"/>
        </w:rPr>
      </w:pPr>
      <w:r w:rsidRPr="00E45670">
        <w:rPr>
          <w:lang w:val="fr-FR"/>
        </w:rPr>
        <w:t>8.</w:t>
      </w:r>
      <w:r w:rsidRPr="00E45670">
        <w:rPr>
          <w:lang w:val="fr-FR"/>
        </w:rPr>
        <w:tab/>
        <w:t>Le Sous-Comité a été informé que la résolution préparée par le Comité à sa huitième session (ST/SG/AC.10/44, annexe IV) avait été adoptée en l</w:t>
      </w:r>
      <w:r w:rsidR="00295FAB">
        <w:rPr>
          <w:lang w:val="fr-FR"/>
        </w:rPr>
        <w:t>’</w:t>
      </w:r>
      <w:r w:rsidRPr="00E45670">
        <w:rPr>
          <w:lang w:val="fr-FR"/>
        </w:rPr>
        <w:t>état par le Conseil économique et social le 8</w:t>
      </w:r>
      <w:r w:rsidR="00885A0C">
        <w:rPr>
          <w:lang w:val="fr-FR"/>
        </w:rPr>
        <w:t> </w:t>
      </w:r>
      <w:r w:rsidRPr="00E45670">
        <w:rPr>
          <w:lang w:val="fr-FR"/>
        </w:rPr>
        <w:t>juin 2017, mais qu</w:t>
      </w:r>
      <w:r w:rsidR="00295FAB">
        <w:rPr>
          <w:lang w:val="fr-FR"/>
        </w:rPr>
        <w:t>’</w:t>
      </w:r>
      <w:r w:rsidRPr="00E45670">
        <w:rPr>
          <w:lang w:val="fr-FR"/>
        </w:rPr>
        <w:t>un numéro de série ne lui avait pas encore été attribué. Par ailleurs le Secrétariat avait déjà publié les versions papier anglaises et françaises de la vingtième édition révisée des Recommandations relatives au transport des marchandises dangereuses, Règlement type, et de la septième édition révisée du Système général harmonisé de classification et d</w:t>
      </w:r>
      <w:r w:rsidR="00295FAB">
        <w:rPr>
          <w:lang w:val="fr-FR"/>
        </w:rPr>
        <w:t>’</w:t>
      </w:r>
      <w:r w:rsidRPr="00E45670">
        <w:rPr>
          <w:lang w:val="fr-FR"/>
        </w:rPr>
        <w:t>étiquetage des produits chimiques (SGH).</w:t>
      </w:r>
    </w:p>
    <w:p w:rsidR="00E45670" w:rsidRPr="00E45670" w:rsidRDefault="00885A0C" w:rsidP="00885A0C">
      <w:pPr>
        <w:pStyle w:val="HChG"/>
        <w:rPr>
          <w:lang w:val="fr-FR"/>
        </w:rPr>
      </w:pPr>
      <w:r>
        <w:rPr>
          <w:lang w:val="fr-FR"/>
        </w:rPr>
        <w:tab/>
      </w:r>
      <w:r w:rsidR="00E45670" w:rsidRPr="00E45670">
        <w:rPr>
          <w:lang w:val="fr-FR"/>
        </w:rPr>
        <w:t>III.</w:t>
      </w:r>
      <w:r w:rsidR="00E45670" w:rsidRPr="00E45670">
        <w:rPr>
          <w:lang w:val="fr-FR"/>
        </w:rPr>
        <w:tab/>
        <w:t>Explosifs et questions connexes (point 2 de l</w:t>
      </w:r>
      <w:r w:rsidR="00295FAB">
        <w:rPr>
          <w:lang w:val="fr-FR"/>
        </w:rPr>
        <w:t>’</w:t>
      </w:r>
      <w:r w:rsidR="00E45670" w:rsidRPr="00E45670">
        <w:rPr>
          <w:lang w:val="fr-FR"/>
        </w:rPr>
        <w:t>ordre du jour)</w:t>
      </w:r>
    </w:p>
    <w:p w:rsidR="00E45670" w:rsidRPr="00E45670" w:rsidRDefault="00E45670" w:rsidP="00E45670">
      <w:pPr>
        <w:pStyle w:val="SingleTxtG"/>
        <w:rPr>
          <w:lang w:val="fr-FR"/>
        </w:rPr>
      </w:pPr>
      <w:r w:rsidRPr="00E45670">
        <w:rPr>
          <w:lang w:val="fr-FR"/>
        </w:rPr>
        <w:t>9.</w:t>
      </w:r>
      <w:r w:rsidRPr="00E45670">
        <w:rPr>
          <w:lang w:val="fr-FR"/>
        </w:rPr>
        <w:tab/>
        <w:t>Après un examen préliminaire en séance plénière, la plupart des questions relatives à ce point de l</w:t>
      </w:r>
      <w:r w:rsidR="00295FAB">
        <w:rPr>
          <w:lang w:val="fr-FR"/>
        </w:rPr>
        <w:t>’</w:t>
      </w:r>
      <w:r w:rsidRPr="00E45670">
        <w:rPr>
          <w:lang w:val="fr-FR"/>
        </w:rPr>
        <w:t>ordre du jour ont été renvoyées au Groupe de travail des explosifs, qui s</w:t>
      </w:r>
      <w:r w:rsidR="00295FAB">
        <w:rPr>
          <w:lang w:val="fr-FR"/>
        </w:rPr>
        <w:t>’</w:t>
      </w:r>
      <w:r w:rsidRPr="00E45670">
        <w:rPr>
          <w:lang w:val="fr-FR"/>
        </w:rPr>
        <w:t>est réuni du 3 au 6</w:t>
      </w:r>
      <w:r w:rsidR="00885A0C">
        <w:rPr>
          <w:lang w:val="fr-FR"/>
        </w:rPr>
        <w:t> </w:t>
      </w:r>
      <w:r w:rsidRPr="00E45670">
        <w:rPr>
          <w:lang w:val="fr-FR"/>
        </w:rPr>
        <w:t>juillet 2017, sous la présidence de M.</w:t>
      </w:r>
      <w:r w:rsidR="00885A0C">
        <w:rPr>
          <w:lang w:val="fr-FR"/>
        </w:rPr>
        <w:t> </w:t>
      </w:r>
      <w:r w:rsidRPr="00E45670">
        <w:rPr>
          <w:lang w:val="fr-FR"/>
        </w:rPr>
        <w:t>E. de Jong (Pays-Bas).</w:t>
      </w:r>
    </w:p>
    <w:p w:rsidR="00E45670" w:rsidRPr="00E45670" w:rsidRDefault="00E45670" w:rsidP="00E45670">
      <w:pPr>
        <w:pStyle w:val="SingleTxtG"/>
        <w:rPr>
          <w:lang w:val="fr-FR"/>
        </w:rPr>
      </w:pPr>
      <w:r w:rsidRPr="00E45670">
        <w:rPr>
          <w:lang w:val="fr-FR"/>
        </w:rPr>
        <w:t>10.</w:t>
      </w:r>
      <w:r w:rsidRPr="00E45670">
        <w:rPr>
          <w:lang w:val="fr-FR"/>
        </w:rPr>
        <w:tab/>
        <w:t>De même les documents informels INF.7 et Add.1 et 2 relatifs à l</w:t>
      </w:r>
      <w:r w:rsidR="00295FAB">
        <w:rPr>
          <w:lang w:val="fr-FR"/>
        </w:rPr>
        <w:t>’</w:t>
      </w:r>
      <w:r w:rsidRPr="00E45670">
        <w:rPr>
          <w:lang w:val="fr-FR"/>
        </w:rPr>
        <w:t>utilisation du Manuel d</w:t>
      </w:r>
      <w:r w:rsidR="00295FAB">
        <w:rPr>
          <w:lang w:val="fr-FR"/>
        </w:rPr>
        <w:t>’</w:t>
      </w:r>
      <w:r w:rsidRPr="00E45670">
        <w:rPr>
          <w:lang w:val="fr-FR"/>
        </w:rPr>
        <w:t>épreuves et de critères dans le contexte du SGH figurant sous le point 10 ont été renvoyés au Groupe de travail des explosifs.</w:t>
      </w:r>
    </w:p>
    <w:p w:rsidR="00E45670" w:rsidRPr="00E45670" w:rsidRDefault="00E45670" w:rsidP="00E45670">
      <w:pPr>
        <w:pStyle w:val="SingleTxtG"/>
        <w:rPr>
          <w:lang w:val="fr-FR"/>
        </w:rPr>
      </w:pPr>
      <w:r w:rsidRPr="00E45670">
        <w:rPr>
          <w:lang w:val="fr-FR"/>
        </w:rPr>
        <w:t>11.</w:t>
      </w:r>
      <w:r w:rsidRPr="00E45670">
        <w:rPr>
          <w:lang w:val="fr-FR"/>
        </w:rPr>
        <w:tab/>
        <w:t>Les documents relatifs aux épreuves pour les matières comburantes (ST/SG/AC.10/</w:t>
      </w:r>
      <w:r w:rsidR="00885A0C">
        <w:rPr>
          <w:lang w:val="fr-FR"/>
        </w:rPr>
        <w:t xml:space="preserve"> </w:t>
      </w:r>
      <w:r w:rsidRPr="00E45670">
        <w:rPr>
          <w:lang w:val="fr-FR"/>
        </w:rPr>
        <w:t xml:space="preserve">C.3/2017/28 et document informel INF.12) soumis par </w:t>
      </w:r>
      <w:r w:rsidR="005636D6">
        <w:rPr>
          <w:lang w:val="fr-FR"/>
        </w:rPr>
        <w:t xml:space="preserve">la </w:t>
      </w:r>
      <w:r w:rsidRPr="00E45670">
        <w:rPr>
          <w:lang w:val="fr-FR"/>
        </w:rPr>
        <w:t>France au titre du point 10</w:t>
      </w:r>
      <w:r w:rsidR="00885A0C">
        <w:rPr>
          <w:lang w:val="fr-FR"/>
        </w:rPr>
        <w:t> </w:t>
      </w:r>
      <w:r w:rsidRPr="00E45670">
        <w:rPr>
          <w:lang w:val="fr-FR"/>
        </w:rPr>
        <w:t>b) ont également été transmis au Groupe de travail pour observations éventuelles.</w:t>
      </w:r>
    </w:p>
    <w:p w:rsidR="00E45670" w:rsidRPr="00E45670" w:rsidRDefault="00E45670" w:rsidP="00E45670">
      <w:pPr>
        <w:pStyle w:val="SingleTxtG"/>
        <w:rPr>
          <w:lang w:val="fr-FR"/>
        </w:rPr>
      </w:pPr>
      <w:r w:rsidRPr="00E45670">
        <w:rPr>
          <w:lang w:val="fr-FR"/>
        </w:rPr>
        <w:t>12.</w:t>
      </w:r>
      <w:r w:rsidRPr="00E45670">
        <w:rPr>
          <w:lang w:val="fr-FR"/>
        </w:rPr>
        <w:tab/>
        <w:t>Certaines délégations ayant exprimé des doutes sur l</w:t>
      </w:r>
      <w:r w:rsidR="00295FAB">
        <w:rPr>
          <w:lang w:val="fr-FR"/>
        </w:rPr>
        <w:t>’</w:t>
      </w:r>
      <w:r w:rsidRPr="00E45670">
        <w:rPr>
          <w:lang w:val="fr-FR"/>
        </w:rPr>
        <w:t>opportunité d</w:t>
      </w:r>
      <w:r w:rsidR="00295FAB">
        <w:rPr>
          <w:lang w:val="fr-FR"/>
        </w:rPr>
        <w:t>’</w:t>
      </w:r>
      <w:r w:rsidRPr="00E45670">
        <w:rPr>
          <w:lang w:val="fr-FR"/>
        </w:rPr>
        <w:t>examiner les recommandations formulées dans un document informel (INF.19) par l</w:t>
      </w:r>
      <w:r w:rsidR="00295FAB">
        <w:rPr>
          <w:lang w:val="fr-FR"/>
        </w:rPr>
        <w:t>’</w:t>
      </w:r>
      <w:r w:rsidRPr="00E45670">
        <w:rPr>
          <w:lang w:val="fr-FR"/>
        </w:rPr>
        <w:t>IME et relatives à l</w:t>
      </w:r>
      <w:r w:rsidR="00295FAB">
        <w:rPr>
          <w:lang w:val="fr-FR"/>
        </w:rPr>
        <w:t>’</w:t>
      </w:r>
      <w:r w:rsidRPr="00E45670">
        <w:rPr>
          <w:lang w:val="fr-FR"/>
        </w:rPr>
        <w:t>amélioration de l</w:t>
      </w:r>
      <w:r w:rsidR="00295FAB">
        <w:rPr>
          <w:lang w:val="fr-FR"/>
        </w:rPr>
        <w:t>’</w:t>
      </w:r>
      <w:r w:rsidRPr="00E45670">
        <w:rPr>
          <w:lang w:val="fr-FR"/>
        </w:rPr>
        <w:t>épreuve Koenen de la série 8</w:t>
      </w:r>
      <w:r w:rsidR="00885A0C">
        <w:rPr>
          <w:lang w:val="fr-FR"/>
        </w:rPr>
        <w:t> </w:t>
      </w:r>
      <w:r w:rsidRPr="00E45670">
        <w:rPr>
          <w:lang w:val="fr-FR"/>
        </w:rPr>
        <w:t xml:space="preserve">c) </w:t>
      </w:r>
      <w:r w:rsidR="005636D6">
        <w:rPr>
          <w:lang w:val="fr-FR"/>
        </w:rPr>
        <w:t>au titre du</w:t>
      </w:r>
      <w:r w:rsidRPr="00E45670">
        <w:rPr>
          <w:lang w:val="fr-FR"/>
        </w:rPr>
        <w:t xml:space="preserve"> point 2</w:t>
      </w:r>
      <w:r w:rsidR="00885A0C">
        <w:rPr>
          <w:lang w:val="fr-FR"/>
        </w:rPr>
        <w:t> </w:t>
      </w:r>
      <w:r w:rsidRPr="00E45670">
        <w:rPr>
          <w:lang w:val="fr-FR"/>
        </w:rPr>
        <w:t>b), le Groupe de travail a été prié de n</w:t>
      </w:r>
      <w:r w:rsidR="00295FAB">
        <w:rPr>
          <w:lang w:val="fr-FR"/>
        </w:rPr>
        <w:t>’</w:t>
      </w:r>
      <w:r w:rsidRPr="00E45670">
        <w:rPr>
          <w:lang w:val="fr-FR"/>
        </w:rPr>
        <w:t>examiner ce document que si le temps le lui permet.</w:t>
      </w:r>
    </w:p>
    <w:p w:rsidR="00E45670" w:rsidRPr="00E45670" w:rsidRDefault="00E45670" w:rsidP="00E45670">
      <w:pPr>
        <w:pStyle w:val="SingleTxtG"/>
        <w:rPr>
          <w:lang w:val="fr-FR"/>
        </w:rPr>
      </w:pPr>
      <w:r w:rsidRPr="00E45670">
        <w:rPr>
          <w:lang w:val="fr-FR"/>
        </w:rPr>
        <w:t>13.</w:t>
      </w:r>
      <w:r w:rsidRPr="00E45670">
        <w:rPr>
          <w:lang w:val="fr-FR"/>
        </w:rPr>
        <w:tab/>
        <w:t>La plupart des experts ont exprimé leur opposition à introduire des dispositions permettant le transport d</w:t>
      </w:r>
      <w:r w:rsidR="00295FAB">
        <w:rPr>
          <w:lang w:val="fr-FR"/>
        </w:rPr>
        <w:t>’</w:t>
      </w:r>
      <w:r w:rsidRPr="00E45670">
        <w:rPr>
          <w:lang w:val="fr-FR"/>
        </w:rPr>
        <w:t>artifices de divertissement sous un régime d</w:t>
      </w:r>
      <w:r w:rsidR="00295FAB">
        <w:rPr>
          <w:lang w:val="fr-FR"/>
        </w:rPr>
        <w:t>’</w:t>
      </w:r>
      <w:r w:rsidRPr="00E45670">
        <w:rPr>
          <w:lang w:val="fr-FR"/>
        </w:rPr>
        <w:t>exemption comme proposé par l</w:t>
      </w:r>
      <w:r w:rsidR="00295FAB">
        <w:rPr>
          <w:lang w:val="fr-FR"/>
        </w:rPr>
        <w:t>’</w:t>
      </w:r>
      <w:r w:rsidRPr="00E45670">
        <w:rPr>
          <w:lang w:val="fr-FR"/>
        </w:rPr>
        <w:t>expert de la Suisse sous le point 3</w:t>
      </w:r>
      <w:r w:rsidR="00885A0C">
        <w:rPr>
          <w:lang w:val="fr-FR"/>
        </w:rPr>
        <w:t> </w:t>
      </w:r>
      <w:r w:rsidRPr="00E45670">
        <w:rPr>
          <w:lang w:val="fr-FR"/>
        </w:rPr>
        <w:t>j) (document ST/SG/AC.10/C.3/2017/23 et document informel INF.34). Toutefois il a été reconnu qu</w:t>
      </w:r>
      <w:r w:rsidR="00295FAB">
        <w:rPr>
          <w:lang w:val="fr-FR"/>
        </w:rPr>
        <w:t>’</w:t>
      </w:r>
      <w:r w:rsidRPr="00E45670">
        <w:rPr>
          <w:lang w:val="fr-FR"/>
        </w:rPr>
        <w:t>il existe un problème avec le transport de marchandi</w:t>
      </w:r>
      <w:r w:rsidR="005636D6">
        <w:rPr>
          <w:lang w:val="fr-FR"/>
        </w:rPr>
        <w:t>ses dangereuses commandées par I</w:t>
      </w:r>
      <w:r w:rsidRPr="00E45670">
        <w:rPr>
          <w:lang w:val="fr-FR"/>
        </w:rPr>
        <w:t>nternet et qu</w:t>
      </w:r>
      <w:r w:rsidR="00295FAB">
        <w:rPr>
          <w:lang w:val="fr-FR"/>
        </w:rPr>
        <w:t>’</w:t>
      </w:r>
      <w:r w:rsidRPr="00E45670">
        <w:rPr>
          <w:lang w:val="fr-FR"/>
        </w:rPr>
        <w:t>il conviendrait de s</w:t>
      </w:r>
      <w:r w:rsidR="00295FAB">
        <w:rPr>
          <w:lang w:val="fr-FR"/>
        </w:rPr>
        <w:t>’</w:t>
      </w:r>
      <w:r w:rsidRPr="00E45670">
        <w:rPr>
          <w:lang w:val="fr-FR"/>
        </w:rPr>
        <w:t>attacher à le résoudre de manière générale à l</w:t>
      </w:r>
      <w:r w:rsidR="00295FAB">
        <w:rPr>
          <w:lang w:val="fr-FR"/>
        </w:rPr>
        <w:t>’</w:t>
      </w:r>
      <w:r w:rsidRPr="00E45670">
        <w:rPr>
          <w:lang w:val="fr-FR"/>
        </w:rPr>
        <w:t>avenir. Le Groupe de travail a donc été prié d</w:t>
      </w:r>
      <w:r w:rsidR="00295FAB">
        <w:rPr>
          <w:lang w:val="fr-FR"/>
        </w:rPr>
        <w:t>’</w:t>
      </w:r>
      <w:r w:rsidRPr="00E45670">
        <w:rPr>
          <w:lang w:val="fr-FR"/>
        </w:rPr>
        <w:t>examiner également ces documents pour avis préliminaire.</w:t>
      </w:r>
    </w:p>
    <w:p w:rsidR="00E45670" w:rsidRPr="00E45670" w:rsidRDefault="00E45670" w:rsidP="00E45670">
      <w:pPr>
        <w:pStyle w:val="SingleTxtG"/>
        <w:rPr>
          <w:lang w:val="fr-FR"/>
        </w:rPr>
      </w:pPr>
      <w:r w:rsidRPr="00E45670">
        <w:rPr>
          <w:lang w:val="fr-FR"/>
        </w:rPr>
        <w:t>14.</w:t>
      </w:r>
      <w:r w:rsidRPr="00E45670">
        <w:rPr>
          <w:lang w:val="fr-FR"/>
        </w:rPr>
        <w:tab/>
        <w:t>Le Sous-Comité a accepté que le document informel INF.15 relatif à la révision du chapitre 2.1 du SGH, au titre du point 2 i) de l</w:t>
      </w:r>
      <w:r w:rsidR="00295FAB">
        <w:rPr>
          <w:lang w:val="fr-FR"/>
        </w:rPr>
        <w:t>’</w:t>
      </w:r>
      <w:r w:rsidRPr="00E45670">
        <w:rPr>
          <w:lang w:val="fr-FR"/>
        </w:rPr>
        <w:t>ordre du jour, soit examiné par un groupe séparé.</w:t>
      </w:r>
    </w:p>
    <w:p w:rsidR="00E45670" w:rsidRPr="00E45670" w:rsidRDefault="00E45670" w:rsidP="00885A0C">
      <w:pPr>
        <w:pStyle w:val="H23G"/>
        <w:rPr>
          <w:lang w:val="fr-FR"/>
        </w:rPr>
      </w:pPr>
      <w:r w:rsidRPr="00E45670">
        <w:rPr>
          <w:lang w:val="fr-FR"/>
        </w:rPr>
        <w:tab/>
      </w:r>
      <w:r w:rsidRPr="00E45670">
        <w:rPr>
          <w:lang w:val="fr-FR"/>
        </w:rPr>
        <w:tab/>
        <w:t>Rapport du Groupe de travail des explosifs</w:t>
      </w:r>
    </w:p>
    <w:p w:rsidR="00E45670" w:rsidRPr="00E45670" w:rsidRDefault="00E45670" w:rsidP="00885A0C">
      <w:pPr>
        <w:pStyle w:val="SingleTxtG"/>
        <w:ind w:left="3119" w:hanging="1985"/>
        <w:rPr>
          <w:lang w:val="fr-FR"/>
        </w:rPr>
      </w:pPr>
      <w:r w:rsidRPr="00885A0C">
        <w:rPr>
          <w:i/>
          <w:lang w:val="fr-FR"/>
        </w:rPr>
        <w:t>Document informel</w:t>
      </w:r>
      <w:r w:rsidR="00885A0C">
        <w:rPr>
          <w:lang w:val="fr-FR"/>
        </w:rPr>
        <w:t> :</w:t>
      </w:r>
      <w:r w:rsidR="00885A0C">
        <w:rPr>
          <w:lang w:val="fr-FR"/>
        </w:rPr>
        <w:tab/>
      </w:r>
      <w:r w:rsidRPr="00E45670">
        <w:rPr>
          <w:lang w:val="fr-FR"/>
        </w:rPr>
        <w:t>INF.38 (Président du Groupe de travail)</w:t>
      </w:r>
      <w:r w:rsidR="00006831">
        <w:rPr>
          <w:lang w:val="fr-FR"/>
        </w:rPr>
        <w:t>.</w:t>
      </w:r>
    </w:p>
    <w:p w:rsidR="00E45670" w:rsidRPr="00E45670" w:rsidRDefault="00E45670" w:rsidP="00E45670">
      <w:pPr>
        <w:pStyle w:val="SingleTxtG"/>
        <w:rPr>
          <w:lang w:val="fr-FR"/>
        </w:rPr>
      </w:pPr>
      <w:r w:rsidRPr="00E45670">
        <w:rPr>
          <w:lang w:val="fr-FR"/>
        </w:rPr>
        <w:t>15.</w:t>
      </w:r>
      <w:r w:rsidRPr="00E45670">
        <w:rPr>
          <w:lang w:val="fr-FR"/>
        </w:rPr>
        <w:tab/>
        <w:t>Ayant examiné le rapport du Groupe de travail des explosifs et entendu les</w:t>
      </w:r>
      <w:r w:rsidR="005636D6">
        <w:rPr>
          <w:lang w:val="fr-FR"/>
        </w:rPr>
        <w:t xml:space="preserve"> explications fournies par son p</w:t>
      </w:r>
      <w:r w:rsidRPr="00E45670">
        <w:rPr>
          <w:lang w:val="fr-FR"/>
        </w:rPr>
        <w:t>résident, le Sous-Comité est parvenu aux conclusions ci</w:t>
      </w:r>
      <w:r w:rsidR="005636D6">
        <w:rPr>
          <w:lang w:val="fr-FR"/>
        </w:rPr>
        <w:noBreakHyphen/>
      </w:r>
      <w:r w:rsidRPr="00E45670">
        <w:rPr>
          <w:lang w:val="fr-FR"/>
        </w:rPr>
        <w:t>après pour chaque question à l</w:t>
      </w:r>
      <w:r w:rsidR="00295FAB">
        <w:rPr>
          <w:lang w:val="fr-FR"/>
        </w:rPr>
        <w:t>’</w:t>
      </w:r>
      <w:r w:rsidRPr="00E45670">
        <w:rPr>
          <w:lang w:val="fr-FR"/>
        </w:rPr>
        <w:t>examen au titre du point 2 de l</w:t>
      </w:r>
      <w:r w:rsidR="00295FAB">
        <w:rPr>
          <w:lang w:val="fr-FR"/>
        </w:rPr>
        <w:t>’</w:t>
      </w:r>
      <w:r w:rsidRPr="00E45670">
        <w:rPr>
          <w:lang w:val="fr-FR"/>
        </w:rPr>
        <w:t>ordre du jour.</w:t>
      </w:r>
    </w:p>
    <w:p w:rsidR="00E45670" w:rsidRPr="00E45670" w:rsidRDefault="00885A0C" w:rsidP="00885A0C">
      <w:pPr>
        <w:pStyle w:val="H1G"/>
        <w:rPr>
          <w:lang w:val="fr-FR"/>
        </w:rPr>
      </w:pPr>
      <w:r>
        <w:rPr>
          <w:lang w:val="fr-FR"/>
        </w:rPr>
        <w:tab/>
      </w:r>
      <w:r w:rsidR="00E45670" w:rsidRPr="00E45670">
        <w:rPr>
          <w:lang w:val="fr-FR"/>
        </w:rPr>
        <w:t>A.</w:t>
      </w:r>
      <w:r w:rsidR="00E45670" w:rsidRPr="00E45670">
        <w:rPr>
          <w:lang w:val="fr-FR"/>
        </w:rPr>
        <w:tab/>
        <w:t xml:space="preserve">Révision des épreuves de la série 6 </w:t>
      </w:r>
    </w:p>
    <w:p w:rsidR="00E45670" w:rsidRPr="00E45670" w:rsidRDefault="00E45670" w:rsidP="00885A0C">
      <w:pPr>
        <w:pStyle w:val="SingleTxtG"/>
        <w:rPr>
          <w:lang w:val="fr-FR"/>
        </w:rPr>
      </w:pPr>
      <w:r w:rsidRPr="00E45670">
        <w:rPr>
          <w:lang w:val="fr-FR"/>
        </w:rPr>
        <w:t>16.</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 xml:space="preserve">a pas été </w:t>
      </w:r>
      <w:r w:rsidRPr="00885A0C">
        <w:t>examinée</w:t>
      </w:r>
      <w:r w:rsidRPr="00E45670">
        <w:rPr>
          <w:lang w:val="fr-FR"/>
        </w:rPr>
        <w:t>.</w:t>
      </w:r>
    </w:p>
    <w:p w:rsidR="00E45670" w:rsidRPr="00E45670" w:rsidRDefault="00885A0C" w:rsidP="00885A0C">
      <w:pPr>
        <w:pStyle w:val="H1G"/>
        <w:rPr>
          <w:lang w:val="fr-FR"/>
        </w:rPr>
      </w:pPr>
      <w:r>
        <w:rPr>
          <w:lang w:val="fr-FR"/>
        </w:rPr>
        <w:tab/>
      </w:r>
      <w:r w:rsidR="00E45670" w:rsidRPr="00E45670">
        <w:rPr>
          <w:lang w:val="fr-FR"/>
        </w:rPr>
        <w:t>B.</w:t>
      </w:r>
      <w:r w:rsidR="00E45670" w:rsidRPr="00E45670">
        <w:rPr>
          <w:lang w:val="fr-FR"/>
        </w:rPr>
        <w:tab/>
        <w:t>Révision des épreuves des parties I, II et III du Manuel d</w:t>
      </w:r>
      <w:r w:rsidR="00295FAB">
        <w:rPr>
          <w:lang w:val="fr-FR"/>
        </w:rPr>
        <w:t>’</w:t>
      </w:r>
      <w:r w:rsidR="00E45670" w:rsidRPr="00E45670">
        <w:rPr>
          <w:lang w:val="fr-FR"/>
        </w:rPr>
        <w:t xml:space="preserve">épreuves </w:t>
      </w:r>
      <w:r>
        <w:rPr>
          <w:lang w:val="fr-FR"/>
        </w:rPr>
        <w:br/>
      </w:r>
      <w:r w:rsidR="00E45670" w:rsidRPr="00E45670">
        <w:rPr>
          <w:lang w:val="fr-FR"/>
        </w:rPr>
        <w:t>et de critères</w:t>
      </w:r>
    </w:p>
    <w:p w:rsidR="00E45670" w:rsidRPr="00E45670" w:rsidRDefault="00885A0C" w:rsidP="00885A0C">
      <w:pPr>
        <w:pStyle w:val="H23G"/>
        <w:rPr>
          <w:lang w:val="fr-FR"/>
        </w:rPr>
      </w:pPr>
      <w:r>
        <w:rPr>
          <w:lang w:val="fr-FR"/>
        </w:rPr>
        <w:tab/>
      </w:r>
      <w:r w:rsidR="00E45670" w:rsidRPr="00E45670">
        <w:rPr>
          <w:lang w:val="fr-FR"/>
        </w:rPr>
        <w:t>1.</w:t>
      </w:r>
      <w:r w:rsidR="00E45670" w:rsidRPr="00E45670">
        <w:rPr>
          <w:lang w:val="fr-FR"/>
        </w:rPr>
        <w:tab/>
        <w:t>Modification de la section 10.3.3.4 du Manuel d</w:t>
      </w:r>
      <w:r w:rsidR="00295FAB">
        <w:rPr>
          <w:lang w:val="fr-FR"/>
        </w:rPr>
        <w:t>’</w:t>
      </w:r>
      <w:r w:rsidR="00E45670" w:rsidRPr="00E45670">
        <w:rPr>
          <w:lang w:val="fr-FR"/>
        </w:rPr>
        <w:t xml:space="preserve">épreuves et de critères </w:t>
      </w:r>
    </w:p>
    <w:p w:rsidR="00E45670" w:rsidRPr="00E45670" w:rsidRDefault="00E45670" w:rsidP="00885A0C">
      <w:pPr>
        <w:pStyle w:val="SingleTxtG"/>
        <w:ind w:left="3119" w:hanging="1985"/>
        <w:rPr>
          <w:i/>
          <w:iCs/>
          <w:lang w:val="fr-FR"/>
        </w:rPr>
      </w:pPr>
      <w:r w:rsidRPr="00885A0C">
        <w:rPr>
          <w:i/>
          <w:lang w:val="fr-FR"/>
        </w:rPr>
        <w:t>Document informel</w:t>
      </w:r>
      <w:r w:rsidR="00295FAB">
        <w:rPr>
          <w:lang w:val="fr-FR"/>
        </w:rPr>
        <w:t> </w:t>
      </w:r>
      <w:r w:rsidRPr="00E45670">
        <w:rPr>
          <w:lang w:val="fr-FR"/>
        </w:rPr>
        <w:t xml:space="preserve">: </w:t>
      </w:r>
      <w:r w:rsidRPr="00E45670">
        <w:rPr>
          <w:lang w:val="fr-FR"/>
        </w:rPr>
        <w:tab/>
      </w:r>
      <w:r w:rsidRPr="00E45670">
        <w:rPr>
          <w:lang w:val="fr-FR"/>
        </w:rPr>
        <w:tab/>
        <w:t>INF.6 (Suède)</w:t>
      </w:r>
      <w:r w:rsidR="00006831">
        <w:rPr>
          <w:lang w:val="fr-FR"/>
        </w:rPr>
        <w:t>.</w:t>
      </w:r>
    </w:p>
    <w:p w:rsidR="00E45670" w:rsidRPr="00E45670" w:rsidRDefault="00E45670" w:rsidP="00E45670">
      <w:pPr>
        <w:pStyle w:val="SingleTxtG"/>
        <w:rPr>
          <w:lang w:val="fr-FR"/>
        </w:rPr>
      </w:pPr>
      <w:r w:rsidRPr="00E45670">
        <w:rPr>
          <w:lang w:val="fr-FR"/>
        </w:rPr>
        <w:t>17.</w:t>
      </w:r>
      <w:r w:rsidRPr="00E45670">
        <w:rPr>
          <w:lang w:val="fr-FR"/>
        </w:rPr>
        <w:tab/>
        <w:t>Le Sous-Comité a noté que les révisions suggérées par la Suède visaient à empêcher toute interprétation erronée de la section 10.3.3.4 du Manuel, eu égard aux modifications apportées aux</w:t>
      </w:r>
      <w:r w:rsidR="00006831">
        <w:rPr>
          <w:lang w:val="fr-FR"/>
        </w:rPr>
        <w:t xml:space="preserve"> sections 10.3.3.2 et 10.3.3.3.</w:t>
      </w:r>
    </w:p>
    <w:p w:rsidR="00E45670" w:rsidRPr="00E45670" w:rsidRDefault="00E45670" w:rsidP="00E45670">
      <w:pPr>
        <w:pStyle w:val="SingleTxtG"/>
        <w:rPr>
          <w:lang w:val="fr-FR"/>
        </w:rPr>
      </w:pPr>
      <w:r w:rsidRPr="00E45670">
        <w:rPr>
          <w:lang w:val="fr-FR"/>
        </w:rPr>
        <w:t>18.</w:t>
      </w:r>
      <w:r w:rsidRPr="00E45670">
        <w:rPr>
          <w:lang w:val="fr-FR"/>
        </w:rPr>
        <w:tab/>
        <w:t>Le Sous-Comité a décidé que les amendements proposés par le Groupe de travail pourraient être inclus dans le nouveau document qui serait établi concernant l</w:t>
      </w:r>
      <w:r w:rsidR="00295FAB">
        <w:rPr>
          <w:lang w:val="fr-FR"/>
        </w:rPr>
        <w:t>’</w:t>
      </w:r>
      <w:r w:rsidRPr="00E45670">
        <w:rPr>
          <w:lang w:val="fr-FR"/>
        </w:rPr>
        <w:t>utilisation du Manuel dans le contexte du SGH (voir par.</w:t>
      </w:r>
      <w:r w:rsidR="00006831">
        <w:rPr>
          <w:lang w:val="fr-FR"/>
        </w:rPr>
        <w:t> </w:t>
      </w:r>
      <w:r w:rsidRPr="00E45670">
        <w:rPr>
          <w:lang w:val="fr-FR"/>
        </w:rPr>
        <w:t>96).</w:t>
      </w:r>
    </w:p>
    <w:p w:rsidR="00E45670" w:rsidRPr="00E45670" w:rsidRDefault="00006831" w:rsidP="00006831">
      <w:pPr>
        <w:pStyle w:val="H23G"/>
        <w:rPr>
          <w:lang w:val="fr-FR"/>
        </w:rPr>
      </w:pPr>
      <w:r>
        <w:rPr>
          <w:lang w:val="fr-FR"/>
        </w:rPr>
        <w:tab/>
      </w:r>
      <w:r w:rsidR="00E45670" w:rsidRPr="00E45670">
        <w:rPr>
          <w:lang w:val="fr-FR"/>
        </w:rPr>
        <w:t>2.</w:t>
      </w:r>
      <w:r w:rsidR="00E45670" w:rsidRPr="00E45670">
        <w:rPr>
          <w:lang w:val="fr-FR"/>
        </w:rPr>
        <w:tab/>
        <w:t>Amélioration de l</w:t>
      </w:r>
      <w:r w:rsidR="00295FAB">
        <w:rPr>
          <w:lang w:val="fr-FR"/>
        </w:rPr>
        <w:t>’</w:t>
      </w:r>
      <w:r w:rsidR="00E45670" w:rsidRPr="00E45670">
        <w:rPr>
          <w:lang w:val="fr-FR"/>
        </w:rPr>
        <w:t>épreuve de Koenen 8 c)</w:t>
      </w:r>
    </w:p>
    <w:p w:rsidR="00E45670" w:rsidRPr="00E45670" w:rsidRDefault="00E45670" w:rsidP="00885A0C">
      <w:pPr>
        <w:pStyle w:val="SingleTxtG"/>
        <w:ind w:left="3119" w:hanging="1985"/>
        <w:rPr>
          <w:iCs/>
          <w:lang w:val="fr-FR"/>
        </w:rPr>
      </w:pPr>
      <w:r w:rsidRPr="00295FAB">
        <w:rPr>
          <w:i/>
          <w:lang w:val="fr-FR"/>
        </w:rPr>
        <w:t>Document informel</w:t>
      </w:r>
      <w:r w:rsidR="00295FAB">
        <w:rPr>
          <w:lang w:val="fr-FR"/>
        </w:rPr>
        <w:t> </w:t>
      </w:r>
      <w:r w:rsidRPr="00E45670">
        <w:rPr>
          <w:lang w:val="fr-FR"/>
        </w:rPr>
        <w:t xml:space="preserve">: </w:t>
      </w:r>
      <w:r w:rsidRPr="00E45670">
        <w:rPr>
          <w:lang w:val="fr-FR"/>
        </w:rPr>
        <w:tab/>
        <w:t>INF.19 (IME)</w:t>
      </w:r>
    </w:p>
    <w:p w:rsidR="00E45670" w:rsidRPr="00E45670" w:rsidRDefault="00E45670" w:rsidP="00E45670">
      <w:pPr>
        <w:pStyle w:val="SingleTxtG"/>
        <w:rPr>
          <w:lang w:val="fr-FR"/>
        </w:rPr>
      </w:pPr>
      <w:r w:rsidRPr="00E45670">
        <w:rPr>
          <w:lang w:val="fr-FR"/>
        </w:rPr>
        <w:t>19.</w:t>
      </w:r>
      <w:r w:rsidRPr="00E45670">
        <w:rPr>
          <w:lang w:val="fr-FR"/>
        </w:rPr>
        <w:tab/>
        <w:t>Le Sous-Comité a noté que le Groupe de travail était convenu que les suspensions et les gels de nitrate d</w:t>
      </w:r>
      <w:r w:rsidR="00295FAB">
        <w:rPr>
          <w:lang w:val="fr-FR"/>
        </w:rPr>
        <w:t>’</w:t>
      </w:r>
      <w:r w:rsidRPr="00E45670">
        <w:rPr>
          <w:lang w:val="fr-FR"/>
        </w:rPr>
        <w:t>ammonium pouvaient être classés correctement à l</w:t>
      </w:r>
      <w:r w:rsidR="00295FAB">
        <w:rPr>
          <w:lang w:val="fr-FR"/>
        </w:rPr>
        <w:t>’</w:t>
      </w:r>
      <w:r w:rsidRPr="00E45670">
        <w:rPr>
          <w:lang w:val="fr-FR"/>
        </w:rPr>
        <w:t>aide des données issues de l</w:t>
      </w:r>
      <w:r w:rsidR="00295FAB">
        <w:rPr>
          <w:lang w:val="fr-FR"/>
        </w:rPr>
        <w:t>’</w:t>
      </w:r>
      <w:r w:rsidRPr="00E45670">
        <w:rPr>
          <w:lang w:val="fr-FR"/>
        </w:rPr>
        <w:t>épreuve de Koenen 8</w:t>
      </w:r>
      <w:r w:rsidR="00006831">
        <w:rPr>
          <w:lang w:val="fr-FR"/>
        </w:rPr>
        <w:t> </w:t>
      </w:r>
      <w:r w:rsidRPr="00E45670">
        <w:rPr>
          <w:lang w:val="fr-FR"/>
        </w:rPr>
        <w:t>c), mais que les émulsions de nitrate d</w:t>
      </w:r>
      <w:r w:rsidR="00295FAB">
        <w:rPr>
          <w:lang w:val="fr-FR"/>
        </w:rPr>
        <w:t>’</w:t>
      </w:r>
      <w:r w:rsidRPr="00E45670">
        <w:rPr>
          <w:lang w:val="fr-FR"/>
        </w:rPr>
        <w:t>ammonium posaient des problèmes particuliers en raison de leur forte teneur en eau et que l</w:t>
      </w:r>
      <w:r w:rsidR="00295FAB">
        <w:rPr>
          <w:lang w:val="fr-FR"/>
        </w:rPr>
        <w:t>’</w:t>
      </w:r>
      <w:r w:rsidRPr="00E45670">
        <w:rPr>
          <w:lang w:val="fr-FR"/>
        </w:rPr>
        <w:t>épreuve de Koenen 8</w:t>
      </w:r>
      <w:r w:rsidR="00006831">
        <w:rPr>
          <w:lang w:val="fr-FR"/>
        </w:rPr>
        <w:t> </w:t>
      </w:r>
      <w:r w:rsidRPr="00E45670">
        <w:rPr>
          <w:lang w:val="fr-FR"/>
        </w:rPr>
        <w:t>c) n</w:t>
      </w:r>
      <w:r w:rsidR="00295FAB">
        <w:rPr>
          <w:lang w:val="fr-FR"/>
        </w:rPr>
        <w:t>’</w:t>
      </w:r>
      <w:r w:rsidRPr="00E45670">
        <w:rPr>
          <w:lang w:val="fr-FR"/>
        </w:rPr>
        <w:t>était pas adaptée pour le classement de certains types d</w:t>
      </w:r>
      <w:r w:rsidR="00295FAB">
        <w:rPr>
          <w:lang w:val="fr-FR"/>
        </w:rPr>
        <w:t>’</w:t>
      </w:r>
      <w:r w:rsidRPr="00E45670">
        <w:rPr>
          <w:lang w:val="fr-FR"/>
        </w:rPr>
        <w:t>émulsions.</w:t>
      </w:r>
    </w:p>
    <w:p w:rsidR="00E45670" w:rsidRPr="00E45670" w:rsidRDefault="00E45670" w:rsidP="00E45670">
      <w:pPr>
        <w:pStyle w:val="SingleTxtG"/>
        <w:rPr>
          <w:lang w:val="fr-FR"/>
        </w:rPr>
      </w:pPr>
      <w:r w:rsidRPr="00E45670">
        <w:rPr>
          <w:lang w:val="fr-FR"/>
        </w:rPr>
        <w:t>20.</w:t>
      </w:r>
      <w:r w:rsidRPr="00E45670">
        <w:rPr>
          <w:lang w:val="fr-FR"/>
        </w:rPr>
        <w:tab/>
        <w:t>Toutefois, le Sous-Comité a relevé qu</w:t>
      </w:r>
      <w:r w:rsidR="00295FAB">
        <w:rPr>
          <w:lang w:val="fr-FR"/>
        </w:rPr>
        <w:t>’</w:t>
      </w:r>
      <w:r w:rsidRPr="00E45670">
        <w:rPr>
          <w:lang w:val="fr-FR"/>
        </w:rPr>
        <w:t>il n</w:t>
      </w:r>
      <w:r w:rsidR="00295FAB">
        <w:rPr>
          <w:lang w:val="fr-FR"/>
        </w:rPr>
        <w:t>’</w:t>
      </w:r>
      <w:r w:rsidRPr="00E45670">
        <w:rPr>
          <w:lang w:val="fr-FR"/>
        </w:rPr>
        <w:t>y avait pas de consensus sur la manière de traiter cette question, et que l</w:t>
      </w:r>
      <w:r w:rsidR="00295FAB">
        <w:rPr>
          <w:lang w:val="fr-FR"/>
        </w:rPr>
        <w:t>’</w:t>
      </w:r>
      <w:r w:rsidRPr="00E45670">
        <w:rPr>
          <w:lang w:val="fr-FR"/>
        </w:rPr>
        <w:t>IME avait été invité à diriger des travaux supplémentaires afin d</w:t>
      </w:r>
      <w:r w:rsidR="00295FAB">
        <w:rPr>
          <w:lang w:val="fr-FR"/>
        </w:rPr>
        <w:t>’</w:t>
      </w:r>
      <w:r w:rsidRPr="00E45670">
        <w:rPr>
          <w:lang w:val="fr-FR"/>
        </w:rPr>
        <w:t>étudier la possibilité de modifier l</w:t>
      </w:r>
      <w:r w:rsidR="00295FAB">
        <w:rPr>
          <w:lang w:val="fr-FR"/>
        </w:rPr>
        <w:t>’</w:t>
      </w:r>
      <w:r w:rsidRPr="00E45670">
        <w:rPr>
          <w:lang w:val="fr-FR"/>
        </w:rPr>
        <w:t xml:space="preserve">épreuve de </w:t>
      </w:r>
      <w:proofErr w:type="spellStart"/>
      <w:r w:rsidRPr="00E45670">
        <w:rPr>
          <w:lang w:val="fr-FR"/>
        </w:rPr>
        <w:t>Koenen</w:t>
      </w:r>
      <w:proofErr w:type="spellEnd"/>
      <w:r w:rsidRPr="00E45670">
        <w:rPr>
          <w:lang w:val="fr-FR"/>
        </w:rPr>
        <w:t xml:space="preserve"> 8</w:t>
      </w:r>
      <w:r w:rsidR="005636D6">
        <w:rPr>
          <w:lang w:val="fr-FR"/>
        </w:rPr>
        <w:t> </w:t>
      </w:r>
      <w:r w:rsidRPr="00E45670">
        <w:rPr>
          <w:lang w:val="fr-FR"/>
        </w:rPr>
        <w:t>c), de déterminer si l</w:t>
      </w:r>
      <w:r w:rsidR="00295FAB">
        <w:rPr>
          <w:lang w:val="fr-FR"/>
        </w:rPr>
        <w:t>’</w:t>
      </w:r>
      <w:r w:rsidRPr="00E45670">
        <w:rPr>
          <w:lang w:val="fr-FR"/>
        </w:rPr>
        <w:t>épreuve relative à la pression minimale de combustion pourrait servir d</w:t>
      </w:r>
      <w:r w:rsidR="00295FAB">
        <w:rPr>
          <w:lang w:val="fr-FR"/>
        </w:rPr>
        <w:t>’</w:t>
      </w:r>
      <w:r w:rsidRPr="00E45670">
        <w:rPr>
          <w:lang w:val="fr-FR"/>
        </w:rPr>
        <w:t>épreuve supplémentaire, et de trouver d</w:t>
      </w:r>
      <w:r w:rsidR="00295FAB">
        <w:rPr>
          <w:lang w:val="fr-FR"/>
        </w:rPr>
        <w:t>’</w:t>
      </w:r>
      <w:r w:rsidRPr="00E45670">
        <w:rPr>
          <w:lang w:val="fr-FR"/>
        </w:rPr>
        <w:t>autres critères qui pourraient éventuellement être ajoutés à la série d</w:t>
      </w:r>
      <w:r w:rsidR="00295FAB">
        <w:rPr>
          <w:lang w:val="fr-FR"/>
        </w:rPr>
        <w:t>’</w:t>
      </w:r>
      <w:r w:rsidRPr="00E45670">
        <w:rPr>
          <w:lang w:val="fr-FR"/>
        </w:rPr>
        <w:t>épreuves 8 afin de faciliter le classement des émulsions de nitrate d</w:t>
      </w:r>
      <w:r w:rsidR="00295FAB">
        <w:rPr>
          <w:lang w:val="fr-FR"/>
        </w:rPr>
        <w:t>’</w:t>
      </w:r>
      <w:r w:rsidRPr="00E45670">
        <w:rPr>
          <w:lang w:val="fr-FR"/>
        </w:rPr>
        <w:t>ammonium. L</w:t>
      </w:r>
      <w:r w:rsidR="00295FAB">
        <w:rPr>
          <w:lang w:val="fr-FR"/>
        </w:rPr>
        <w:t>’</w:t>
      </w:r>
      <w:r w:rsidRPr="00E45670">
        <w:rPr>
          <w:lang w:val="fr-FR"/>
        </w:rPr>
        <w:t>IME avait accepté de collaborer avec l</w:t>
      </w:r>
      <w:r w:rsidR="00295FAB">
        <w:rPr>
          <w:lang w:val="fr-FR"/>
        </w:rPr>
        <w:t>’</w:t>
      </w:r>
      <w:r w:rsidRPr="00E45670">
        <w:rPr>
          <w:lang w:val="fr-FR"/>
        </w:rPr>
        <w:t>Espagne, l</w:t>
      </w:r>
      <w:r w:rsidR="00295FAB">
        <w:rPr>
          <w:lang w:val="fr-FR"/>
        </w:rPr>
        <w:t>’</w:t>
      </w:r>
      <w:r w:rsidRPr="00E45670">
        <w:rPr>
          <w:lang w:val="fr-FR"/>
        </w:rPr>
        <w:t>AEISG et d</w:t>
      </w:r>
      <w:r w:rsidR="00295FAB">
        <w:rPr>
          <w:lang w:val="fr-FR"/>
        </w:rPr>
        <w:t>’</w:t>
      </w:r>
      <w:r w:rsidRPr="00E45670">
        <w:rPr>
          <w:lang w:val="fr-FR"/>
        </w:rPr>
        <w:t>autres parties prenantes en vue d</w:t>
      </w:r>
      <w:r w:rsidR="00295FAB">
        <w:rPr>
          <w:lang w:val="fr-FR"/>
        </w:rPr>
        <w:t>’</w:t>
      </w:r>
      <w:r w:rsidRPr="00E45670">
        <w:rPr>
          <w:lang w:val="fr-FR"/>
        </w:rPr>
        <w:t>élaborer une nouvelle proposition.</w:t>
      </w:r>
    </w:p>
    <w:p w:rsidR="00E45670" w:rsidRPr="00E45670" w:rsidRDefault="00006831" w:rsidP="00006831">
      <w:pPr>
        <w:pStyle w:val="H23G"/>
        <w:rPr>
          <w:lang w:val="fr-FR"/>
        </w:rPr>
      </w:pPr>
      <w:r>
        <w:rPr>
          <w:lang w:val="fr-FR"/>
        </w:rPr>
        <w:tab/>
      </w:r>
      <w:r w:rsidR="00E45670" w:rsidRPr="00E45670">
        <w:rPr>
          <w:lang w:val="fr-FR"/>
        </w:rPr>
        <w:t>3.</w:t>
      </w:r>
      <w:r w:rsidR="00E45670" w:rsidRPr="00E45670">
        <w:rPr>
          <w:lang w:val="fr-FR"/>
        </w:rPr>
        <w:tab/>
        <w:t>Détonateurs normalisés</w:t>
      </w:r>
    </w:p>
    <w:p w:rsidR="00E45670" w:rsidRPr="00E45670" w:rsidRDefault="00E45670" w:rsidP="00885A0C">
      <w:pPr>
        <w:pStyle w:val="SingleTxtG"/>
        <w:ind w:left="3119" w:hanging="1985"/>
        <w:rPr>
          <w:iCs/>
          <w:lang w:val="fr-FR"/>
        </w:rPr>
      </w:pPr>
      <w:r w:rsidRPr="00295FAB">
        <w:rPr>
          <w:i/>
          <w:lang w:val="fr-FR"/>
        </w:rPr>
        <w:t>Document informel</w:t>
      </w:r>
      <w:r w:rsidR="00295FAB">
        <w:rPr>
          <w:lang w:val="fr-FR"/>
        </w:rPr>
        <w:t> </w:t>
      </w:r>
      <w:r w:rsidRPr="00E45670">
        <w:rPr>
          <w:lang w:val="fr-FR"/>
        </w:rPr>
        <w:t xml:space="preserve">: </w:t>
      </w:r>
      <w:r w:rsidRPr="00E45670">
        <w:rPr>
          <w:lang w:val="fr-FR"/>
        </w:rPr>
        <w:tab/>
        <w:t>INF.28 (Pays-Bas)</w:t>
      </w:r>
      <w:r w:rsidR="00006831">
        <w:rPr>
          <w:lang w:val="fr-FR"/>
        </w:rPr>
        <w:t>.</w:t>
      </w:r>
    </w:p>
    <w:p w:rsidR="00E45670" w:rsidRPr="00E45670" w:rsidRDefault="00E45670" w:rsidP="00E45670">
      <w:pPr>
        <w:pStyle w:val="SingleTxtG"/>
        <w:rPr>
          <w:lang w:val="fr-FR"/>
        </w:rPr>
      </w:pPr>
      <w:r w:rsidRPr="00E45670">
        <w:rPr>
          <w:lang w:val="fr-FR"/>
        </w:rPr>
        <w:t>21.</w:t>
      </w:r>
      <w:r w:rsidRPr="00E45670">
        <w:rPr>
          <w:lang w:val="fr-FR"/>
        </w:rPr>
        <w:tab/>
        <w:t>Le Sous-Comité a noté que le Groupe de travail avait accueilli favorablement les modifications proposées dans le document INF.28. Les données montraient que l</w:t>
      </w:r>
      <w:r w:rsidR="00295FAB">
        <w:rPr>
          <w:lang w:val="fr-FR"/>
        </w:rPr>
        <w:t>’</w:t>
      </w:r>
      <w:r w:rsidRPr="00E45670">
        <w:rPr>
          <w:lang w:val="fr-FR"/>
        </w:rPr>
        <w:t>objectif d</w:t>
      </w:r>
      <w:r w:rsidR="00295FAB">
        <w:rPr>
          <w:lang w:val="fr-FR"/>
        </w:rPr>
        <w:t>’</w:t>
      </w:r>
      <w:r w:rsidRPr="00E45670">
        <w:rPr>
          <w:lang w:val="fr-FR"/>
        </w:rPr>
        <w:t>une spécification unique pour les détonateurs normalisés pourrait être atteint, ce qui était encourageant. Les travaux allaient se poursuivre et devraient s</w:t>
      </w:r>
      <w:r w:rsidR="00295FAB">
        <w:rPr>
          <w:lang w:val="fr-FR"/>
        </w:rPr>
        <w:t>’</w:t>
      </w:r>
      <w:r w:rsidRPr="00E45670">
        <w:rPr>
          <w:lang w:val="fr-FR"/>
        </w:rPr>
        <w:t>achever à la fin de l</w:t>
      </w:r>
      <w:r w:rsidR="00295FAB">
        <w:rPr>
          <w:lang w:val="fr-FR"/>
        </w:rPr>
        <w:t>’</w:t>
      </w:r>
      <w:r w:rsidRPr="00E45670">
        <w:rPr>
          <w:lang w:val="fr-FR"/>
        </w:rPr>
        <w:t xml:space="preserve">exercice biennal en cours. </w:t>
      </w:r>
    </w:p>
    <w:p w:rsidR="00E45670" w:rsidRPr="00E45670" w:rsidRDefault="00006831" w:rsidP="00006831">
      <w:pPr>
        <w:pStyle w:val="H1G"/>
        <w:rPr>
          <w:lang w:val="fr-FR"/>
        </w:rPr>
      </w:pPr>
      <w:r>
        <w:rPr>
          <w:lang w:val="fr-FR"/>
        </w:rPr>
        <w:tab/>
      </w:r>
      <w:r w:rsidR="00E45670" w:rsidRPr="00E45670">
        <w:rPr>
          <w:lang w:val="fr-FR"/>
        </w:rPr>
        <w:t>C.</w:t>
      </w:r>
      <w:r w:rsidR="00E45670" w:rsidRPr="00E45670">
        <w:rPr>
          <w:lang w:val="fr-FR"/>
        </w:rPr>
        <w:tab/>
        <w:t>Détonateurs électroniques</w:t>
      </w:r>
    </w:p>
    <w:p w:rsidR="00E45670" w:rsidRPr="00E45670" w:rsidRDefault="00E45670" w:rsidP="00006831">
      <w:pPr>
        <w:pStyle w:val="H23G"/>
        <w:rPr>
          <w:lang w:val="fr-FR"/>
        </w:rPr>
      </w:pPr>
      <w:r w:rsidRPr="00E45670">
        <w:rPr>
          <w:lang w:val="fr-FR"/>
        </w:rPr>
        <w:tab/>
      </w:r>
      <w:r w:rsidRPr="00E45670">
        <w:rPr>
          <w:lang w:val="fr-FR"/>
        </w:rPr>
        <w:tab/>
        <w:t>Nouvelles rubriques pour les détonateurs électroniques</w:t>
      </w:r>
    </w:p>
    <w:p w:rsidR="00006831" w:rsidRDefault="00E45670" w:rsidP="00006831">
      <w:pPr>
        <w:pStyle w:val="SingleTxtG"/>
        <w:ind w:left="3119" w:hanging="1985"/>
        <w:jc w:val="left"/>
        <w:rPr>
          <w:lang w:val="fr-FR"/>
        </w:rPr>
      </w:pPr>
      <w:r w:rsidRPr="00295FAB">
        <w:rPr>
          <w:i/>
          <w:lang w:val="fr-FR"/>
        </w:rPr>
        <w:t>Document</w:t>
      </w:r>
      <w:r w:rsidR="00295FAB">
        <w:rPr>
          <w:lang w:val="fr-FR"/>
        </w:rPr>
        <w:t> </w:t>
      </w:r>
      <w:r w:rsidRPr="00E45670">
        <w:rPr>
          <w:lang w:val="fr-FR"/>
        </w:rPr>
        <w:t>:</w:t>
      </w:r>
      <w:r w:rsidRPr="00E45670">
        <w:rPr>
          <w:lang w:val="fr-FR"/>
        </w:rPr>
        <w:tab/>
        <w:t>ST/SG/AC.10/C.3/2017/14 (AEISG)</w:t>
      </w:r>
      <w:r w:rsidR="00006831">
        <w:rPr>
          <w:lang w:val="fr-FR"/>
        </w:rPr>
        <w:t>.</w:t>
      </w:r>
    </w:p>
    <w:p w:rsidR="00E45670" w:rsidRPr="00E45670" w:rsidRDefault="00E45670" w:rsidP="00006831">
      <w:pPr>
        <w:pStyle w:val="SingleTxtG"/>
        <w:ind w:left="3119" w:hanging="1985"/>
        <w:jc w:val="left"/>
        <w:rPr>
          <w:i/>
          <w:lang w:val="fr-FR"/>
        </w:rPr>
      </w:pPr>
      <w:r w:rsidRPr="00295FAB">
        <w:rPr>
          <w:i/>
          <w:lang w:val="fr-FR"/>
        </w:rPr>
        <w:t>Document informel</w:t>
      </w:r>
      <w:r w:rsidR="00295FAB">
        <w:rPr>
          <w:lang w:val="fr-FR"/>
        </w:rPr>
        <w:t> </w:t>
      </w:r>
      <w:r w:rsidR="00006831">
        <w:rPr>
          <w:lang w:val="fr-FR"/>
        </w:rPr>
        <w:t>:</w:t>
      </w:r>
      <w:r w:rsidR="00006831">
        <w:rPr>
          <w:lang w:val="fr-FR"/>
        </w:rPr>
        <w:tab/>
      </w:r>
      <w:r w:rsidRPr="00E45670">
        <w:rPr>
          <w:lang w:val="fr-FR"/>
        </w:rPr>
        <w:t>INF.33 (Suède)</w:t>
      </w:r>
      <w:r w:rsidR="00006831">
        <w:rPr>
          <w:lang w:val="fr-FR"/>
        </w:rPr>
        <w:t>.</w:t>
      </w:r>
    </w:p>
    <w:p w:rsidR="00E45670" w:rsidRPr="00E45670" w:rsidRDefault="00E45670" w:rsidP="00E45670">
      <w:pPr>
        <w:pStyle w:val="SingleTxtG"/>
        <w:rPr>
          <w:lang w:val="fr-FR"/>
        </w:rPr>
      </w:pPr>
      <w:r w:rsidRPr="00E45670">
        <w:rPr>
          <w:lang w:val="fr-FR"/>
        </w:rPr>
        <w:t>22.</w:t>
      </w:r>
      <w:r w:rsidRPr="00E45670">
        <w:rPr>
          <w:lang w:val="fr-FR"/>
        </w:rPr>
        <w:tab/>
        <w:t>Certains experts ont appuyé la proposition de l</w:t>
      </w:r>
      <w:r w:rsidR="00295FAB">
        <w:rPr>
          <w:lang w:val="fr-FR"/>
        </w:rPr>
        <w:t>’</w:t>
      </w:r>
      <w:r w:rsidRPr="00E45670">
        <w:rPr>
          <w:lang w:val="fr-FR"/>
        </w:rPr>
        <w:t>AEISG tendant à créer de nouvelles rubriques pour les détonateurs électroniques, tandis que d</w:t>
      </w:r>
      <w:r w:rsidR="00295FAB">
        <w:rPr>
          <w:lang w:val="fr-FR"/>
        </w:rPr>
        <w:t>’</w:t>
      </w:r>
      <w:r w:rsidRPr="00E45670">
        <w:rPr>
          <w:lang w:val="fr-FR"/>
        </w:rPr>
        <w:t>autres préféraient la proposition contenue dans le document INF.33, à savoir élargir les rubriques actuelles relatives aux détonateurs électriques pour y inclure les détonateurs électroniques.</w:t>
      </w:r>
      <w:r w:rsidR="00295FAB">
        <w:rPr>
          <w:lang w:val="fr-FR"/>
        </w:rPr>
        <w:t xml:space="preserve"> </w:t>
      </w:r>
    </w:p>
    <w:p w:rsidR="00E45670" w:rsidRPr="00E45670" w:rsidRDefault="00E45670" w:rsidP="00E45670">
      <w:pPr>
        <w:pStyle w:val="SingleTxtG"/>
        <w:rPr>
          <w:lang w:val="fr-FR"/>
        </w:rPr>
      </w:pPr>
      <w:r w:rsidRPr="00E45670">
        <w:rPr>
          <w:lang w:val="fr-FR"/>
        </w:rPr>
        <w:t>23.</w:t>
      </w:r>
      <w:r w:rsidRPr="00E45670">
        <w:rPr>
          <w:lang w:val="fr-FR"/>
        </w:rPr>
        <w:tab/>
        <w:t>Le Sous-Comité a noté que, tout en reconnaissant qu</w:t>
      </w:r>
      <w:r w:rsidR="00295FAB">
        <w:rPr>
          <w:lang w:val="fr-FR"/>
        </w:rPr>
        <w:t>’</w:t>
      </w:r>
      <w:r w:rsidRPr="00E45670">
        <w:rPr>
          <w:lang w:val="fr-FR"/>
        </w:rPr>
        <w:t xml:space="preserve">il fallait faire la distinction entre détonateurs </w:t>
      </w:r>
      <w:r w:rsidR="00295FAB">
        <w:rPr>
          <w:lang w:val="fr-FR"/>
        </w:rPr>
        <w:t>« </w:t>
      </w:r>
      <w:r w:rsidRPr="00E45670">
        <w:rPr>
          <w:lang w:val="fr-FR"/>
        </w:rPr>
        <w:t>électroniques</w:t>
      </w:r>
      <w:r w:rsidR="00295FAB">
        <w:rPr>
          <w:lang w:val="fr-FR"/>
        </w:rPr>
        <w:t> »</w:t>
      </w:r>
      <w:r w:rsidRPr="00E45670">
        <w:rPr>
          <w:lang w:val="fr-FR"/>
        </w:rPr>
        <w:t xml:space="preserve"> et </w:t>
      </w:r>
      <w:r w:rsidR="00295FAB">
        <w:rPr>
          <w:lang w:val="fr-FR"/>
        </w:rPr>
        <w:t>« </w:t>
      </w:r>
      <w:r w:rsidRPr="00E45670">
        <w:rPr>
          <w:lang w:val="fr-FR"/>
        </w:rPr>
        <w:t>électriques</w:t>
      </w:r>
      <w:r w:rsidR="00295FAB">
        <w:rPr>
          <w:lang w:val="fr-FR"/>
        </w:rPr>
        <w:t> »</w:t>
      </w:r>
      <w:r w:rsidRPr="00E45670">
        <w:rPr>
          <w:lang w:val="fr-FR"/>
        </w:rPr>
        <w:t>, le Groupe de travail n</w:t>
      </w:r>
      <w:r w:rsidR="00295FAB">
        <w:rPr>
          <w:lang w:val="fr-FR"/>
        </w:rPr>
        <w:t>’</w:t>
      </w:r>
      <w:r w:rsidRPr="00E45670">
        <w:rPr>
          <w:lang w:val="fr-FR"/>
        </w:rPr>
        <w:t>était pas parvenu à un consensus sur la manière de procéder. L</w:t>
      </w:r>
      <w:r w:rsidR="00295FAB">
        <w:rPr>
          <w:lang w:val="fr-FR"/>
        </w:rPr>
        <w:t>’</w:t>
      </w:r>
      <w:r w:rsidRPr="00E45670">
        <w:rPr>
          <w:lang w:val="fr-FR"/>
        </w:rPr>
        <w:t xml:space="preserve">AEISG continuait de préférer que des rubriques distinctes soient établies et préparerait une nouvelle proposition en tenant compte des préoccupations et des observations formulées par les membres du Groupe de travail. </w:t>
      </w:r>
    </w:p>
    <w:p w:rsidR="00E45670" w:rsidRPr="00E45670" w:rsidRDefault="00006831" w:rsidP="00006831">
      <w:pPr>
        <w:pStyle w:val="H1G"/>
        <w:rPr>
          <w:lang w:val="fr-FR"/>
        </w:rPr>
      </w:pPr>
      <w:r>
        <w:rPr>
          <w:lang w:val="fr-FR"/>
        </w:rPr>
        <w:tab/>
      </w:r>
      <w:r w:rsidR="00E45670" w:rsidRPr="00E45670">
        <w:rPr>
          <w:lang w:val="fr-FR"/>
        </w:rPr>
        <w:t>D.</w:t>
      </w:r>
      <w:r w:rsidR="00E45670" w:rsidRPr="00E45670">
        <w:rPr>
          <w:lang w:val="fr-FR"/>
        </w:rPr>
        <w:tab/>
        <w:t>Directives pour l</w:t>
      </w:r>
      <w:r w:rsidR="00295FAB">
        <w:rPr>
          <w:lang w:val="fr-FR"/>
        </w:rPr>
        <w:t>’</w:t>
      </w:r>
      <w:r w:rsidR="00E45670" w:rsidRPr="00E45670">
        <w:rPr>
          <w:lang w:val="fr-FR"/>
        </w:rPr>
        <w:t>application des épreuves des séries 3 et 4</w:t>
      </w:r>
    </w:p>
    <w:p w:rsidR="00E45670" w:rsidRPr="00E45670" w:rsidRDefault="00E45670" w:rsidP="00E45670">
      <w:pPr>
        <w:pStyle w:val="SingleTxtG"/>
        <w:rPr>
          <w:lang w:val="fr-FR"/>
        </w:rPr>
      </w:pPr>
      <w:r w:rsidRPr="00E45670">
        <w:rPr>
          <w:lang w:val="fr-FR"/>
        </w:rPr>
        <w:t>24.</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006831" w:rsidP="00006831">
      <w:pPr>
        <w:pStyle w:val="H1G"/>
        <w:rPr>
          <w:lang w:val="fr-FR"/>
        </w:rPr>
      </w:pPr>
      <w:r>
        <w:rPr>
          <w:lang w:val="fr-FR"/>
        </w:rPr>
        <w:tab/>
      </w:r>
      <w:r w:rsidR="00E45670" w:rsidRPr="00E45670">
        <w:rPr>
          <w:lang w:val="fr-FR"/>
        </w:rPr>
        <w:t>E.</w:t>
      </w:r>
      <w:r w:rsidR="00E45670" w:rsidRPr="00E45670">
        <w:rPr>
          <w:lang w:val="fr-FR"/>
        </w:rPr>
        <w:tab/>
        <w:t>Épreuves de stabilité pour la nitrocellulose industrielle</w:t>
      </w:r>
    </w:p>
    <w:p w:rsidR="00E45670" w:rsidRPr="00E45670" w:rsidRDefault="00006831" w:rsidP="00006831">
      <w:pPr>
        <w:pStyle w:val="H23G"/>
        <w:rPr>
          <w:lang w:val="fr-FR"/>
        </w:rPr>
      </w:pPr>
      <w:r>
        <w:rPr>
          <w:lang w:val="fr-FR"/>
        </w:rPr>
        <w:tab/>
      </w:r>
      <w:r w:rsidR="00E45670" w:rsidRPr="00E45670">
        <w:rPr>
          <w:lang w:val="fr-FR"/>
        </w:rPr>
        <w:t>1.</w:t>
      </w:r>
      <w:r w:rsidR="00E45670" w:rsidRPr="00E45670">
        <w:rPr>
          <w:lang w:val="fr-FR"/>
        </w:rPr>
        <w:tab/>
        <w:t xml:space="preserve">Proposition visant à prescrire des épreuves de stabilité </w:t>
      </w:r>
      <w:r w:rsidR="005636D6">
        <w:rPr>
          <w:lang w:val="fr-FR"/>
        </w:rPr>
        <w:br/>
      </w:r>
      <w:r w:rsidR="00E45670" w:rsidRPr="00E45670">
        <w:rPr>
          <w:lang w:val="fr-FR"/>
        </w:rPr>
        <w:t>pour la nitrocellulose industrielle</w:t>
      </w:r>
    </w:p>
    <w:p w:rsidR="00006831" w:rsidRDefault="00E45670" w:rsidP="00006831">
      <w:pPr>
        <w:pStyle w:val="SingleTxtG"/>
        <w:ind w:left="3119" w:hanging="1985"/>
        <w:jc w:val="left"/>
        <w:rPr>
          <w:lang w:val="fr-FR"/>
        </w:rPr>
      </w:pPr>
      <w:r w:rsidRPr="00295FAB">
        <w:rPr>
          <w:i/>
          <w:lang w:val="fr-FR"/>
        </w:rPr>
        <w:t>Document</w:t>
      </w:r>
      <w:r w:rsidR="00295FAB">
        <w:rPr>
          <w:lang w:val="fr-FR"/>
        </w:rPr>
        <w:t> </w:t>
      </w:r>
      <w:r w:rsidRPr="00E45670">
        <w:rPr>
          <w:lang w:val="fr-FR"/>
        </w:rPr>
        <w:t>:</w:t>
      </w:r>
      <w:r w:rsidRPr="00E45670">
        <w:rPr>
          <w:lang w:val="fr-FR"/>
        </w:rPr>
        <w:tab/>
        <w:t>ST/SG/AC.10/C.3/2017/3 (Allemagne)</w:t>
      </w:r>
      <w:r w:rsidR="00006831">
        <w:rPr>
          <w:lang w:val="fr-FR"/>
        </w:rPr>
        <w:t>.</w:t>
      </w:r>
    </w:p>
    <w:p w:rsidR="00E45670" w:rsidRPr="00E45670" w:rsidRDefault="00E45670" w:rsidP="00006831">
      <w:pPr>
        <w:pStyle w:val="SingleTxtG"/>
        <w:ind w:left="3119" w:hanging="1985"/>
        <w:jc w:val="left"/>
        <w:rPr>
          <w:iCs/>
          <w:lang w:val="fr-FR"/>
        </w:rPr>
      </w:pPr>
      <w:r w:rsidRPr="00295FAB">
        <w:rPr>
          <w:i/>
          <w:lang w:val="fr-FR"/>
        </w:rPr>
        <w:t>Documents informels</w:t>
      </w:r>
      <w:r w:rsidR="00295FAB">
        <w:rPr>
          <w:lang w:val="fr-FR"/>
        </w:rPr>
        <w:t> </w:t>
      </w:r>
      <w:r w:rsidR="005636D6">
        <w:rPr>
          <w:lang w:val="fr-FR"/>
        </w:rPr>
        <w:t xml:space="preserve">: </w:t>
      </w:r>
      <w:r w:rsidR="005636D6">
        <w:rPr>
          <w:lang w:val="fr-FR"/>
        </w:rPr>
        <w:tab/>
        <w:t>INF.9 (CEFIC)</w:t>
      </w:r>
      <w:r w:rsidR="005636D6">
        <w:rPr>
          <w:lang w:val="fr-FR"/>
        </w:rPr>
        <w:br/>
      </w:r>
      <w:r w:rsidRPr="00E45670">
        <w:rPr>
          <w:lang w:val="fr-FR"/>
        </w:rPr>
        <w:t>INF.24 (SAAMI)</w:t>
      </w:r>
      <w:r w:rsidR="00006831">
        <w:rPr>
          <w:lang w:val="fr-FR"/>
        </w:rPr>
        <w:t>.</w:t>
      </w:r>
    </w:p>
    <w:p w:rsidR="00E45670" w:rsidRPr="00E45670" w:rsidRDefault="00E45670" w:rsidP="00E45670">
      <w:pPr>
        <w:pStyle w:val="SingleTxtG"/>
        <w:rPr>
          <w:lang w:val="fr-FR"/>
        </w:rPr>
      </w:pPr>
      <w:r w:rsidRPr="00E45670">
        <w:rPr>
          <w:lang w:val="fr-FR"/>
        </w:rPr>
        <w:t>25.</w:t>
      </w:r>
      <w:r w:rsidRPr="00E45670">
        <w:rPr>
          <w:lang w:val="fr-FR"/>
        </w:rPr>
        <w:tab/>
        <w:t>Le Sous-Comité a noté que le Groupe de travail était convenu que des épreuves supplémentaires tendant à confirmer la stabilité des mélanges de nitrocellulose (NC) étaient nécessaires</w:t>
      </w:r>
      <w:r w:rsidR="00295FAB">
        <w:rPr>
          <w:lang w:val="fr-FR"/>
        </w:rPr>
        <w:t> ;</w:t>
      </w:r>
      <w:r w:rsidRPr="00E45670">
        <w:rPr>
          <w:lang w:val="fr-FR"/>
        </w:rPr>
        <w:t xml:space="preserve"> était convenu que la stabilisation était nécessaire pour assurer la sécurité de la manutention de la nitrocellulose</w:t>
      </w:r>
      <w:r w:rsidR="00295FAB">
        <w:rPr>
          <w:lang w:val="fr-FR"/>
        </w:rPr>
        <w:t> ;</w:t>
      </w:r>
      <w:r w:rsidRPr="00E45670">
        <w:rPr>
          <w:lang w:val="fr-FR"/>
        </w:rPr>
        <w:t xml:space="preserve"> avait décidé que l</w:t>
      </w:r>
      <w:r w:rsidR="00295FAB">
        <w:rPr>
          <w:lang w:val="fr-FR"/>
        </w:rPr>
        <w:t>’</w:t>
      </w:r>
      <w:r w:rsidRPr="00E45670">
        <w:rPr>
          <w:lang w:val="fr-FR"/>
        </w:rPr>
        <w:t>épreuve de stabilité thermique 3</w:t>
      </w:r>
      <w:r w:rsidR="00006831">
        <w:rPr>
          <w:lang w:val="fr-FR"/>
        </w:rPr>
        <w:t> </w:t>
      </w:r>
      <w:r w:rsidRPr="00E45670">
        <w:rPr>
          <w:lang w:val="fr-FR"/>
        </w:rPr>
        <w:t>c) n</w:t>
      </w:r>
      <w:r w:rsidR="00295FAB">
        <w:rPr>
          <w:lang w:val="fr-FR"/>
        </w:rPr>
        <w:t>’</w:t>
      </w:r>
      <w:r w:rsidRPr="00E45670">
        <w:rPr>
          <w:lang w:val="fr-FR"/>
        </w:rPr>
        <w:t>était pas adaptée à l</w:t>
      </w:r>
      <w:r w:rsidR="00295FAB">
        <w:rPr>
          <w:lang w:val="fr-FR"/>
        </w:rPr>
        <w:t>’</w:t>
      </w:r>
      <w:r w:rsidRPr="00E45670">
        <w:rPr>
          <w:lang w:val="fr-FR"/>
        </w:rPr>
        <w:t>évaluation de la stabilité de la nitrocellulose</w:t>
      </w:r>
      <w:r w:rsidR="00295FAB">
        <w:rPr>
          <w:lang w:val="fr-FR"/>
        </w:rPr>
        <w:t> ;</w:t>
      </w:r>
      <w:r w:rsidRPr="00E45670">
        <w:rPr>
          <w:lang w:val="fr-FR"/>
        </w:rPr>
        <w:t xml:space="preserve"> avait conclu que l</w:t>
      </w:r>
      <w:r w:rsidR="00295FAB">
        <w:rPr>
          <w:lang w:val="fr-FR"/>
        </w:rPr>
        <w:t>’</w:t>
      </w:r>
      <w:r w:rsidRPr="00E45670">
        <w:rPr>
          <w:lang w:val="fr-FR"/>
        </w:rPr>
        <w:t>épreuve de Bergmann-Junk et les épreuves au violet de méthyle pouvaient servir pour cette évaluation</w:t>
      </w:r>
      <w:r w:rsidR="00295FAB">
        <w:rPr>
          <w:lang w:val="fr-FR"/>
        </w:rPr>
        <w:t> ;</w:t>
      </w:r>
      <w:r w:rsidRPr="00E45670">
        <w:rPr>
          <w:lang w:val="fr-FR"/>
        </w:rPr>
        <w:t xml:space="preserve"> avait recommandé que ces épreuves soient réalisées en lieu et place de l</w:t>
      </w:r>
      <w:r w:rsidR="00295FAB">
        <w:rPr>
          <w:lang w:val="fr-FR"/>
        </w:rPr>
        <w:t>’</w:t>
      </w:r>
      <w:r w:rsidRPr="00E45670">
        <w:rPr>
          <w:lang w:val="fr-FR"/>
        </w:rPr>
        <w:t>épreuve 3</w:t>
      </w:r>
      <w:r w:rsidR="00006831">
        <w:rPr>
          <w:lang w:val="fr-FR"/>
        </w:rPr>
        <w:t> </w:t>
      </w:r>
      <w:r w:rsidRPr="00E45670">
        <w:rPr>
          <w:lang w:val="fr-FR"/>
        </w:rPr>
        <w:t>c) pour le classement de la nitrocellulose</w:t>
      </w:r>
      <w:r w:rsidR="00295FAB">
        <w:rPr>
          <w:lang w:val="fr-FR"/>
        </w:rPr>
        <w:t> ;</w:t>
      </w:r>
      <w:r w:rsidRPr="00E45670">
        <w:rPr>
          <w:lang w:val="fr-FR"/>
        </w:rPr>
        <w:t xml:space="preserve"> et avait décidé que l</w:t>
      </w:r>
      <w:r w:rsidR="00295FAB">
        <w:rPr>
          <w:lang w:val="fr-FR"/>
        </w:rPr>
        <w:t>’</w:t>
      </w:r>
      <w:r w:rsidRPr="00E45670">
        <w:rPr>
          <w:lang w:val="fr-FR"/>
        </w:rPr>
        <w:t>épreuve visant à déterminer la température d</w:t>
      </w:r>
      <w:r w:rsidR="00295FAB">
        <w:rPr>
          <w:lang w:val="fr-FR"/>
        </w:rPr>
        <w:t>’</w:t>
      </w:r>
      <w:r w:rsidRPr="00E45670">
        <w:rPr>
          <w:lang w:val="fr-FR"/>
        </w:rPr>
        <w:t>auto-inflammation n</w:t>
      </w:r>
      <w:r w:rsidR="00295FAB">
        <w:rPr>
          <w:lang w:val="fr-FR"/>
        </w:rPr>
        <w:t>’</w:t>
      </w:r>
      <w:r w:rsidRPr="00E45670">
        <w:rPr>
          <w:lang w:val="fr-FR"/>
        </w:rPr>
        <w:t>était pas utile.</w:t>
      </w:r>
    </w:p>
    <w:p w:rsidR="00E45670" w:rsidRPr="00E45670" w:rsidRDefault="00E45670" w:rsidP="00E45670">
      <w:pPr>
        <w:pStyle w:val="SingleTxtG"/>
        <w:rPr>
          <w:lang w:val="fr-FR"/>
        </w:rPr>
      </w:pPr>
      <w:r w:rsidRPr="00E45670">
        <w:rPr>
          <w:lang w:val="fr-FR"/>
        </w:rPr>
        <w:t>26.</w:t>
      </w:r>
      <w:r w:rsidRPr="00E45670">
        <w:rPr>
          <w:lang w:val="fr-FR"/>
        </w:rPr>
        <w:tab/>
        <w:t>Le Sous-Comité a noté que le CEFIC dirigerait des travaux intersessions sur les modalités de mise en œuvre, les procédures d</w:t>
      </w:r>
      <w:r w:rsidR="00295FAB">
        <w:rPr>
          <w:lang w:val="fr-FR"/>
        </w:rPr>
        <w:t>’</w:t>
      </w:r>
      <w:r w:rsidRPr="00E45670">
        <w:rPr>
          <w:lang w:val="fr-FR"/>
        </w:rPr>
        <w:t>essai, et l</w:t>
      </w:r>
      <w:r w:rsidR="00295FAB">
        <w:rPr>
          <w:lang w:val="fr-FR"/>
        </w:rPr>
        <w:t>’</w:t>
      </w:r>
      <w:r w:rsidRPr="00E45670">
        <w:rPr>
          <w:lang w:val="fr-FR"/>
        </w:rPr>
        <w:t>insertion de l</w:t>
      </w:r>
      <w:r w:rsidR="00295FAB">
        <w:rPr>
          <w:lang w:val="fr-FR"/>
        </w:rPr>
        <w:t>’</w:t>
      </w:r>
      <w:r w:rsidRPr="00E45670">
        <w:rPr>
          <w:lang w:val="fr-FR"/>
        </w:rPr>
        <w:t>épreuve de Bergmann-Junk et des épreuves au violet de méthyle dans le Règlement type et le Manuel d</w:t>
      </w:r>
      <w:r w:rsidR="00295FAB">
        <w:rPr>
          <w:lang w:val="fr-FR"/>
        </w:rPr>
        <w:t>’</w:t>
      </w:r>
      <w:r w:rsidRPr="00E45670">
        <w:rPr>
          <w:lang w:val="fr-FR"/>
        </w:rPr>
        <w:t>épreuves et de critères, qu</w:t>
      </w:r>
      <w:r w:rsidR="00295FAB">
        <w:rPr>
          <w:lang w:val="fr-FR"/>
        </w:rPr>
        <w:t>’</w:t>
      </w:r>
      <w:r w:rsidRPr="00E45670">
        <w:rPr>
          <w:lang w:val="fr-FR"/>
        </w:rPr>
        <w:t>il se pencherait sur la possibilité de maintenir les agréments existants pour la nitrocellulose et qu</w:t>
      </w:r>
      <w:r w:rsidR="00295FAB">
        <w:rPr>
          <w:lang w:val="fr-FR"/>
        </w:rPr>
        <w:t>’</w:t>
      </w:r>
      <w:r w:rsidRPr="00E45670">
        <w:rPr>
          <w:lang w:val="fr-FR"/>
        </w:rPr>
        <w:t xml:space="preserve">il préparerait une nouvelle proposition pour la prochaine session. </w:t>
      </w:r>
    </w:p>
    <w:p w:rsidR="00E45670" w:rsidRPr="00E45670" w:rsidRDefault="00006831" w:rsidP="00006831">
      <w:pPr>
        <w:pStyle w:val="H23G"/>
        <w:rPr>
          <w:lang w:val="fr-FR"/>
        </w:rPr>
      </w:pPr>
      <w:r>
        <w:rPr>
          <w:lang w:val="fr-FR"/>
        </w:rPr>
        <w:tab/>
      </w:r>
      <w:r w:rsidR="00E45670" w:rsidRPr="00E45670">
        <w:rPr>
          <w:lang w:val="fr-FR"/>
        </w:rPr>
        <w:t>2.</w:t>
      </w:r>
      <w:r w:rsidR="00E45670" w:rsidRPr="00E45670">
        <w:rPr>
          <w:lang w:val="fr-FR"/>
        </w:rPr>
        <w:tab/>
        <w:t>Classement des explosifs désensibilisés</w:t>
      </w:r>
    </w:p>
    <w:p w:rsidR="00E45670" w:rsidRPr="00E45670" w:rsidRDefault="00E45670" w:rsidP="00885A0C">
      <w:pPr>
        <w:pStyle w:val="SingleTxtG"/>
        <w:ind w:left="3119" w:hanging="1985"/>
        <w:rPr>
          <w:iCs/>
          <w:lang w:val="fr-FR"/>
        </w:rPr>
      </w:pPr>
      <w:r w:rsidRPr="00295FAB">
        <w:rPr>
          <w:i/>
          <w:lang w:val="fr-FR"/>
        </w:rPr>
        <w:t>Document informel</w:t>
      </w:r>
      <w:r w:rsidR="00295FAB">
        <w:rPr>
          <w:lang w:val="fr-FR"/>
        </w:rPr>
        <w:t> </w:t>
      </w:r>
      <w:r w:rsidRPr="00E45670">
        <w:rPr>
          <w:lang w:val="fr-FR"/>
        </w:rPr>
        <w:t xml:space="preserve">: </w:t>
      </w:r>
      <w:r w:rsidRPr="00E45670">
        <w:rPr>
          <w:lang w:val="fr-FR"/>
        </w:rPr>
        <w:tab/>
        <w:t>INF.10 (CEFIC)</w:t>
      </w:r>
      <w:r w:rsidR="00006831">
        <w:rPr>
          <w:lang w:val="fr-FR"/>
        </w:rPr>
        <w:t>.</w:t>
      </w:r>
    </w:p>
    <w:p w:rsidR="00E45670" w:rsidRPr="00E45670" w:rsidRDefault="00E45670" w:rsidP="00E45670">
      <w:pPr>
        <w:pStyle w:val="SingleTxtG"/>
        <w:rPr>
          <w:lang w:val="fr-FR"/>
        </w:rPr>
      </w:pPr>
      <w:r w:rsidRPr="00E45670">
        <w:rPr>
          <w:lang w:val="fr-FR"/>
        </w:rPr>
        <w:t>27.</w:t>
      </w:r>
      <w:r w:rsidRPr="00E45670">
        <w:rPr>
          <w:lang w:val="fr-FR"/>
        </w:rPr>
        <w:tab/>
        <w:t>Le Sous-Comité a noté que le Groupe de travail avait conclu que les données fournies seraient utiles pour classer les produits à base de nitrocellulose industrielle conformément au chapitre 2.17 du SGH et était convenu que la question de l</w:t>
      </w:r>
      <w:r w:rsidR="00295FAB">
        <w:rPr>
          <w:lang w:val="fr-FR"/>
        </w:rPr>
        <w:t>’</w:t>
      </w:r>
      <w:r w:rsidRPr="00E45670">
        <w:rPr>
          <w:lang w:val="fr-FR"/>
        </w:rPr>
        <w:t>inclusion de ces produits dans le SGH pouvait être abordée dans le cadre des travaux intersessions visé au paragraphe 26.</w:t>
      </w:r>
    </w:p>
    <w:p w:rsidR="00E45670" w:rsidRPr="00E45670" w:rsidRDefault="00E45670" w:rsidP="00006831">
      <w:pPr>
        <w:pStyle w:val="H1G"/>
        <w:rPr>
          <w:lang w:val="fr-FR"/>
        </w:rPr>
      </w:pPr>
      <w:r w:rsidRPr="00E45670">
        <w:rPr>
          <w:lang w:val="fr-FR"/>
        </w:rPr>
        <w:tab/>
        <w:t>F.</w:t>
      </w:r>
      <w:r w:rsidRPr="00E45670">
        <w:rPr>
          <w:lang w:val="fr-FR"/>
        </w:rPr>
        <w:tab/>
        <w:t xml:space="preserve">Application des dispositions relatives à la sûreté des explosifs </w:t>
      </w:r>
      <w:r w:rsidR="00006831">
        <w:rPr>
          <w:lang w:val="fr-FR"/>
        </w:rPr>
        <w:br/>
      </w:r>
      <w:r w:rsidRPr="00E45670">
        <w:rPr>
          <w:lang w:val="fr-FR"/>
        </w:rPr>
        <w:t>non spécifiés par ailleurs</w:t>
      </w:r>
    </w:p>
    <w:p w:rsidR="00E45670" w:rsidRPr="00E45670" w:rsidRDefault="00E45670" w:rsidP="00006831">
      <w:pPr>
        <w:pStyle w:val="SingleTxtG"/>
        <w:ind w:left="3119" w:hanging="1985"/>
        <w:jc w:val="left"/>
        <w:rPr>
          <w:iCs/>
          <w:lang w:val="fr-FR"/>
        </w:rPr>
      </w:pPr>
      <w:r w:rsidRPr="00295FAB">
        <w:rPr>
          <w:i/>
          <w:lang w:val="fr-FR"/>
        </w:rPr>
        <w:t>Documents</w:t>
      </w:r>
      <w:r w:rsidR="00295FAB">
        <w:rPr>
          <w:lang w:val="fr-FR"/>
        </w:rPr>
        <w:t> </w:t>
      </w:r>
      <w:r w:rsidRPr="00E45670">
        <w:rPr>
          <w:lang w:val="fr-FR"/>
        </w:rPr>
        <w:t>:</w:t>
      </w:r>
      <w:r w:rsidRPr="00E45670">
        <w:rPr>
          <w:lang w:val="fr-FR"/>
        </w:rPr>
        <w:tab/>
        <w:t>ST/SG/AC.10/C.3/2017/19 (Royaume-Uni) ST/SG/AC.10/C.3/2017/20 (Royaume-Uni)</w:t>
      </w:r>
      <w:r w:rsidR="00006831">
        <w:rPr>
          <w:lang w:val="fr-FR"/>
        </w:rPr>
        <w:t>.</w:t>
      </w:r>
    </w:p>
    <w:p w:rsidR="00E45670" w:rsidRPr="00E45670" w:rsidRDefault="00E45670" w:rsidP="00E45670">
      <w:pPr>
        <w:pStyle w:val="SingleTxtG"/>
        <w:rPr>
          <w:lang w:val="fr-FR"/>
        </w:rPr>
      </w:pPr>
      <w:r w:rsidRPr="00E45670">
        <w:rPr>
          <w:lang w:val="fr-FR"/>
        </w:rPr>
        <w:t>28.</w:t>
      </w:r>
      <w:r w:rsidRPr="00E45670">
        <w:rPr>
          <w:lang w:val="fr-FR"/>
        </w:rPr>
        <w:tab/>
        <w:t>Le Sous-Comité a constaté que le sentiment général au sein du Groupe de travail était que les marchandises qui étaient librement accessibles au public ne présentaient pas de risques et ne devraient pas tomber sous le coup des prescriptions du chapitre 1.4. Le Groupe de travail avait également approuvé à l</w:t>
      </w:r>
      <w:r w:rsidR="00295FAB">
        <w:rPr>
          <w:lang w:val="fr-FR"/>
        </w:rPr>
        <w:t>’</w:t>
      </w:r>
      <w:r w:rsidRPr="00E45670">
        <w:rPr>
          <w:lang w:val="fr-FR"/>
        </w:rPr>
        <w:t>unanimité l</w:t>
      </w:r>
      <w:r w:rsidR="00295FAB">
        <w:rPr>
          <w:lang w:val="fr-FR"/>
        </w:rPr>
        <w:t>’</w:t>
      </w:r>
      <w:r w:rsidRPr="00E45670">
        <w:rPr>
          <w:lang w:val="fr-FR"/>
        </w:rPr>
        <w:t>avis exprimé dans le document ST/SG/AC.10/C.3/2017/20 selon lequel, bien qu</w:t>
      </w:r>
      <w:r w:rsidR="00295FAB">
        <w:rPr>
          <w:lang w:val="fr-FR"/>
        </w:rPr>
        <w:t>’</w:t>
      </w:r>
      <w:r w:rsidRPr="00E45670">
        <w:rPr>
          <w:lang w:val="fr-FR"/>
        </w:rPr>
        <w:t>il n</w:t>
      </w:r>
      <w:r w:rsidR="00295FAB">
        <w:rPr>
          <w:lang w:val="fr-FR"/>
        </w:rPr>
        <w:t>’</w:t>
      </w:r>
      <w:r w:rsidRPr="00E45670">
        <w:rPr>
          <w:lang w:val="fr-FR"/>
        </w:rPr>
        <w:t>y ait actuellement qu</w:t>
      </w:r>
      <w:r w:rsidR="00295FAB">
        <w:rPr>
          <w:lang w:val="fr-FR"/>
        </w:rPr>
        <w:t>’</w:t>
      </w:r>
      <w:r w:rsidRPr="00E45670">
        <w:rPr>
          <w:lang w:val="fr-FR"/>
        </w:rPr>
        <w:t>une seule rubrique relevant de la division de risque 1.6 dans le tableau 1.4.1, tous les explosifs relevant de cette division devraient être pris en compte dans ledit tableau. Le Sous-Comité a relevé que l</w:t>
      </w:r>
      <w:r w:rsidR="00295FAB">
        <w:rPr>
          <w:lang w:val="fr-FR"/>
        </w:rPr>
        <w:t>’</w:t>
      </w:r>
      <w:r w:rsidRPr="00E45670">
        <w:rPr>
          <w:lang w:val="fr-FR"/>
        </w:rPr>
        <w:t>expert du Royaume-Uni étudierait les observations formulées par le Groupe de travail et soumettrait, le cas échéant, une proposition actualisée.</w:t>
      </w:r>
    </w:p>
    <w:p w:rsidR="00E45670" w:rsidRPr="00E45670" w:rsidRDefault="00006831" w:rsidP="00006831">
      <w:pPr>
        <w:pStyle w:val="H1G"/>
        <w:rPr>
          <w:lang w:val="fr-FR"/>
        </w:rPr>
      </w:pPr>
      <w:r>
        <w:rPr>
          <w:lang w:val="fr-FR"/>
        </w:rPr>
        <w:tab/>
      </w:r>
      <w:r w:rsidR="00E45670" w:rsidRPr="00E45670">
        <w:rPr>
          <w:lang w:val="fr-FR"/>
        </w:rPr>
        <w:t>G.</w:t>
      </w:r>
      <w:r>
        <w:rPr>
          <w:lang w:val="fr-FR"/>
        </w:rPr>
        <w:tab/>
      </w:r>
      <w:r w:rsidR="00E45670" w:rsidRPr="00E45670">
        <w:rPr>
          <w:lang w:val="fr-FR"/>
        </w:rPr>
        <w:t>Révision des instructions d</w:t>
      </w:r>
      <w:r w:rsidR="00295FAB">
        <w:rPr>
          <w:lang w:val="fr-FR"/>
        </w:rPr>
        <w:t>’</w:t>
      </w:r>
      <w:r w:rsidR="00E45670" w:rsidRPr="00E45670">
        <w:rPr>
          <w:lang w:val="fr-FR"/>
        </w:rPr>
        <w:t>emballage relatives aux explosifs</w:t>
      </w:r>
    </w:p>
    <w:p w:rsidR="00E45670" w:rsidRPr="00E45670" w:rsidRDefault="00E45670" w:rsidP="00E45670">
      <w:pPr>
        <w:pStyle w:val="SingleTxtG"/>
        <w:rPr>
          <w:lang w:val="fr-FR"/>
        </w:rPr>
      </w:pPr>
      <w:r w:rsidRPr="00E45670">
        <w:rPr>
          <w:lang w:val="fr-FR"/>
        </w:rPr>
        <w:t>29.</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006831" w:rsidP="00006831">
      <w:pPr>
        <w:pStyle w:val="H1G"/>
        <w:rPr>
          <w:lang w:val="fr-FR"/>
        </w:rPr>
      </w:pPr>
      <w:r>
        <w:rPr>
          <w:lang w:val="fr-FR"/>
        </w:rPr>
        <w:tab/>
      </w:r>
      <w:r w:rsidR="00E45670" w:rsidRPr="00E45670">
        <w:rPr>
          <w:lang w:val="fr-FR"/>
        </w:rPr>
        <w:t>H.</w:t>
      </w:r>
      <w:r w:rsidR="00E45670" w:rsidRPr="00E45670">
        <w:rPr>
          <w:lang w:val="fr-FR"/>
        </w:rPr>
        <w:tab/>
        <w:t xml:space="preserve">Classement des objets sous le </w:t>
      </w:r>
      <w:r w:rsidR="005636D6">
        <w:rPr>
          <w:lang w:val="fr-FR"/>
        </w:rPr>
        <w:t>N</w:t>
      </w:r>
      <w:r w:rsidR="00E45670" w:rsidRPr="00E45670">
        <w:rPr>
          <w:lang w:val="fr-FR"/>
        </w:rPr>
        <w:t>o ONU 0349</w:t>
      </w:r>
    </w:p>
    <w:p w:rsidR="00E45670" w:rsidRPr="00E45670" w:rsidRDefault="00E45670" w:rsidP="00E45670">
      <w:pPr>
        <w:pStyle w:val="SingleTxtG"/>
        <w:rPr>
          <w:lang w:val="fr-FR"/>
        </w:rPr>
      </w:pPr>
      <w:r w:rsidRPr="00E45670">
        <w:rPr>
          <w:lang w:val="fr-FR"/>
        </w:rPr>
        <w:t>30.</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006831" w:rsidP="00006831">
      <w:pPr>
        <w:pStyle w:val="H1G"/>
        <w:rPr>
          <w:lang w:val="fr-FR"/>
        </w:rPr>
      </w:pPr>
      <w:r>
        <w:rPr>
          <w:lang w:val="fr-FR"/>
        </w:rPr>
        <w:tab/>
      </w:r>
      <w:r w:rsidR="00E45670" w:rsidRPr="00E45670">
        <w:rPr>
          <w:lang w:val="fr-FR"/>
        </w:rPr>
        <w:t>I.</w:t>
      </w:r>
      <w:r w:rsidR="00E45670" w:rsidRPr="00E45670">
        <w:rPr>
          <w:lang w:val="fr-FR"/>
        </w:rPr>
        <w:tab/>
        <w:t>Examen du chapitre 2.1 du SGH</w:t>
      </w:r>
    </w:p>
    <w:p w:rsidR="00E45670" w:rsidRPr="00E45670" w:rsidRDefault="00E45670" w:rsidP="005636D6">
      <w:pPr>
        <w:pStyle w:val="SingleTxtG"/>
        <w:ind w:left="3119" w:hanging="1985"/>
        <w:jc w:val="left"/>
        <w:rPr>
          <w:iCs/>
          <w:lang w:val="fr-FR"/>
        </w:rPr>
      </w:pPr>
      <w:r w:rsidRPr="00295FAB">
        <w:rPr>
          <w:i/>
          <w:lang w:val="fr-FR"/>
        </w:rPr>
        <w:t>Documents informels</w:t>
      </w:r>
      <w:r w:rsidR="00295FAB">
        <w:rPr>
          <w:lang w:val="fr-FR"/>
        </w:rPr>
        <w:t> </w:t>
      </w:r>
      <w:r w:rsidRPr="00E45670">
        <w:rPr>
          <w:lang w:val="fr-FR"/>
        </w:rPr>
        <w:t xml:space="preserve">: </w:t>
      </w:r>
      <w:r w:rsidRPr="00E45670">
        <w:rPr>
          <w:lang w:val="fr-FR"/>
        </w:rPr>
        <w:tab/>
        <w:t>INF.15 (Suède)</w:t>
      </w:r>
      <w:r w:rsidR="005636D6">
        <w:rPr>
          <w:lang w:val="fr-FR"/>
        </w:rPr>
        <w:br/>
      </w:r>
      <w:r w:rsidRPr="00E45670">
        <w:rPr>
          <w:lang w:val="fr-FR"/>
        </w:rPr>
        <w:t>INF.44 (Suède)</w:t>
      </w:r>
      <w:r w:rsidR="00006831">
        <w:rPr>
          <w:lang w:val="fr-FR"/>
        </w:rPr>
        <w:t>.</w:t>
      </w:r>
    </w:p>
    <w:p w:rsidR="00E45670" w:rsidRPr="00E45670" w:rsidRDefault="00E45670" w:rsidP="00E45670">
      <w:pPr>
        <w:pStyle w:val="SingleTxtG"/>
        <w:rPr>
          <w:lang w:val="fr-FR"/>
        </w:rPr>
      </w:pPr>
      <w:r w:rsidRPr="00E45670">
        <w:rPr>
          <w:lang w:val="fr-FR"/>
        </w:rPr>
        <w:t>31.</w:t>
      </w:r>
      <w:r w:rsidRPr="00E45670">
        <w:rPr>
          <w:lang w:val="fr-FR"/>
        </w:rPr>
        <w:tab/>
        <w:t>Le Sous-Comité a noté que cette question n</w:t>
      </w:r>
      <w:r w:rsidR="00295FAB">
        <w:rPr>
          <w:lang w:val="fr-FR"/>
        </w:rPr>
        <w:t>’</w:t>
      </w:r>
      <w:r w:rsidRPr="00E45670">
        <w:rPr>
          <w:lang w:val="fr-FR"/>
        </w:rPr>
        <w:t>avait pas été examinée par le Groupe de travail. Elle avait été examinée séparément au cours d</w:t>
      </w:r>
      <w:r w:rsidR="00295FAB">
        <w:rPr>
          <w:lang w:val="fr-FR"/>
        </w:rPr>
        <w:t>’</w:t>
      </w:r>
      <w:r w:rsidRPr="00E45670">
        <w:rPr>
          <w:lang w:val="fr-FR"/>
        </w:rPr>
        <w:t>une séance informelle qui avait abouti à l</w:t>
      </w:r>
      <w:r w:rsidR="00295FAB">
        <w:rPr>
          <w:lang w:val="fr-FR"/>
        </w:rPr>
        <w:t>’</w:t>
      </w:r>
      <w:r w:rsidRPr="00E45670">
        <w:rPr>
          <w:lang w:val="fr-FR"/>
        </w:rPr>
        <w:t>élaboration d</w:t>
      </w:r>
      <w:r w:rsidR="00295FAB">
        <w:rPr>
          <w:lang w:val="fr-FR"/>
        </w:rPr>
        <w:t>’</w:t>
      </w:r>
      <w:r w:rsidRPr="00E45670">
        <w:rPr>
          <w:lang w:val="fr-FR"/>
        </w:rPr>
        <w:t>une version modifiée du projet de programme de travail pour la révision du chapitre 2.1 du SGH (INF. 44). L</w:t>
      </w:r>
      <w:r w:rsidR="00295FAB">
        <w:rPr>
          <w:lang w:val="fr-FR"/>
        </w:rPr>
        <w:t>’</w:t>
      </w:r>
      <w:r w:rsidRPr="00E45670">
        <w:rPr>
          <w:lang w:val="fr-FR"/>
        </w:rPr>
        <w:t>expert de la Suède s</w:t>
      </w:r>
      <w:r w:rsidR="00295FAB">
        <w:rPr>
          <w:lang w:val="fr-FR"/>
        </w:rPr>
        <w:t>’</w:t>
      </w:r>
      <w:r w:rsidRPr="00E45670">
        <w:rPr>
          <w:lang w:val="fr-FR"/>
        </w:rPr>
        <w:t>est dit optimiste quant à l</w:t>
      </w:r>
      <w:r w:rsidR="00295FAB">
        <w:rPr>
          <w:lang w:val="fr-FR"/>
        </w:rPr>
        <w:t>’</w:t>
      </w:r>
      <w:r w:rsidRPr="00E45670">
        <w:rPr>
          <w:lang w:val="fr-FR"/>
        </w:rPr>
        <w:t>avancement des travaux.</w:t>
      </w:r>
    </w:p>
    <w:p w:rsidR="00E45670" w:rsidRPr="00E45670" w:rsidRDefault="00006831" w:rsidP="00006831">
      <w:pPr>
        <w:pStyle w:val="H1G"/>
        <w:rPr>
          <w:lang w:val="fr-FR"/>
        </w:rPr>
      </w:pPr>
      <w:r>
        <w:rPr>
          <w:lang w:val="fr-FR"/>
        </w:rPr>
        <w:tab/>
      </w:r>
      <w:r w:rsidR="00E45670" w:rsidRPr="00E45670">
        <w:rPr>
          <w:lang w:val="fr-FR"/>
        </w:rPr>
        <w:t>J.</w:t>
      </w:r>
      <w:r w:rsidR="00E45670" w:rsidRPr="00E45670">
        <w:rPr>
          <w:lang w:val="fr-FR"/>
        </w:rPr>
        <w:tab/>
        <w:t>Divers</w:t>
      </w:r>
    </w:p>
    <w:p w:rsidR="00E45670" w:rsidRPr="00E45670" w:rsidRDefault="00006831" w:rsidP="00006831">
      <w:pPr>
        <w:pStyle w:val="H23G"/>
        <w:rPr>
          <w:lang w:val="fr-FR"/>
        </w:rPr>
      </w:pPr>
      <w:r>
        <w:rPr>
          <w:lang w:val="fr-FR"/>
        </w:rPr>
        <w:tab/>
      </w:r>
      <w:r w:rsidR="00E45670" w:rsidRPr="00E45670">
        <w:rPr>
          <w:lang w:val="fr-FR"/>
        </w:rPr>
        <w:t>1.</w:t>
      </w:r>
      <w:r w:rsidR="00E45670" w:rsidRPr="00E45670">
        <w:rPr>
          <w:lang w:val="fr-FR"/>
        </w:rPr>
        <w:tab/>
        <w:t>Transport des artifices de divertissement en petites quantités</w:t>
      </w:r>
    </w:p>
    <w:p w:rsidR="00E45670" w:rsidRPr="00E45670" w:rsidRDefault="00E45670" w:rsidP="00006831">
      <w:pPr>
        <w:pStyle w:val="SingleTxtG"/>
        <w:ind w:left="3119" w:hanging="1985"/>
        <w:rPr>
          <w:iCs/>
          <w:lang w:val="fr-FR"/>
        </w:rPr>
      </w:pPr>
      <w:r w:rsidRPr="00295FAB">
        <w:rPr>
          <w:i/>
          <w:lang w:val="fr-FR"/>
        </w:rPr>
        <w:t>Document</w:t>
      </w:r>
      <w:r w:rsidR="00295FAB">
        <w:rPr>
          <w:lang w:val="fr-FR"/>
        </w:rPr>
        <w:t> </w:t>
      </w:r>
      <w:r w:rsidRPr="00E45670">
        <w:rPr>
          <w:lang w:val="fr-FR"/>
        </w:rPr>
        <w:t>:</w:t>
      </w:r>
      <w:r w:rsidRPr="00E45670">
        <w:rPr>
          <w:lang w:val="fr-FR"/>
        </w:rPr>
        <w:tab/>
        <w:t>ST/SG/AC.10/C.3/2017/23 (Suisse)</w:t>
      </w:r>
      <w:r w:rsidR="00006831">
        <w:rPr>
          <w:lang w:val="fr-FR"/>
        </w:rPr>
        <w:t>.</w:t>
      </w:r>
    </w:p>
    <w:p w:rsidR="00E45670" w:rsidRPr="00E45670" w:rsidRDefault="00E45670" w:rsidP="00885A0C">
      <w:pPr>
        <w:pStyle w:val="SingleTxtG"/>
        <w:ind w:left="3119" w:hanging="1985"/>
        <w:rPr>
          <w:iCs/>
          <w:lang w:val="fr-FR"/>
        </w:rPr>
      </w:pPr>
      <w:r w:rsidRPr="00295FAB">
        <w:rPr>
          <w:i/>
          <w:lang w:val="fr-FR"/>
        </w:rPr>
        <w:t>Document informel</w:t>
      </w:r>
      <w:r w:rsidR="00295FAB">
        <w:rPr>
          <w:lang w:val="fr-FR"/>
        </w:rPr>
        <w:t> </w:t>
      </w:r>
      <w:r w:rsidR="00006831">
        <w:rPr>
          <w:lang w:val="fr-FR"/>
        </w:rPr>
        <w:t>:</w:t>
      </w:r>
      <w:r w:rsidR="00006831">
        <w:rPr>
          <w:lang w:val="fr-FR"/>
        </w:rPr>
        <w:tab/>
      </w:r>
      <w:r w:rsidRPr="00E45670">
        <w:rPr>
          <w:lang w:val="fr-FR"/>
        </w:rPr>
        <w:t>INF.34 (Suisse)</w:t>
      </w:r>
      <w:r w:rsidR="00006831">
        <w:rPr>
          <w:lang w:val="fr-FR"/>
        </w:rPr>
        <w:t>.</w:t>
      </w:r>
    </w:p>
    <w:p w:rsidR="00E45670" w:rsidRPr="00E45670" w:rsidRDefault="00E45670" w:rsidP="00E45670">
      <w:pPr>
        <w:pStyle w:val="SingleTxtG"/>
        <w:rPr>
          <w:lang w:val="fr-FR"/>
        </w:rPr>
      </w:pPr>
      <w:r w:rsidRPr="00E45670">
        <w:rPr>
          <w:lang w:val="fr-FR"/>
        </w:rPr>
        <w:t>32.</w:t>
      </w:r>
      <w:r w:rsidRPr="00E45670">
        <w:rPr>
          <w:lang w:val="fr-FR"/>
        </w:rPr>
        <w:tab/>
        <w:t>Le Sous-Comité a relevé que, par le passé, le Groupe de travail et le SAAMI s</w:t>
      </w:r>
      <w:r w:rsidR="00295FAB">
        <w:rPr>
          <w:lang w:val="fr-FR"/>
        </w:rPr>
        <w:t>’</w:t>
      </w:r>
      <w:r w:rsidRPr="00E45670">
        <w:rPr>
          <w:lang w:val="fr-FR"/>
        </w:rPr>
        <w:t>étaient appuyés sur quatre principes pour élaborer la proposition finale visant à prendre en compte le transport de certaines munitions de peti</w:t>
      </w:r>
      <w:r w:rsidR="00295FAB">
        <w:rPr>
          <w:lang w:val="fr-FR"/>
        </w:rPr>
        <w:t>t calibre en quantités limitées</w:t>
      </w:r>
      <w:r w:rsidR="00006831">
        <w:rPr>
          <w:rStyle w:val="FootnoteReference"/>
        </w:rPr>
        <w:footnoteReference w:id="3"/>
      </w:r>
      <w:r w:rsidR="00295FAB">
        <w:rPr>
          <w:lang w:val="fr-FR"/>
        </w:rPr>
        <w:t> </w:t>
      </w:r>
      <w:r w:rsidRPr="00E45670">
        <w:rPr>
          <w:lang w:val="fr-FR"/>
        </w:rPr>
        <w:t>:</w:t>
      </w:r>
    </w:p>
    <w:p w:rsidR="00E45670" w:rsidRPr="00E45670" w:rsidRDefault="00E45670" w:rsidP="0020037E">
      <w:pPr>
        <w:pStyle w:val="SingleTxtG"/>
        <w:ind w:firstLine="567"/>
        <w:rPr>
          <w:lang w:val="fr-FR"/>
        </w:rPr>
      </w:pPr>
      <w:r w:rsidRPr="00E45670">
        <w:rPr>
          <w:lang w:val="fr-FR"/>
        </w:rPr>
        <w:t>a)</w:t>
      </w:r>
      <w:r w:rsidRPr="00E45670">
        <w:rPr>
          <w:lang w:val="fr-FR"/>
        </w:rPr>
        <w:tab/>
        <w:t>Les objets ne doivent pas se propager en dehors de l</w:t>
      </w:r>
      <w:r w:rsidR="00295FAB">
        <w:rPr>
          <w:lang w:val="fr-FR"/>
        </w:rPr>
        <w:t>’</w:t>
      </w:r>
      <w:r w:rsidRPr="00E45670">
        <w:rPr>
          <w:lang w:val="fr-FR"/>
        </w:rPr>
        <w:t>emballage</w:t>
      </w:r>
      <w:r w:rsidR="00295FAB">
        <w:rPr>
          <w:lang w:val="fr-FR"/>
        </w:rPr>
        <w:t> ;</w:t>
      </w:r>
    </w:p>
    <w:p w:rsidR="00E45670" w:rsidRPr="00E45670" w:rsidRDefault="00E45670" w:rsidP="0020037E">
      <w:pPr>
        <w:pStyle w:val="SingleTxtG"/>
        <w:ind w:firstLine="567"/>
        <w:rPr>
          <w:lang w:val="fr-FR"/>
        </w:rPr>
      </w:pPr>
      <w:r w:rsidRPr="00E45670">
        <w:rPr>
          <w:lang w:val="fr-FR"/>
        </w:rPr>
        <w:t>b)</w:t>
      </w:r>
      <w:r w:rsidRPr="00E45670">
        <w:rPr>
          <w:lang w:val="fr-FR"/>
        </w:rPr>
        <w:tab/>
        <w:t>Aucune rubrique de la liste des marchandises à haut risque ne doit être retenue</w:t>
      </w:r>
      <w:r w:rsidR="00295FAB">
        <w:rPr>
          <w:lang w:val="fr-FR"/>
        </w:rPr>
        <w:t> ;</w:t>
      </w:r>
    </w:p>
    <w:p w:rsidR="00E45670" w:rsidRPr="00E45670" w:rsidRDefault="00E45670" w:rsidP="0020037E">
      <w:pPr>
        <w:pStyle w:val="SingleTxtG"/>
        <w:ind w:firstLine="567"/>
        <w:rPr>
          <w:lang w:val="fr-FR"/>
        </w:rPr>
      </w:pPr>
      <w:r w:rsidRPr="00E45670">
        <w:rPr>
          <w:lang w:val="fr-FR"/>
        </w:rPr>
        <w:t>c)</w:t>
      </w:r>
      <w:r w:rsidRPr="00E45670">
        <w:rPr>
          <w:lang w:val="fr-FR"/>
        </w:rPr>
        <w:tab/>
        <w:t>Aucune rubrique générique ou n.s.a. ne doit être retenue</w:t>
      </w:r>
      <w:r w:rsidR="00295FAB">
        <w:rPr>
          <w:lang w:val="fr-FR"/>
        </w:rPr>
        <w:t> ;</w:t>
      </w:r>
      <w:r w:rsidRPr="00E45670">
        <w:rPr>
          <w:lang w:val="fr-FR"/>
        </w:rPr>
        <w:t xml:space="preserve"> et</w:t>
      </w:r>
    </w:p>
    <w:p w:rsidR="00E45670" w:rsidRPr="00E45670" w:rsidRDefault="00E45670" w:rsidP="0020037E">
      <w:pPr>
        <w:pStyle w:val="SingleTxtG"/>
        <w:ind w:firstLine="567"/>
        <w:rPr>
          <w:lang w:val="fr-FR"/>
        </w:rPr>
      </w:pPr>
      <w:r w:rsidRPr="00E45670">
        <w:rPr>
          <w:lang w:val="fr-FR"/>
        </w:rPr>
        <w:t>d)</w:t>
      </w:r>
      <w:r w:rsidRPr="00E45670">
        <w:rPr>
          <w:lang w:val="fr-FR"/>
        </w:rPr>
        <w:tab/>
        <w:t>L</w:t>
      </w:r>
      <w:r w:rsidR="00295FAB">
        <w:rPr>
          <w:lang w:val="fr-FR"/>
        </w:rPr>
        <w:t>’</w:t>
      </w:r>
      <w:r w:rsidRPr="00E45670">
        <w:rPr>
          <w:lang w:val="fr-FR"/>
        </w:rPr>
        <w:t>objet ne doit présenter aucun effet dangereux à l</w:t>
      </w:r>
      <w:r w:rsidR="00295FAB">
        <w:rPr>
          <w:lang w:val="fr-FR"/>
        </w:rPr>
        <w:t>’</w:t>
      </w:r>
      <w:r w:rsidRPr="00E45670">
        <w:rPr>
          <w:lang w:val="fr-FR"/>
        </w:rPr>
        <w:t>extérieur de l</w:t>
      </w:r>
      <w:r w:rsidR="00295FAB">
        <w:rPr>
          <w:lang w:val="fr-FR"/>
        </w:rPr>
        <w:t>’</w:t>
      </w:r>
      <w:r w:rsidRPr="00E45670">
        <w:rPr>
          <w:lang w:val="fr-FR"/>
        </w:rPr>
        <w:t>emballage en cas d</w:t>
      </w:r>
      <w:r w:rsidR="00295FAB">
        <w:rPr>
          <w:lang w:val="fr-FR"/>
        </w:rPr>
        <w:t>’</w:t>
      </w:r>
      <w:r w:rsidRPr="00E45670">
        <w:rPr>
          <w:lang w:val="fr-FR"/>
        </w:rPr>
        <w:t>amorçage accidentel (déterminé au moyen de l</w:t>
      </w:r>
      <w:r w:rsidR="00295FAB">
        <w:rPr>
          <w:lang w:val="fr-FR"/>
        </w:rPr>
        <w:t>’</w:t>
      </w:r>
      <w:r w:rsidRPr="00E45670">
        <w:rPr>
          <w:lang w:val="fr-FR"/>
        </w:rPr>
        <w:t>épreuve 6 d)).</w:t>
      </w:r>
    </w:p>
    <w:p w:rsidR="00E45670" w:rsidRPr="00E45670" w:rsidRDefault="00E45670" w:rsidP="00E45670">
      <w:pPr>
        <w:pStyle w:val="SingleTxtG"/>
        <w:rPr>
          <w:lang w:val="fr-FR"/>
        </w:rPr>
      </w:pPr>
      <w:r w:rsidRPr="00E45670">
        <w:rPr>
          <w:lang w:val="fr-FR"/>
        </w:rPr>
        <w:t>33.</w:t>
      </w:r>
      <w:r w:rsidRPr="00E45670">
        <w:rPr>
          <w:lang w:val="fr-FR"/>
        </w:rPr>
        <w:tab/>
        <w:t>Comme il était peu probable, de l</w:t>
      </w:r>
      <w:r w:rsidR="00295FAB">
        <w:rPr>
          <w:lang w:val="fr-FR"/>
        </w:rPr>
        <w:t>’</w:t>
      </w:r>
      <w:r w:rsidRPr="00E45670">
        <w:rPr>
          <w:lang w:val="fr-FR"/>
        </w:rPr>
        <w:t>avis du Groupe de travail, que les artifices de divertissement puissent satisfaire tous ces principes, l</w:t>
      </w:r>
      <w:r w:rsidR="00295FAB">
        <w:rPr>
          <w:lang w:val="fr-FR"/>
        </w:rPr>
        <w:t>’</w:t>
      </w:r>
      <w:r w:rsidRPr="00E45670">
        <w:rPr>
          <w:lang w:val="fr-FR"/>
        </w:rPr>
        <w:t>expert de la Suisse a été invité à étudier la question et à déterminer s</w:t>
      </w:r>
      <w:r w:rsidR="00295FAB">
        <w:rPr>
          <w:lang w:val="fr-FR"/>
        </w:rPr>
        <w:t>’</w:t>
      </w:r>
      <w:r w:rsidRPr="00E45670">
        <w:rPr>
          <w:lang w:val="fr-FR"/>
        </w:rPr>
        <w:t xml:space="preserve">il convenait de soumettre une proposition modifiée. </w:t>
      </w:r>
    </w:p>
    <w:p w:rsidR="00E45670" w:rsidRPr="00E45670" w:rsidRDefault="00006831" w:rsidP="00006831">
      <w:pPr>
        <w:pStyle w:val="HChG"/>
        <w:rPr>
          <w:lang w:val="fr-FR"/>
        </w:rPr>
      </w:pPr>
      <w:r>
        <w:rPr>
          <w:lang w:val="fr-FR"/>
        </w:rPr>
        <w:tab/>
      </w:r>
      <w:r w:rsidR="00E45670" w:rsidRPr="00E45670">
        <w:rPr>
          <w:lang w:val="fr-FR"/>
        </w:rPr>
        <w:t>IV.</w:t>
      </w:r>
      <w:r w:rsidR="00E45670" w:rsidRPr="00E45670">
        <w:rPr>
          <w:lang w:val="fr-FR"/>
        </w:rPr>
        <w:tab/>
        <w:t xml:space="preserve">Inscription, classement et emballage </w:t>
      </w:r>
      <w:r>
        <w:rPr>
          <w:lang w:val="fr-FR"/>
        </w:rPr>
        <w:br/>
      </w:r>
      <w:r w:rsidR="00E45670" w:rsidRPr="00E45670">
        <w:rPr>
          <w:lang w:val="fr-FR"/>
        </w:rPr>
        <w:t>(point 3 de l</w:t>
      </w:r>
      <w:r w:rsidR="00295FAB">
        <w:rPr>
          <w:lang w:val="fr-FR"/>
        </w:rPr>
        <w:t>’</w:t>
      </w:r>
      <w:r w:rsidR="00E45670" w:rsidRPr="00E45670">
        <w:rPr>
          <w:lang w:val="fr-FR"/>
        </w:rPr>
        <w:t>ordre du jour)</w:t>
      </w:r>
    </w:p>
    <w:p w:rsidR="00E45670" w:rsidRPr="00E45670" w:rsidRDefault="00006831" w:rsidP="00006831">
      <w:pPr>
        <w:pStyle w:val="H1G"/>
        <w:rPr>
          <w:lang w:val="fr-FR"/>
        </w:rPr>
      </w:pPr>
      <w:r>
        <w:rPr>
          <w:lang w:val="fr-FR"/>
        </w:rPr>
        <w:tab/>
      </w:r>
      <w:r w:rsidR="00E45670" w:rsidRPr="00E45670">
        <w:rPr>
          <w:lang w:val="fr-FR"/>
        </w:rPr>
        <w:t>A.</w:t>
      </w:r>
      <w:r w:rsidR="00E45670" w:rsidRPr="00E45670">
        <w:rPr>
          <w:lang w:val="fr-FR"/>
        </w:rPr>
        <w:tab/>
        <w:t>Clarification des dispositions spéciales d</w:t>
      </w:r>
      <w:r w:rsidR="00295FAB">
        <w:rPr>
          <w:lang w:val="fr-FR"/>
        </w:rPr>
        <w:t>’</w:t>
      </w:r>
      <w:r w:rsidR="00E45670" w:rsidRPr="00E45670">
        <w:rPr>
          <w:lang w:val="fr-FR"/>
        </w:rPr>
        <w:t>emballage PP13 et PP33</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ST/SG/AC.10/C.3/2017/2 (Allemagne)</w:t>
      </w:r>
      <w:r w:rsidR="00006831">
        <w:rPr>
          <w:lang w:val="fr-FR"/>
        </w:rPr>
        <w:t>.</w:t>
      </w:r>
    </w:p>
    <w:p w:rsidR="00E45670" w:rsidRPr="00E45670" w:rsidRDefault="00E45670" w:rsidP="00E45670">
      <w:pPr>
        <w:pStyle w:val="SingleTxtG"/>
        <w:rPr>
          <w:lang w:val="fr-FR"/>
        </w:rPr>
      </w:pPr>
      <w:r w:rsidRPr="00E45670">
        <w:rPr>
          <w:lang w:val="fr-FR"/>
        </w:rPr>
        <w:t>34.</w:t>
      </w:r>
      <w:r w:rsidRPr="00E45670">
        <w:rPr>
          <w:lang w:val="fr-FR"/>
        </w:rPr>
        <w:tab/>
        <w:t>Pour la grande majorité des délégations, le libellé des dispositions spéciales PP13 et</w:t>
      </w:r>
      <w:r w:rsidR="00006831">
        <w:rPr>
          <w:lang w:val="fr-FR"/>
        </w:rPr>
        <w:t> </w:t>
      </w:r>
      <w:r w:rsidRPr="00E45670">
        <w:rPr>
          <w:lang w:val="fr-FR"/>
        </w:rPr>
        <w:t>PP33 était clair et autorisait uniquement l</w:t>
      </w:r>
      <w:r w:rsidR="00295FAB">
        <w:rPr>
          <w:lang w:val="fr-FR"/>
        </w:rPr>
        <w:t>’</w:t>
      </w:r>
      <w:r w:rsidRPr="00E45670">
        <w:rPr>
          <w:lang w:val="fr-FR"/>
        </w:rPr>
        <w:t>utilisation d</w:t>
      </w:r>
      <w:r w:rsidR="00295FAB">
        <w:rPr>
          <w:lang w:val="fr-FR"/>
        </w:rPr>
        <w:t>’</w:t>
      </w:r>
      <w:r w:rsidRPr="00E45670">
        <w:rPr>
          <w:lang w:val="fr-FR"/>
        </w:rPr>
        <w:t>emballages combinés. Elles ne voyaient pas de raison de le modifier et craignaient, si la proposition de l</w:t>
      </w:r>
      <w:r w:rsidR="00295FAB">
        <w:rPr>
          <w:lang w:val="fr-FR"/>
        </w:rPr>
        <w:t>’</w:t>
      </w:r>
      <w:r w:rsidRPr="00E45670">
        <w:rPr>
          <w:lang w:val="fr-FR"/>
        </w:rPr>
        <w:t>Allemagne était adoptée, qu</w:t>
      </w:r>
      <w:r w:rsidR="00295FAB">
        <w:rPr>
          <w:lang w:val="fr-FR"/>
        </w:rPr>
        <w:t>’</w:t>
      </w:r>
      <w:r w:rsidRPr="00E45670">
        <w:rPr>
          <w:lang w:val="fr-FR"/>
        </w:rPr>
        <w:t>il serait nécessaire de vérifier toutes les dispositions spéciales similaires. En outre, les amendements proposés laissaient entendre que les emballages composites étaient autorisés, ce qui, à leur avis, n</w:t>
      </w:r>
      <w:r w:rsidR="00295FAB">
        <w:rPr>
          <w:lang w:val="fr-FR"/>
        </w:rPr>
        <w:t>’</w:t>
      </w:r>
      <w:r w:rsidRPr="00E45670">
        <w:rPr>
          <w:lang w:val="fr-FR"/>
        </w:rPr>
        <w:t>était pas le cas.</w:t>
      </w:r>
    </w:p>
    <w:p w:rsidR="00E45670" w:rsidRPr="00E45670" w:rsidRDefault="00E45670" w:rsidP="00E45670">
      <w:pPr>
        <w:pStyle w:val="SingleTxtG"/>
        <w:rPr>
          <w:lang w:val="fr-FR"/>
        </w:rPr>
      </w:pPr>
      <w:r w:rsidRPr="00E45670">
        <w:rPr>
          <w:lang w:val="fr-FR"/>
        </w:rPr>
        <w:t>35.</w:t>
      </w:r>
      <w:r w:rsidRPr="00E45670">
        <w:rPr>
          <w:lang w:val="fr-FR"/>
        </w:rPr>
        <w:tab/>
        <w:t>L</w:t>
      </w:r>
      <w:r w:rsidR="00295FAB">
        <w:rPr>
          <w:lang w:val="fr-FR"/>
        </w:rPr>
        <w:t>’</w:t>
      </w:r>
      <w:r w:rsidRPr="00E45670">
        <w:rPr>
          <w:lang w:val="fr-FR"/>
        </w:rPr>
        <w:t>experte de l</w:t>
      </w:r>
      <w:r w:rsidR="00295FAB">
        <w:rPr>
          <w:lang w:val="fr-FR"/>
        </w:rPr>
        <w:t>’</w:t>
      </w:r>
      <w:r w:rsidRPr="00E45670">
        <w:rPr>
          <w:lang w:val="fr-FR"/>
        </w:rPr>
        <w:t>Allemagne a déclaré qu</w:t>
      </w:r>
      <w:r w:rsidR="00295FAB">
        <w:rPr>
          <w:lang w:val="fr-FR"/>
        </w:rPr>
        <w:t>’</w:t>
      </w:r>
      <w:r w:rsidRPr="00E45670">
        <w:rPr>
          <w:lang w:val="fr-FR"/>
        </w:rPr>
        <w:t>elle soumettrait peut-être une nouvelle proposition à la prochaine session.</w:t>
      </w:r>
    </w:p>
    <w:p w:rsidR="00E45670" w:rsidRPr="00E45670" w:rsidRDefault="00006831" w:rsidP="00006831">
      <w:pPr>
        <w:pStyle w:val="H1G"/>
        <w:rPr>
          <w:lang w:val="fr-FR"/>
        </w:rPr>
      </w:pPr>
      <w:r>
        <w:rPr>
          <w:lang w:val="fr-FR"/>
        </w:rPr>
        <w:tab/>
      </w:r>
      <w:r w:rsidR="00E45670" w:rsidRPr="00E45670">
        <w:rPr>
          <w:lang w:val="fr-FR"/>
        </w:rPr>
        <w:t>B.</w:t>
      </w:r>
      <w:r w:rsidR="00E45670" w:rsidRPr="00E45670">
        <w:rPr>
          <w:lang w:val="fr-FR"/>
        </w:rPr>
        <w:tab/>
      </w:r>
      <w:r w:rsidR="00E45670" w:rsidRPr="00006831">
        <w:rPr>
          <w:rFonts w:ascii="Times New Roman Gras" w:hAnsi="Times New Roman Gras"/>
          <w:spacing w:val="-2"/>
          <w:lang w:val="fr-FR"/>
        </w:rPr>
        <w:t>Exemption dans la disposition spéciale 375 pour les matières dangereuses</w:t>
      </w:r>
      <w:r w:rsidR="00E45670" w:rsidRPr="00E45670">
        <w:rPr>
          <w:lang w:val="fr-FR"/>
        </w:rPr>
        <w:t xml:space="preserve"> pour l</w:t>
      </w:r>
      <w:r w:rsidR="00295FAB">
        <w:rPr>
          <w:lang w:val="fr-FR"/>
        </w:rPr>
        <w:t>’</w:t>
      </w:r>
      <w:r w:rsidR="00E45670" w:rsidRPr="00E45670">
        <w:rPr>
          <w:lang w:val="fr-FR"/>
        </w:rPr>
        <w:t xml:space="preserve">environnement </w:t>
      </w:r>
      <w:proofErr w:type="spellStart"/>
      <w:r w:rsidR="00E45670" w:rsidRPr="00E45670">
        <w:rPr>
          <w:lang w:val="fr-FR"/>
        </w:rPr>
        <w:t>des</w:t>
      </w:r>
      <w:proofErr w:type="spellEnd"/>
      <w:r w:rsidR="00E45670" w:rsidRPr="00E45670">
        <w:rPr>
          <w:lang w:val="fr-FR"/>
        </w:rPr>
        <w:t xml:space="preserve"> </w:t>
      </w:r>
      <w:r w:rsidR="005636D6">
        <w:rPr>
          <w:lang w:val="fr-FR"/>
        </w:rPr>
        <w:t>N</w:t>
      </w:r>
      <w:r w:rsidR="00E45670" w:rsidRPr="00E45670">
        <w:rPr>
          <w:lang w:val="fr-FR"/>
        </w:rPr>
        <w:t>os ONU 3077 et 3082</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ST/SG/AC.10/C.3/2017/5 (Suisse)</w:t>
      </w:r>
      <w:r w:rsidR="00006831">
        <w:rPr>
          <w:lang w:val="fr-FR"/>
        </w:rPr>
        <w:t>.</w:t>
      </w:r>
    </w:p>
    <w:p w:rsidR="00E45670" w:rsidRPr="00E45670" w:rsidRDefault="00E45670" w:rsidP="00E45670">
      <w:pPr>
        <w:pStyle w:val="SingleTxtG"/>
        <w:rPr>
          <w:lang w:val="fr-FR"/>
        </w:rPr>
      </w:pPr>
      <w:r w:rsidRPr="00E45670">
        <w:rPr>
          <w:lang w:val="fr-FR"/>
        </w:rPr>
        <w:t>36.</w:t>
      </w:r>
      <w:r w:rsidRPr="00E45670">
        <w:rPr>
          <w:lang w:val="fr-FR"/>
        </w:rPr>
        <w:tab/>
        <w:t>Le document à l</w:t>
      </w:r>
      <w:r w:rsidR="00295FAB">
        <w:rPr>
          <w:lang w:val="fr-FR"/>
        </w:rPr>
        <w:t>’</w:t>
      </w:r>
      <w:r w:rsidRPr="00E45670">
        <w:rPr>
          <w:lang w:val="fr-FR"/>
        </w:rPr>
        <w:t>examen faisait suite aux débats tenus lors de la session de décembre 2014 (voir ST/SG/AC.10/C.3/92, par.</w:t>
      </w:r>
      <w:r w:rsidR="00006831">
        <w:rPr>
          <w:lang w:val="fr-FR"/>
        </w:rPr>
        <w:t> </w:t>
      </w:r>
      <w:r w:rsidRPr="00E45670">
        <w:rPr>
          <w:lang w:val="fr-FR"/>
        </w:rPr>
        <w:t>19), à l</w:t>
      </w:r>
      <w:r w:rsidR="00295FAB">
        <w:rPr>
          <w:lang w:val="fr-FR"/>
        </w:rPr>
        <w:t>’</w:t>
      </w:r>
      <w:r w:rsidRPr="00E45670">
        <w:rPr>
          <w:lang w:val="fr-FR"/>
        </w:rPr>
        <w:t>issue desquels le Sous-Comité avait confirmé que l</w:t>
      </w:r>
      <w:r w:rsidR="00295FAB">
        <w:rPr>
          <w:lang w:val="fr-FR"/>
        </w:rPr>
        <w:t>’</w:t>
      </w:r>
      <w:r w:rsidRPr="00E45670">
        <w:rPr>
          <w:lang w:val="fr-FR"/>
        </w:rPr>
        <w:t>application de la disposition spéciale 375 était facultative, ce qui signifiait que l</w:t>
      </w:r>
      <w:r w:rsidR="00295FAB">
        <w:rPr>
          <w:lang w:val="fr-FR"/>
        </w:rPr>
        <w:t>’</w:t>
      </w:r>
      <w:r w:rsidRPr="00E45670">
        <w:rPr>
          <w:lang w:val="fr-FR"/>
        </w:rPr>
        <w:t>expéditeur pouvait choisir de ne pas profiter de la dérogation prévue, auquel cas toutes les dispositions prévues pour ces matières devaient être satisfaites. L</w:t>
      </w:r>
      <w:r w:rsidR="00295FAB">
        <w:rPr>
          <w:lang w:val="fr-FR"/>
        </w:rPr>
        <w:t>’</w:t>
      </w:r>
      <w:r w:rsidRPr="00E45670">
        <w:rPr>
          <w:lang w:val="fr-FR"/>
        </w:rPr>
        <w:t xml:space="preserve">expert </w:t>
      </w:r>
      <w:r w:rsidR="005636D6">
        <w:rPr>
          <w:lang w:val="fr-FR"/>
        </w:rPr>
        <w:t xml:space="preserve">de la </w:t>
      </w:r>
      <w:r w:rsidRPr="00E45670">
        <w:rPr>
          <w:lang w:val="fr-FR"/>
        </w:rPr>
        <w:t>Suisse souhaitait que ce principe soit énoncé de manière générale au 2.0.0.1, ou au moins dans la disposition spéciale 375. Une majorité de délégations, toutefois, a considéré que les textes proposés pourraient prêter à confusion et qu</w:t>
      </w:r>
      <w:r w:rsidR="00295FAB">
        <w:rPr>
          <w:lang w:val="fr-FR"/>
        </w:rPr>
        <w:t>’</w:t>
      </w:r>
      <w:r w:rsidRPr="00E45670">
        <w:rPr>
          <w:lang w:val="fr-FR"/>
        </w:rPr>
        <w:t>il était clair que les expéditeurs n</w:t>
      </w:r>
      <w:r w:rsidR="00295FAB">
        <w:rPr>
          <w:lang w:val="fr-FR"/>
        </w:rPr>
        <w:t>’</w:t>
      </w:r>
      <w:r w:rsidRPr="00E45670">
        <w:rPr>
          <w:lang w:val="fr-FR"/>
        </w:rPr>
        <w:t>étaient pas tenus de profiter d</w:t>
      </w:r>
      <w:r w:rsidR="00295FAB">
        <w:rPr>
          <w:lang w:val="fr-FR"/>
        </w:rPr>
        <w:t>’</w:t>
      </w:r>
      <w:r w:rsidRPr="00E45670">
        <w:rPr>
          <w:lang w:val="fr-FR"/>
        </w:rPr>
        <w:t>éventuelles dérogations. Le Sous-Comité a donc estimé qu</w:t>
      </w:r>
      <w:r w:rsidR="00295FAB">
        <w:rPr>
          <w:lang w:val="fr-FR"/>
        </w:rPr>
        <w:t>’</w:t>
      </w:r>
      <w:r w:rsidRPr="00E45670">
        <w:rPr>
          <w:lang w:val="fr-FR"/>
        </w:rPr>
        <w:t>il n</w:t>
      </w:r>
      <w:r w:rsidR="00295FAB">
        <w:rPr>
          <w:lang w:val="fr-FR"/>
        </w:rPr>
        <w:t>’</w:t>
      </w:r>
      <w:r w:rsidRPr="00E45670">
        <w:rPr>
          <w:lang w:val="fr-FR"/>
        </w:rPr>
        <w:t xml:space="preserve">était pas nécessaire de se prononcer sur les propositions avancées par </w:t>
      </w:r>
      <w:r w:rsidR="005636D6">
        <w:rPr>
          <w:lang w:val="fr-FR"/>
        </w:rPr>
        <w:t xml:space="preserve">la </w:t>
      </w:r>
      <w:r w:rsidRPr="00E45670">
        <w:rPr>
          <w:lang w:val="fr-FR"/>
        </w:rPr>
        <w:t>Suisse.</w:t>
      </w:r>
    </w:p>
    <w:p w:rsidR="00E45670" w:rsidRPr="00E45670" w:rsidRDefault="00006831" w:rsidP="00006831">
      <w:pPr>
        <w:pStyle w:val="H1G"/>
        <w:rPr>
          <w:lang w:val="fr-FR"/>
        </w:rPr>
      </w:pPr>
      <w:r>
        <w:rPr>
          <w:lang w:val="fr-FR"/>
        </w:rPr>
        <w:tab/>
      </w:r>
      <w:r w:rsidR="00E45670" w:rsidRPr="00E45670">
        <w:rPr>
          <w:lang w:val="fr-FR"/>
        </w:rPr>
        <w:t>C.</w:t>
      </w:r>
      <w:r w:rsidR="00E45670" w:rsidRPr="00E45670">
        <w:rPr>
          <w:lang w:val="fr-FR"/>
        </w:rPr>
        <w:tab/>
        <w:t>Interprétation de la disposition spéciale 366</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ST/SG/AC.10/C.3/2017/10 (Allemagne)</w:t>
      </w:r>
      <w:r w:rsidR="00006831">
        <w:rPr>
          <w:lang w:val="fr-FR"/>
        </w:rPr>
        <w:t>.</w:t>
      </w:r>
    </w:p>
    <w:p w:rsidR="00E45670" w:rsidRPr="00E45670" w:rsidRDefault="00E45670" w:rsidP="00E45670">
      <w:pPr>
        <w:pStyle w:val="SingleTxtG"/>
        <w:rPr>
          <w:lang w:val="fr-FR"/>
        </w:rPr>
      </w:pPr>
      <w:r w:rsidRPr="00E45670">
        <w:rPr>
          <w:lang w:val="fr-FR"/>
        </w:rPr>
        <w:t>37.</w:t>
      </w:r>
      <w:r w:rsidRPr="00E45670">
        <w:rPr>
          <w:lang w:val="fr-FR"/>
        </w:rPr>
        <w:tab/>
        <w:t>Les avis étaient partagés sur l</w:t>
      </w:r>
      <w:r w:rsidR="00295FAB">
        <w:rPr>
          <w:lang w:val="fr-FR"/>
        </w:rPr>
        <w:t>’</w:t>
      </w:r>
      <w:r w:rsidRPr="00E45670">
        <w:rPr>
          <w:lang w:val="fr-FR"/>
        </w:rPr>
        <w:t>interprétation proposée par Allemagne. La disposition spéciale s</w:t>
      </w:r>
      <w:r w:rsidR="00295FAB">
        <w:rPr>
          <w:lang w:val="fr-FR"/>
        </w:rPr>
        <w:t>’</w:t>
      </w:r>
      <w:r w:rsidRPr="00E45670">
        <w:rPr>
          <w:lang w:val="fr-FR"/>
        </w:rPr>
        <w:t>appliquait apparemment aux appareils et objets manufacturés contenant du mercure et expédiés dans des conditions satisfaisantes. Toutefois, lorsque les appareils et objets envoyés étaient endommagés, ou envoyés en tant que rebut endommagé ou rebut susceptible d</w:t>
      </w:r>
      <w:r w:rsidR="00295FAB">
        <w:rPr>
          <w:lang w:val="fr-FR"/>
        </w:rPr>
        <w:t>’</w:t>
      </w:r>
      <w:r w:rsidRPr="00E45670">
        <w:rPr>
          <w:lang w:val="fr-FR"/>
        </w:rPr>
        <w:t>être endommagé au cours du transport, comme c</w:t>
      </w:r>
      <w:r w:rsidR="00295FAB">
        <w:rPr>
          <w:lang w:val="fr-FR"/>
        </w:rPr>
        <w:t>’</w:t>
      </w:r>
      <w:r w:rsidRPr="00E45670">
        <w:rPr>
          <w:lang w:val="fr-FR"/>
        </w:rPr>
        <w:t>était le cas pour les lampes à vapeur de mercure usagées, certains experts estimaient, du moins dans le cas de ces lampes, que les quantités de mercure étaient très faibles, que la vapeur s</w:t>
      </w:r>
      <w:r w:rsidR="00295FAB">
        <w:rPr>
          <w:lang w:val="fr-FR"/>
        </w:rPr>
        <w:t>’</w:t>
      </w:r>
      <w:r w:rsidRPr="00E45670">
        <w:rPr>
          <w:lang w:val="fr-FR"/>
        </w:rPr>
        <w:t>évaporerait probablement très rapidement, que la pression de vapeur était très faible et que le transport de lampes endommagées n</w:t>
      </w:r>
      <w:r w:rsidR="00295FAB">
        <w:rPr>
          <w:lang w:val="fr-FR"/>
        </w:rPr>
        <w:t>’</w:t>
      </w:r>
      <w:r w:rsidRPr="00E45670">
        <w:rPr>
          <w:lang w:val="fr-FR"/>
        </w:rPr>
        <w:t>était pas susceptible de présenter un risque d</w:t>
      </w:r>
      <w:r w:rsidR="00295FAB">
        <w:rPr>
          <w:lang w:val="fr-FR"/>
        </w:rPr>
        <w:t>’</w:t>
      </w:r>
      <w:r w:rsidRPr="00E45670">
        <w:rPr>
          <w:lang w:val="fr-FR"/>
        </w:rPr>
        <w:t>exposition à des vapeurs toxiques. D</w:t>
      </w:r>
      <w:r w:rsidR="00295FAB">
        <w:rPr>
          <w:lang w:val="fr-FR"/>
        </w:rPr>
        <w:t>’</w:t>
      </w:r>
      <w:r w:rsidRPr="00E45670">
        <w:rPr>
          <w:lang w:val="fr-FR"/>
        </w:rPr>
        <w:t>autres étaient d</w:t>
      </w:r>
      <w:r w:rsidR="00295FAB">
        <w:rPr>
          <w:lang w:val="fr-FR"/>
        </w:rPr>
        <w:t>’</w:t>
      </w:r>
      <w:r w:rsidRPr="00E45670">
        <w:rPr>
          <w:lang w:val="fr-FR"/>
        </w:rPr>
        <w:t>avis que les vapeurs étaient toxiques par inhalation et qu</w:t>
      </w:r>
      <w:r w:rsidR="00295FAB">
        <w:rPr>
          <w:lang w:val="fr-FR"/>
        </w:rPr>
        <w:t>’</w:t>
      </w:r>
      <w:r w:rsidRPr="00E45670">
        <w:rPr>
          <w:lang w:val="fr-FR"/>
        </w:rPr>
        <w:t>il existait donc un risque. Toutefois, s</w:t>
      </w:r>
      <w:r w:rsidR="00295FAB">
        <w:rPr>
          <w:lang w:val="fr-FR"/>
        </w:rPr>
        <w:t>’</w:t>
      </w:r>
      <w:r w:rsidRPr="00E45670">
        <w:rPr>
          <w:lang w:val="fr-FR"/>
        </w:rPr>
        <w:t>il y avait bien un risque, plusieurs experts étaient d</w:t>
      </w:r>
      <w:r w:rsidR="00295FAB">
        <w:rPr>
          <w:lang w:val="fr-FR"/>
        </w:rPr>
        <w:t>’</w:t>
      </w:r>
      <w:r w:rsidRPr="00E45670">
        <w:rPr>
          <w:lang w:val="fr-FR"/>
        </w:rPr>
        <w:t>avis qu</w:t>
      </w:r>
      <w:r w:rsidR="00295FAB">
        <w:rPr>
          <w:lang w:val="fr-FR"/>
        </w:rPr>
        <w:t>’</w:t>
      </w:r>
      <w:r w:rsidRPr="00E45670">
        <w:rPr>
          <w:lang w:val="fr-FR"/>
        </w:rPr>
        <w:t>il n</w:t>
      </w:r>
      <w:r w:rsidR="00295FAB">
        <w:rPr>
          <w:lang w:val="fr-FR"/>
        </w:rPr>
        <w:t>’</w:t>
      </w:r>
      <w:r w:rsidRPr="00E45670">
        <w:rPr>
          <w:lang w:val="fr-FR"/>
        </w:rPr>
        <w:t>était pas judicieux de s</w:t>
      </w:r>
      <w:r w:rsidR="00295FAB">
        <w:rPr>
          <w:lang w:val="fr-FR"/>
        </w:rPr>
        <w:t>’</w:t>
      </w:r>
      <w:r w:rsidRPr="00E45670">
        <w:rPr>
          <w:lang w:val="fr-FR"/>
        </w:rPr>
        <w:t xml:space="preserve">appuyer sur la disposition spéciale 366 pour définir les conditions de transport, car celle-ci visait à accorder des dérogations. </w:t>
      </w:r>
    </w:p>
    <w:p w:rsidR="00E45670" w:rsidRPr="00E45670" w:rsidRDefault="00E45670" w:rsidP="00E45670">
      <w:pPr>
        <w:pStyle w:val="SingleTxtG"/>
        <w:rPr>
          <w:lang w:val="fr-FR"/>
        </w:rPr>
      </w:pPr>
      <w:r w:rsidRPr="00E45670">
        <w:rPr>
          <w:lang w:val="fr-FR"/>
        </w:rPr>
        <w:t>38.</w:t>
      </w:r>
      <w:r w:rsidRPr="00E45670">
        <w:rPr>
          <w:lang w:val="fr-FR"/>
        </w:rPr>
        <w:tab/>
        <w:t>L</w:t>
      </w:r>
      <w:r w:rsidR="00295FAB">
        <w:rPr>
          <w:lang w:val="fr-FR"/>
        </w:rPr>
        <w:t>’</w:t>
      </w:r>
      <w:r w:rsidRPr="00E45670">
        <w:rPr>
          <w:lang w:val="fr-FR"/>
        </w:rPr>
        <w:t>experte de l</w:t>
      </w:r>
      <w:r w:rsidR="00295FAB">
        <w:rPr>
          <w:lang w:val="fr-FR"/>
        </w:rPr>
        <w:t>’</w:t>
      </w:r>
      <w:r w:rsidRPr="00E45670">
        <w:rPr>
          <w:lang w:val="fr-FR"/>
        </w:rPr>
        <w:t>Allemagne a déclaré qu</w:t>
      </w:r>
      <w:r w:rsidR="00295FAB">
        <w:rPr>
          <w:lang w:val="fr-FR"/>
        </w:rPr>
        <w:t>’</w:t>
      </w:r>
      <w:r w:rsidRPr="00E45670">
        <w:rPr>
          <w:lang w:val="fr-FR"/>
        </w:rPr>
        <w:t>elle réétudierait la question.</w:t>
      </w:r>
    </w:p>
    <w:p w:rsidR="00E45670" w:rsidRPr="00E45670" w:rsidRDefault="00006831" w:rsidP="00006831">
      <w:pPr>
        <w:pStyle w:val="H1G"/>
        <w:rPr>
          <w:lang w:val="fr-FR"/>
        </w:rPr>
      </w:pPr>
      <w:r>
        <w:rPr>
          <w:lang w:val="fr-FR"/>
        </w:rPr>
        <w:tab/>
      </w:r>
      <w:r w:rsidR="00E45670" w:rsidRPr="00E45670">
        <w:rPr>
          <w:lang w:val="fr-FR"/>
        </w:rPr>
        <w:t>D.</w:t>
      </w:r>
      <w:r w:rsidR="00E45670" w:rsidRPr="00E45670">
        <w:rPr>
          <w:lang w:val="fr-FR"/>
        </w:rPr>
        <w:tab/>
        <w:t>Application de l</w:t>
      </w:r>
      <w:r w:rsidR="00295FAB">
        <w:rPr>
          <w:lang w:val="fr-FR"/>
        </w:rPr>
        <w:t>’</w:t>
      </w:r>
      <w:r w:rsidR="00E45670" w:rsidRPr="00E45670">
        <w:rPr>
          <w:lang w:val="fr-FR"/>
        </w:rPr>
        <w:t>instruction d</w:t>
      </w:r>
      <w:r w:rsidR="00295FAB">
        <w:rPr>
          <w:lang w:val="fr-FR"/>
        </w:rPr>
        <w:t>’</w:t>
      </w:r>
      <w:r w:rsidR="00E45670" w:rsidRPr="00E45670">
        <w:rPr>
          <w:lang w:val="fr-FR"/>
        </w:rPr>
        <w:t>emballage P003 aux grands objets</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ST/SG/AC.10/C.3/2017/12 (Allemagne)</w:t>
      </w:r>
      <w:r w:rsidR="00006831">
        <w:rPr>
          <w:lang w:val="fr-FR"/>
        </w:rPr>
        <w:t>.</w:t>
      </w:r>
    </w:p>
    <w:p w:rsidR="00E45670" w:rsidRDefault="00E45670" w:rsidP="00E45670">
      <w:pPr>
        <w:pStyle w:val="SingleTxtG"/>
        <w:rPr>
          <w:lang w:val="fr-FR"/>
        </w:rPr>
      </w:pPr>
      <w:r w:rsidRPr="00E45670">
        <w:rPr>
          <w:lang w:val="fr-FR"/>
        </w:rPr>
        <w:t>39.</w:t>
      </w:r>
      <w:r w:rsidRPr="00E45670">
        <w:rPr>
          <w:lang w:val="fr-FR"/>
        </w:rPr>
        <w:tab/>
        <w:t>Plusieurs délégations ont appuyé le principe d</w:t>
      </w:r>
      <w:r w:rsidR="00295FAB">
        <w:rPr>
          <w:lang w:val="fr-FR"/>
        </w:rPr>
        <w:t>’</w:t>
      </w:r>
      <w:r w:rsidRPr="00E45670">
        <w:rPr>
          <w:lang w:val="fr-FR"/>
        </w:rPr>
        <w:t>adapter l</w:t>
      </w:r>
      <w:r w:rsidR="00295FAB">
        <w:rPr>
          <w:lang w:val="fr-FR"/>
        </w:rPr>
        <w:t>’</w:t>
      </w:r>
      <w:r w:rsidRPr="00E45670">
        <w:rPr>
          <w:lang w:val="fr-FR"/>
        </w:rPr>
        <w:t>instruction d</w:t>
      </w:r>
      <w:r w:rsidR="00295FAB">
        <w:rPr>
          <w:lang w:val="fr-FR"/>
        </w:rPr>
        <w:t>’</w:t>
      </w:r>
      <w:r w:rsidRPr="00E45670">
        <w:rPr>
          <w:lang w:val="fr-FR"/>
        </w:rPr>
        <w:t>emballage P003 pour permettre le transport de grands objets dont la masse excède 400 kg dans des emballages non conformes aux prescriptions du chapitre 6.1. Toutefois, plusieurs observations ont été formulées concernant la manière dont la question devrait être traitée et les détails de la proposition. L</w:t>
      </w:r>
      <w:r w:rsidR="00295FAB">
        <w:rPr>
          <w:lang w:val="fr-FR"/>
        </w:rPr>
        <w:t>’</w:t>
      </w:r>
      <w:r w:rsidRPr="00E45670">
        <w:rPr>
          <w:lang w:val="fr-FR"/>
        </w:rPr>
        <w:t>experte de l</w:t>
      </w:r>
      <w:r w:rsidR="00295FAB">
        <w:rPr>
          <w:lang w:val="fr-FR"/>
        </w:rPr>
        <w:t>’</w:t>
      </w:r>
      <w:r w:rsidRPr="00E45670">
        <w:rPr>
          <w:lang w:val="fr-FR"/>
        </w:rPr>
        <w:t>Allemagne a indiqué qu</w:t>
      </w:r>
      <w:r w:rsidR="00295FAB">
        <w:rPr>
          <w:lang w:val="fr-FR"/>
        </w:rPr>
        <w:t>’</w:t>
      </w:r>
      <w:r w:rsidRPr="00E45670">
        <w:rPr>
          <w:lang w:val="fr-FR"/>
        </w:rPr>
        <w:t>elle soumettrait une nouvelle proposition qui tiendrait compte de ces observations.</w:t>
      </w:r>
    </w:p>
    <w:p w:rsidR="00E45670" w:rsidRPr="00E45670" w:rsidRDefault="00006831" w:rsidP="00006831">
      <w:pPr>
        <w:pStyle w:val="H1G"/>
        <w:rPr>
          <w:lang w:val="fr-FR"/>
        </w:rPr>
      </w:pPr>
      <w:r>
        <w:rPr>
          <w:lang w:val="fr-FR"/>
        </w:rPr>
        <w:tab/>
      </w:r>
      <w:r w:rsidR="00E45670" w:rsidRPr="00E45670">
        <w:rPr>
          <w:lang w:val="fr-FR"/>
        </w:rPr>
        <w:t>E.</w:t>
      </w:r>
      <w:r w:rsidR="00E45670" w:rsidRPr="00E45670">
        <w:rPr>
          <w:lang w:val="fr-FR"/>
        </w:rPr>
        <w:tab/>
        <w:t xml:space="preserve">Correction de la note </w:t>
      </w:r>
      <w:r w:rsidR="005636D6">
        <w:rPr>
          <w:lang w:val="fr-FR"/>
        </w:rPr>
        <w:t>« </w:t>
      </w:r>
      <w:r w:rsidR="00E45670" w:rsidRPr="00E45670">
        <w:rPr>
          <w:lang w:val="fr-FR"/>
        </w:rPr>
        <w:t>d</w:t>
      </w:r>
      <w:r w:rsidR="005636D6">
        <w:rPr>
          <w:lang w:val="fr-FR"/>
        </w:rPr>
        <w:t> »</w:t>
      </w:r>
      <w:r w:rsidR="00E45670" w:rsidRPr="00E45670">
        <w:rPr>
          <w:lang w:val="fr-FR"/>
        </w:rPr>
        <w:t xml:space="preserve"> du tableau de l</w:t>
      </w:r>
      <w:r w:rsidR="00295FAB">
        <w:rPr>
          <w:lang w:val="fr-FR"/>
        </w:rPr>
        <w:t>’</w:t>
      </w:r>
      <w:r w:rsidR="00E45670" w:rsidRPr="00E45670">
        <w:rPr>
          <w:lang w:val="fr-FR"/>
        </w:rPr>
        <w:t>instruction d</w:t>
      </w:r>
      <w:r w:rsidR="00295FAB">
        <w:rPr>
          <w:lang w:val="fr-FR"/>
        </w:rPr>
        <w:t>’</w:t>
      </w:r>
      <w:r w:rsidR="00E45670" w:rsidRPr="00E45670">
        <w:rPr>
          <w:lang w:val="fr-FR"/>
        </w:rPr>
        <w:t xml:space="preserve">emballage P410 </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r>
      <w:r w:rsidRPr="00E45670">
        <w:rPr>
          <w:lang w:val="fr-FR"/>
        </w:rPr>
        <w:tab/>
        <w:t>INF.5 (Secrétariat)</w:t>
      </w:r>
      <w:r w:rsidR="00006831">
        <w:rPr>
          <w:lang w:val="fr-FR"/>
        </w:rPr>
        <w:t>.</w:t>
      </w:r>
    </w:p>
    <w:p w:rsidR="00E45670" w:rsidRPr="00E45670" w:rsidRDefault="00E45670" w:rsidP="00E45670">
      <w:pPr>
        <w:pStyle w:val="SingleTxtG"/>
        <w:rPr>
          <w:lang w:val="fr-FR"/>
        </w:rPr>
      </w:pPr>
      <w:r w:rsidRPr="00E45670">
        <w:rPr>
          <w:lang w:val="fr-FR"/>
        </w:rPr>
        <w:t>40.</w:t>
      </w:r>
      <w:r w:rsidRPr="00E45670">
        <w:rPr>
          <w:lang w:val="fr-FR"/>
        </w:rPr>
        <w:tab/>
        <w:t xml:space="preserve">Le Sous-Comité a adopté les corrections proposées aux textes anglais et français de la note </w:t>
      </w:r>
      <w:r w:rsidR="005636D6">
        <w:rPr>
          <w:lang w:val="fr-FR"/>
        </w:rPr>
        <w:t>« </w:t>
      </w:r>
      <w:r w:rsidRPr="00E45670">
        <w:rPr>
          <w:lang w:val="fr-FR"/>
        </w:rPr>
        <w:t>d</w:t>
      </w:r>
      <w:r w:rsidR="005636D6">
        <w:rPr>
          <w:lang w:val="fr-FR"/>
        </w:rPr>
        <w:t> »</w:t>
      </w:r>
      <w:r w:rsidRPr="00E45670">
        <w:rPr>
          <w:lang w:val="fr-FR"/>
        </w:rPr>
        <w:t xml:space="preserve"> du tableau (voir annexe I).</w:t>
      </w:r>
    </w:p>
    <w:p w:rsidR="00E45670" w:rsidRPr="00E45670" w:rsidRDefault="00006831" w:rsidP="005636D6">
      <w:pPr>
        <w:pStyle w:val="H1G"/>
        <w:rPr>
          <w:lang w:val="fr-FR"/>
        </w:rPr>
      </w:pPr>
      <w:r>
        <w:rPr>
          <w:lang w:val="fr-FR"/>
        </w:rPr>
        <w:tab/>
      </w:r>
      <w:r w:rsidR="00E45670" w:rsidRPr="00E45670">
        <w:rPr>
          <w:lang w:val="fr-FR"/>
        </w:rPr>
        <w:t>F.</w:t>
      </w:r>
      <w:r w:rsidR="00E45670" w:rsidRPr="00E45670">
        <w:rPr>
          <w:lang w:val="fr-FR"/>
        </w:rPr>
        <w:tab/>
        <w:t>Révision de l</w:t>
      </w:r>
      <w:r w:rsidR="00295FAB">
        <w:rPr>
          <w:lang w:val="fr-FR"/>
        </w:rPr>
        <w:t>’</w:t>
      </w:r>
      <w:r w:rsidR="00E45670" w:rsidRPr="00E45670">
        <w:rPr>
          <w:lang w:val="fr-FR"/>
        </w:rPr>
        <w:t>instruction d</w:t>
      </w:r>
      <w:r w:rsidR="00295FAB">
        <w:rPr>
          <w:lang w:val="fr-FR"/>
        </w:rPr>
        <w:t>’</w:t>
      </w:r>
      <w:r w:rsidR="00E45670" w:rsidRPr="00E45670">
        <w:rPr>
          <w:lang w:val="fr-FR"/>
        </w:rPr>
        <w:t>emballage P801</w:t>
      </w:r>
    </w:p>
    <w:p w:rsidR="00E45670" w:rsidRPr="00E45670" w:rsidRDefault="00E45670" w:rsidP="005636D6">
      <w:pPr>
        <w:pStyle w:val="SingleTxtG"/>
        <w:keepNext/>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INF.32 (Canada)</w:t>
      </w:r>
      <w:r w:rsidR="00006831">
        <w:rPr>
          <w:lang w:val="fr-FR"/>
        </w:rPr>
        <w:t>.</w:t>
      </w:r>
    </w:p>
    <w:p w:rsidR="00E45670" w:rsidRPr="00E45670" w:rsidRDefault="00E45670" w:rsidP="00E45670">
      <w:pPr>
        <w:pStyle w:val="SingleTxtG"/>
        <w:rPr>
          <w:lang w:val="fr-FR"/>
        </w:rPr>
      </w:pPr>
      <w:r w:rsidRPr="00E45670">
        <w:rPr>
          <w:lang w:val="fr-FR"/>
        </w:rPr>
        <w:t>41.</w:t>
      </w:r>
      <w:r w:rsidRPr="00E45670">
        <w:rPr>
          <w:lang w:val="fr-FR"/>
        </w:rPr>
        <w:tab/>
        <w:t>Plusieurs délégations ont appuyé le principe de prévoir des instructions d</w:t>
      </w:r>
      <w:r w:rsidR="00295FAB">
        <w:rPr>
          <w:lang w:val="fr-FR"/>
        </w:rPr>
        <w:t>’</w:t>
      </w:r>
      <w:r w:rsidRPr="00E45670">
        <w:rPr>
          <w:lang w:val="fr-FR"/>
        </w:rPr>
        <w:t>emballage séparées pour les accumulateurs endommagés ou transportés aux fins de recyclage. Elles ont cependant souhaité que la proposition soit examinée sur la base d</w:t>
      </w:r>
      <w:r w:rsidR="00295FAB">
        <w:rPr>
          <w:lang w:val="fr-FR"/>
        </w:rPr>
        <w:t>’</w:t>
      </w:r>
      <w:r w:rsidRPr="00E45670">
        <w:rPr>
          <w:lang w:val="fr-FR"/>
        </w:rPr>
        <w:t>un document officiel. L</w:t>
      </w:r>
      <w:r w:rsidR="00295FAB">
        <w:rPr>
          <w:lang w:val="fr-FR"/>
        </w:rPr>
        <w:t>’</w:t>
      </w:r>
      <w:r w:rsidRPr="00E45670">
        <w:rPr>
          <w:lang w:val="fr-FR"/>
        </w:rPr>
        <w:t>expert du Canada a déclaré qu</w:t>
      </w:r>
      <w:r w:rsidR="00295FAB">
        <w:rPr>
          <w:lang w:val="fr-FR"/>
        </w:rPr>
        <w:t>’</w:t>
      </w:r>
      <w:r w:rsidRPr="00E45670">
        <w:rPr>
          <w:lang w:val="fr-FR"/>
        </w:rPr>
        <w:t>il établirait une nouvelle proposition pour la prochaine session, en tenant compte des diverses observations formulées.</w:t>
      </w:r>
    </w:p>
    <w:p w:rsidR="00E45670" w:rsidRPr="00E45670" w:rsidRDefault="00006831" w:rsidP="00006831">
      <w:pPr>
        <w:pStyle w:val="H1G"/>
        <w:rPr>
          <w:lang w:val="fr-FR"/>
        </w:rPr>
      </w:pPr>
      <w:r>
        <w:rPr>
          <w:lang w:val="fr-FR"/>
        </w:rPr>
        <w:tab/>
      </w:r>
      <w:r w:rsidR="00E45670" w:rsidRPr="00E45670">
        <w:rPr>
          <w:lang w:val="fr-FR"/>
        </w:rPr>
        <w:t>G.</w:t>
      </w:r>
      <w:r w:rsidR="00E45670" w:rsidRPr="00E45670">
        <w:rPr>
          <w:lang w:val="fr-FR"/>
        </w:rPr>
        <w:tab/>
        <w:t>Classement et emballage des déchets infectieux de la catégorie A</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ST/SG/AC.10/C.3/2017/25 (Canada et Royaume-Uni)</w:t>
      </w:r>
      <w:r w:rsidR="00006831">
        <w:rPr>
          <w:lang w:val="fr-FR"/>
        </w:rPr>
        <w:t>.</w:t>
      </w:r>
    </w:p>
    <w:p w:rsidR="00E45670" w:rsidRPr="00E45670" w:rsidRDefault="00E45670" w:rsidP="00006831">
      <w:pPr>
        <w:pStyle w:val="SingleTxtG"/>
        <w:ind w:left="3119" w:hanging="1985"/>
        <w:jc w:val="left"/>
        <w:rPr>
          <w:lang w:val="fr-FR"/>
        </w:rPr>
      </w:pPr>
      <w:r w:rsidRPr="00295FAB">
        <w:rPr>
          <w:i/>
          <w:lang w:val="fr-FR"/>
        </w:rPr>
        <w:t>Documents informels</w:t>
      </w:r>
      <w:r w:rsidR="00295FAB">
        <w:rPr>
          <w:lang w:val="fr-FR"/>
        </w:rPr>
        <w:t> </w:t>
      </w:r>
      <w:r w:rsidRPr="00E45670">
        <w:rPr>
          <w:lang w:val="fr-FR"/>
        </w:rPr>
        <w:t>:</w:t>
      </w:r>
      <w:r w:rsidRPr="00E45670">
        <w:rPr>
          <w:lang w:val="fr-FR"/>
        </w:rPr>
        <w:tab/>
        <w:t xml:space="preserve">INF.11 (Suisse) </w:t>
      </w:r>
      <w:r w:rsidR="005636D6">
        <w:rPr>
          <w:lang w:val="fr-FR"/>
        </w:rPr>
        <w:br/>
      </w:r>
      <w:r w:rsidRPr="00E45670">
        <w:rPr>
          <w:lang w:val="fr-FR"/>
        </w:rPr>
        <w:t xml:space="preserve">INF.36 (Royaume-Uni) </w:t>
      </w:r>
      <w:r w:rsidR="005636D6">
        <w:rPr>
          <w:lang w:val="fr-FR"/>
        </w:rPr>
        <w:br/>
      </w:r>
      <w:r w:rsidRPr="00E45670">
        <w:rPr>
          <w:lang w:val="fr-FR"/>
        </w:rPr>
        <w:t xml:space="preserve">INF.40 (Canada et Royaume-Uni) </w:t>
      </w:r>
      <w:r w:rsidR="005636D6">
        <w:rPr>
          <w:lang w:val="fr-FR"/>
        </w:rPr>
        <w:br/>
      </w:r>
      <w:r w:rsidRPr="00E45670">
        <w:rPr>
          <w:lang w:val="fr-FR"/>
        </w:rPr>
        <w:t>INF. 43 (Canada et Royaume-Uni au nom d</w:t>
      </w:r>
      <w:r w:rsidR="00295FAB">
        <w:rPr>
          <w:lang w:val="fr-FR"/>
        </w:rPr>
        <w:t>’</w:t>
      </w:r>
      <w:r w:rsidRPr="00E45670">
        <w:rPr>
          <w:lang w:val="fr-FR"/>
        </w:rPr>
        <w:t>un groupe de travail se réunissant à l</w:t>
      </w:r>
      <w:r w:rsidR="00295FAB">
        <w:rPr>
          <w:lang w:val="fr-FR"/>
        </w:rPr>
        <w:t>’</w:t>
      </w:r>
      <w:r w:rsidRPr="00E45670">
        <w:rPr>
          <w:lang w:val="fr-FR"/>
        </w:rPr>
        <w:t>heure du déjeuner)</w:t>
      </w:r>
      <w:r w:rsidR="00006831">
        <w:rPr>
          <w:lang w:val="fr-FR"/>
        </w:rPr>
        <w:t>.</w:t>
      </w:r>
    </w:p>
    <w:p w:rsidR="00E45670" w:rsidRPr="00E45670" w:rsidRDefault="00E45670" w:rsidP="00E45670">
      <w:pPr>
        <w:pStyle w:val="SingleTxtG"/>
        <w:rPr>
          <w:lang w:val="fr-FR"/>
        </w:rPr>
      </w:pPr>
      <w:r w:rsidRPr="00E45670">
        <w:rPr>
          <w:lang w:val="fr-FR"/>
        </w:rPr>
        <w:t>42.</w:t>
      </w:r>
      <w:r w:rsidRPr="00E45670">
        <w:rPr>
          <w:lang w:val="fr-FR"/>
        </w:rPr>
        <w:tab/>
        <w:t>Le Sous-Comité a noté qu</w:t>
      </w:r>
      <w:r w:rsidR="00295FAB">
        <w:rPr>
          <w:lang w:val="fr-FR"/>
        </w:rPr>
        <w:t>’</w:t>
      </w:r>
      <w:r w:rsidRPr="00E45670">
        <w:rPr>
          <w:lang w:val="fr-FR"/>
        </w:rPr>
        <w:t>il n</w:t>
      </w:r>
      <w:r w:rsidR="00295FAB">
        <w:rPr>
          <w:lang w:val="fr-FR"/>
        </w:rPr>
        <w:t>’</w:t>
      </w:r>
      <w:r w:rsidRPr="00E45670">
        <w:rPr>
          <w:lang w:val="fr-FR"/>
        </w:rPr>
        <w:t>y avait pas encore de consensus sur les textes élaborés lors de déjeuners de travail, sur la base des propositions faites par le Royaume-Uni et le Canada, notamment en ce qui concernait les dispositions supplémentaires 8 et 9 dans les instructions d</w:t>
      </w:r>
      <w:r w:rsidR="00295FAB">
        <w:rPr>
          <w:lang w:val="fr-FR"/>
        </w:rPr>
        <w:t>’</w:t>
      </w:r>
      <w:r w:rsidRPr="00E45670">
        <w:rPr>
          <w:lang w:val="fr-FR"/>
        </w:rPr>
        <w:t>emballage P6XX et LP6XX. Toutefois, le Sous-Comité a estimé que l</w:t>
      </w:r>
      <w:r w:rsidR="00295FAB">
        <w:rPr>
          <w:lang w:val="fr-FR"/>
        </w:rPr>
        <w:t>’</w:t>
      </w:r>
      <w:r w:rsidRPr="00E45670">
        <w:rPr>
          <w:lang w:val="fr-FR"/>
        </w:rPr>
        <w:t>approche révisée présentée dans le document INF.43 pourrait guider utilement les autorités sanitaires en cas de crise, telle que l</w:t>
      </w:r>
      <w:r w:rsidR="00295FAB">
        <w:rPr>
          <w:lang w:val="fr-FR"/>
        </w:rPr>
        <w:t>’</w:t>
      </w:r>
      <w:r w:rsidRPr="00E45670">
        <w:rPr>
          <w:lang w:val="fr-FR"/>
        </w:rPr>
        <w:t>épidémie d</w:t>
      </w:r>
      <w:r w:rsidR="00295FAB">
        <w:rPr>
          <w:lang w:val="fr-FR"/>
        </w:rPr>
        <w:t>’</w:t>
      </w:r>
      <w:r w:rsidRPr="00E45670">
        <w:rPr>
          <w:lang w:val="fr-FR"/>
        </w:rPr>
        <w:t>Ebola de 2014, et a donc décidé d</w:t>
      </w:r>
      <w:r w:rsidR="00295FAB">
        <w:rPr>
          <w:lang w:val="fr-FR"/>
        </w:rPr>
        <w:t>’</w:t>
      </w:r>
      <w:r w:rsidRPr="00E45670">
        <w:rPr>
          <w:lang w:val="fr-FR"/>
        </w:rPr>
        <w:t>adopter provisoirement ces dispositions en les plaçant entre crochets afin de donner l</w:t>
      </w:r>
      <w:r w:rsidR="00295FAB">
        <w:rPr>
          <w:lang w:val="fr-FR"/>
        </w:rPr>
        <w:t>’</w:t>
      </w:r>
      <w:r w:rsidRPr="00E45670">
        <w:rPr>
          <w:lang w:val="fr-FR"/>
        </w:rPr>
        <w:t>occasion aux délégations de consulter les autorités sanitaires au sujet de l</w:t>
      </w:r>
      <w:r w:rsidR="00295FAB">
        <w:rPr>
          <w:lang w:val="fr-FR"/>
        </w:rPr>
        <w:t>’</w:t>
      </w:r>
      <w:r w:rsidRPr="00E45670">
        <w:rPr>
          <w:lang w:val="fr-FR"/>
        </w:rPr>
        <w:t>approche actuelle et de permettre la possibilité d</w:t>
      </w:r>
      <w:r w:rsidR="00295FAB">
        <w:rPr>
          <w:lang w:val="fr-FR"/>
        </w:rPr>
        <w:t>’</w:t>
      </w:r>
      <w:r w:rsidRPr="00E45670">
        <w:rPr>
          <w:lang w:val="fr-FR"/>
        </w:rPr>
        <w:t>éclaircissements supplémentaires d</w:t>
      </w:r>
      <w:r w:rsidR="00295FAB">
        <w:rPr>
          <w:lang w:val="fr-FR"/>
        </w:rPr>
        <w:t>’</w:t>
      </w:r>
      <w:r w:rsidRPr="00E45670">
        <w:rPr>
          <w:lang w:val="fr-FR"/>
        </w:rPr>
        <w:t>ici la fin de l</w:t>
      </w:r>
      <w:r w:rsidR="00295FAB">
        <w:rPr>
          <w:lang w:val="fr-FR"/>
        </w:rPr>
        <w:t>’</w:t>
      </w:r>
      <w:r w:rsidRPr="00E45670">
        <w:rPr>
          <w:lang w:val="fr-FR"/>
        </w:rPr>
        <w:t>exercice biennal en cours (voir annexe II).</w:t>
      </w:r>
    </w:p>
    <w:p w:rsidR="00E45670" w:rsidRPr="00E45670" w:rsidRDefault="00006831" w:rsidP="00006831">
      <w:pPr>
        <w:pStyle w:val="HChG"/>
        <w:rPr>
          <w:lang w:val="fr-FR"/>
        </w:rPr>
      </w:pPr>
      <w:r>
        <w:rPr>
          <w:lang w:val="fr-FR"/>
        </w:rPr>
        <w:tab/>
      </w:r>
      <w:r w:rsidR="00E45670" w:rsidRPr="00E45670">
        <w:rPr>
          <w:lang w:val="fr-FR"/>
        </w:rPr>
        <w:t>V.</w:t>
      </w:r>
      <w:r w:rsidR="00E45670" w:rsidRPr="00E45670">
        <w:rPr>
          <w:lang w:val="fr-FR"/>
        </w:rPr>
        <w:tab/>
        <w:t>Systèmes de stockage de l</w:t>
      </w:r>
      <w:r w:rsidR="00295FAB">
        <w:rPr>
          <w:lang w:val="fr-FR"/>
        </w:rPr>
        <w:t>’</w:t>
      </w:r>
      <w:r w:rsidR="00E45670" w:rsidRPr="00E45670">
        <w:rPr>
          <w:lang w:val="fr-FR"/>
        </w:rPr>
        <w:t xml:space="preserve">électricité </w:t>
      </w:r>
      <w:r>
        <w:rPr>
          <w:lang w:val="fr-FR"/>
        </w:rPr>
        <w:br/>
      </w:r>
      <w:r w:rsidR="00E45670" w:rsidRPr="00E45670">
        <w:rPr>
          <w:lang w:val="fr-FR"/>
        </w:rPr>
        <w:t>(point 4 de l</w:t>
      </w:r>
      <w:r w:rsidR="00295FAB">
        <w:rPr>
          <w:lang w:val="fr-FR"/>
        </w:rPr>
        <w:t>’</w:t>
      </w:r>
      <w:r w:rsidR="00E45670" w:rsidRPr="00E45670">
        <w:rPr>
          <w:lang w:val="fr-FR"/>
        </w:rPr>
        <w:t>ordre du jour)</w:t>
      </w:r>
    </w:p>
    <w:p w:rsidR="00E45670" w:rsidRPr="00E45670" w:rsidRDefault="00006831" w:rsidP="00006831">
      <w:pPr>
        <w:pStyle w:val="H1G"/>
        <w:rPr>
          <w:lang w:val="fr-FR"/>
        </w:rPr>
      </w:pPr>
      <w:r>
        <w:rPr>
          <w:lang w:val="fr-FR"/>
        </w:rPr>
        <w:tab/>
      </w:r>
      <w:r w:rsidR="00E45670" w:rsidRPr="00E45670">
        <w:rPr>
          <w:lang w:val="fr-FR"/>
        </w:rPr>
        <w:t>A.</w:t>
      </w:r>
      <w:r w:rsidR="00E45670" w:rsidRPr="00E45670">
        <w:rPr>
          <w:lang w:val="fr-FR"/>
        </w:rPr>
        <w:tab/>
        <w:t>Épreuves des batteries au lithium</w:t>
      </w:r>
    </w:p>
    <w:p w:rsidR="00E45670" w:rsidRPr="00E45670" w:rsidRDefault="00E45670" w:rsidP="00006831">
      <w:pPr>
        <w:pStyle w:val="H23G"/>
        <w:rPr>
          <w:lang w:val="fr-FR"/>
        </w:rPr>
      </w:pPr>
      <w:r w:rsidRPr="00E45670">
        <w:rPr>
          <w:lang w:val="fr-FR"/>
        </w:rPr>
        <w:tab/>
      </w:r>
      <w:r w:rsidRPr="00E45670">
        <w:rPr>
          <w:lang w:val="fr-FR"/>
        </w:rPr>
        <w:tab/>
        <w:t>Document de synthèse sur les épreuves des batteries au lithium</w:t>
      </w:r>
    </w:p>
    <w:p w:rsidR="00E45670" w:rsidRPr="00E45670" w:rsidRDefault="00E45670" w:rsidP="00006831">
      <w:pPr>
        <w:pStyle w:val="SingleTxtG"/>
        <w:ind w:left="3119" w:hanging="1985"/>
        <w:jc w:val="left"/>
        <w:rPr>
          <w:lang w:val="fr-FR"/>
        </w:rPr>
      </w:pPr>
      <w:r w:rsidRPr="00295FAB">
        <w:rPr>
          <w:i/>
          <w:lang w:val="fr-FR"/>
        </w:rPr>
        <w:t>Document</w:t>
      </w:r>
      <w:r w:rsidR="00295FAB">
        <w:rPr>
          <w:lang w:val="fr-FR"/>
        </w:rPr>
        <w:t> </w:t>
      </w:r>
      <w:r w:rsidRPr="00E45670">
        <w:rPr>
          <w:lang w:val="fr-FR"/>
        </w:rPr>
        <w:t>:</w:t>
      </w:r>
      <w:r w:rsidRPr="00E45670">
        <w:rPr>
          <w:lang w:val="fr-FR"/>
        </w:rPr>
        <w:tab/>
        <w:t>ST/SG/AC.10/C.3/2017/27 (MDBTC)</w:t>
      </w:r>
      <w:r w:rsidR="00006831">
        <w:rPr>
          <w:lang w:val="fr-FR"/>
        </w:rPr>
        <w:t>.</w:t>
      </w:r>
    </w:p>
    <w:p w:rsidR="00E45670" w:rsidRPr="00E45670" w:rsidRDefault="00E45670" w:rsidP="00006831">
      <w:pPr>
        <w:pStyle w:val="SingleTxtG"/>
        <w:ind w:left="3119" w:hanging="1985"/>
        <w:jc w:val="left"/>
        <w:rPr>
          <w:lang w:val="fr-FR"/>
        </w:rPr>
      </w:pPr>
      <w:r w:rsidRPr="00295FAB">
        <w:rPr>
          <w:i/>
          <w:lang w:val="fr-FR"/>
        </w:rPr>
        <w:t>Documents informels</w:t>
      </w:r>
      <w:r w:rsidR="00295FAB">
        <w:rPr>
          <w:lang w:val="fr-FR"/>
        </w:rPr>
        <w:t> </w:t>
      </w:r>
      <w:r w:rsidRPr="00E45670">
        <w:rPr>
          <w:lang w:val="fr-FR"/>
        </w:rPr>
        <w:t>:</w:t>
      </w:r>
      <w:r w:rsidRPr="00E45670">
        <w:rPr>
          <w:lang w:val="fr-FR"/>
        </w:rPr>
        <w:tab/>
        <w:t>INF.25 (PRBA) INF.42 (MDBTC au nom d</w:t>
      </w:r>
      <w:r w:rsidR="00295FAB">
        <w:rPr>
          <w:lang w:val="fr-FR"/>
        </w:rPr>
        <w:t>’</w:t>
      </w:r>
      <w:r w:rsidRPr="00E45670">
        <w:rPr>
          <w:lang w:val="fr-FR"/>
        </w:rPr>
        <w:t>un groupe de travail se réunissant à l</w:t>
      </w:r>
      <w:r w:rsidR="00295FAB">
        <w:rPr>
          <w:lang w:val="fr-FR"/>
        </w:rPr>
        <w:t>’</w:t>
      </w:r>
      <w:r w:rsidR="00006831">
        <w:rPr>
          <w:lang w:val="fr-FR"/>
        </w:rPr>
        <w:t>heure du déjeuner).</w:t>
      </w:r>
    </w:p>
    <w:p w:rsidR="00E45670" w:rsidRPr="00E45670" w:rsidRDefault="00E45670" w:rsidP="00E45670">
      <w:pPr>
        <w:pStyle w:val="SingleTxtG"/>
        <w:rPr>
          <w:lang w:val="fr-FR"/>
        </w:rPr>
      </w:pPr>
      <w:r w:rsidRPr="00E45670">
        <w:rPr>
          <w:lang w:val="fr-FR"/>
        </w:rPr>
        <w:t>43.</w:t>
      </w:r>
      <w:r w:rsidRPr="00E45670">
        <w:rPr>
          <w:lang w:val="fr-FR"/>
        </w:rPr>
        <w:tab/>
        <w:t>Le Sous-Comité a adopté les propositions du groupe de travail, moyennant quelques modifications (voir annexes II et III). Il a recommandé que ces propositions soient prises en compte par les organisations modales au moment de reprendre les dispositions de la vingtième édition révisée des Recommandations dans leurs instruments juridiques respectifs. Il a également recommandé que le procès-verbal d</w:t>
      </w:r>
      <w:r w:rsidR="00295FAB">
        <w:rPr>
          <w:lang w:val="fr-FR"/>
        </w:rPr>
        <w:t>’</w:t>
      </w:r>
      <w:r w:rsidRPr="00E45670">
        <w:rPr>
          <w:lang w:val="fr-FR"/>
        </w:rPr>
        <w:t>épreuve ne soit exigé qu</w:t>
      </w:r>
      <w:r w:rsidR="00295FAB">
        <w:rPr>
          <w:lang w:val="fr-FR"/>
        </w:rPr>
        <w:t>’</w:t>
      </w:r>
      <w:r w:rsidRPr="00E45670">
        <w:rPr>
          <w:lang w:val="fr-FR"/>
        </w:rPr>
        <w:t>à partir du 1</w:t>
      </w:r>
      <w:r w:rsidRPr="005636D6">
        <w:rPr>
          <w:vertAlign w:val="superscript"/>
          <w:lang w:val="fr-FR"/>
        </w:rPr>
        <w:t>er</w:t>
      </w:r>
      <w:r w:rsidR="005636D6">
        <w:rPr>
          <w:lang w:val="fr-FR"/>
        </w:rPr>
        <w:t> </w:t>
      </w:r>
      <w:r w:rsidRPr="00E45670">
        <w:rPr>
          <w:lang w:val="fr-FR"/>
        </w:rPr>
        <w:t>janvier 2020.</w:t>
      </w:r>
    </w:p>
    <w:p w:rsidR="00E45670" w:rsidRPr="00E45670" w:rsidRDefault="00006831" w:rsidP="00006831">
      <w:pPr>
        <w:pStyle w:val="H1G"/>
        <w:rPr>
          <w:lang w:val="fr-FR"/>
        </w:rPr>
      </w:pPr>
      <w:r>
        <w:rPr>
          <w:lang w:val="fr-FR"/>
        </w:rPr>
        <w:tab/>
      </w:r>
      <w:r w:rsidR="00E45670" w:rsidRPr="00E45670">
        <w:rPr>
          <w:lang w:val="fr-FR"/>
        </w:rPr>
        <w:t>B.</w:t>
      </w:r>
      <w:r w:rsidR="00E45670" w:rsidRPr="00E45670">
        <w:rPr>
          <w:lang w:val="fr-FR"/>
        </w:rPr>
        <w:tab/>
        <w:t>Système de classification des piles au lithium en fonction du danger</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ST/SG/AC.10/C.3/2017/16 (France)</w:t>
      </w:r>
      <w:r w:rsidR="00006831">
        <w:rPr>
          <w:lang w:val="fr-FR"/>
        </w:rPr>
        <w:t>.</w:t>
      </w:r>
    </w:p>
    <w:p w:rsidR="00E45670" w:rsidRPr="00E45670" w:rsidRDefault="00E45670" w:rsidP="005636D6">
      <w:pPr>
        <w:pStyle w:val="SingleTxtG"/>
        <w:ind w:left="3119" w:hanging="1985"/>
        <w:jc w:val="left"/>
        <w:rPr>
          <w:lang w:val="fr-FR"/>
        </w:rPr>
      </w:pPr>
      <w:r w:rsidRPr="00295FAB">
        <w:rPr>
          <w:i/>
          <w:lang w:val="fr-FR"/>
        </w:rPr>
        <w:t>Documents informels</w:t>
      </w:r>
      <w:r w:rsidR="00295FAB">
        <w:rPr>
          <w:lang w:val="fr-FR"/>
        </w:rPr>
        <w:t> </w:t>
      </w:r>
      <w:r w:rsidRPr="00E45670">
        <w:rPr>
          <w:lang w:val="fr-FR"/>
        </w:rPr>
        <w:t>:</w:t>
      </w:r>
      <w:r w:rsidRPr="00E45670">
        <w:rPr>
          <w:lang w:val="fr-FR"/>
        </w:rPr>
        <w:tab/>
        <w:t xml:space="preserve">INF.3 (France) </w:t>
      </w:r>
      <w:r w:rsidR="005636D6">
        <w:rPr>
          <w:lang w:val="fr-FR"/>
        </w:rPr>
        <w:br/>
      </w:r>
      <w:r w:rsidRPr="00E45670">
        <w:rPr>
          <w:lang w:val="fr-FR"/>
        </w:rPr>
        <w:t xml:space="preserve">INF.26 (France) </w:t>
      </w:r>
      <w:r w:rsidR="005636D6">
        <w:rPr>
          <w:lang w:val="fr-FR"/>
        </w:rPr>
        <w:br/>
      </w:r>
      <w:r w:rsidRPr="00E45670">
        <w:rPr>
          <w:lang w:val="fr-FR"/>
        </w:rPr>
        <w:t>INF.45 (Rapport du groupe de travail se réunissant à l</w:t>
      </w:r>
      <w:r w:rsidR="00295FAB">
        <w:rPr>
          <w:lang w:val="fr-FR"/>
        </w:rPr>
        <w:t>’</w:t>
      </w:r>
      <w:r w:rsidR="00006831">
        <w:rPr>
          <w:lang w:val="fr-FR"/>
        </w:rPr>
        <w:t xml:space="preserve">heure </w:t>
      </w:r>
      <w:r w:rsidR="005636D6">
        <w:rPr>
          <w:lang w:val="fr-FR"/>
        </w:rPr>
        <w:br/>
      </w:r>
      <w:r w:rsidR="00006831">
        <w:rPr>
          <w:lang w:val="fr-FR"/>
        </w:rPr>
        <w:t>du déjeuner).</w:t>
      </w:r>
    </w:p>
    <w:p w:rsidR="00E45670" w:rsidRPr="00E45670" w:rsidRDefault="00E45670" w:rsidP="00E45670">
      <w:pPr>
        <w:pStyle w:val="SingleTxtG"/>
        <w:rPr>
          <w:lang w:val="fr-FR"/>
        </w:rPr>
      </w:pPr>
      <w:r w:rsidRPr="00E45670">
        <w:rPr>
          <w:lang w:val="fr-FR"/>
        </w:rPr>
        <w:t>44.</w:t>
      </w:r>
      <w:r w:rsidRPr="00E45670">
        <w:rPr>
          <w:lang w:val="fr-FR"/>
        </w:rPr>
        <w:tab/>
        <w:t>Après un débat en plénière, les documents soumis par la France au nom du groupe de travail informel concernant un système de classement des piles au lithium fondé sur les dangers ont été confiés à un groupe de travail se réunissant à l</w:t>
      </w:r>
      <w:r w:rsidR="00295FAB">
        <w:rPr>
          <w:lang w:val="fr-FR"/>
        </w:rPr>
        <w:t>’</w:t>
      </w:r>
      <w:r w:rsidRPr="00E45670">
        <w:rPr>
          <w:lang w:val="fr-FR"/>
        </w:rPr>
        <w:t>heure du déjeuner, lequel a soumis son rapport en tant que document informel INF.45.</w:t>
      </w:r>
    </w:p>
    <w:p w:rsidR="00E45670" w:rsidRPr="00E45670" w:rsidRDefault="00E45670" w:rsidP="00E45670">
      <w:pPr>
        <w:pStyle w:val="SingleTxtG"/>
        <w:rPr>
          <w:lang w:val="fr-FR"/>
        </w:rPr>
      </w:pPr>
      <w:r w:rsidRPr="00E45670">
        <w:rPr>
          <w:lang w:val="fr-FR"/>
        </w:rPr>
        <w:t>45.</w:t>
      </w:r>
      <w:r w:rsidRPr="00E45670">
        <w:rPr>
          <w:lang w:val="fr-FR"/>
        </w:rPr>
        <w:tab/>
        <w:t>Le Sous-Comité a approuvé le rapport du groupe de travail et le calendrier proposé pour les futurs travaux, comme suit</w:t>
      </w:r>
      <w:r w:rsidR="00295FAB">
        <w:rPr>
          <w:lang w:val="fr-FR"/>
        </w:rPr>
        <w:t> </w:t>
      </w:r>
      <w:r w:rsidRPr="00E45670">
        <w:rPr>
          <w:lang w:val="fr-FR"/>
        </w:rPr>
        <w:t>:</w:t>
      </w:r>
    </w:p>
    <w:p w:rsidR="00E45670" w:rsidRPr="00E45670" w:rsidRDefault="00E45670" w:rsidP="00006831">
      <w:pPr>
        <w:pStyle w:val="SingleTxtG"/>
        <w:ind w:firstLine="567"/>
        <w:rPr>
          <w:lang w:val="fr-FR"/>
        </w:rPr>
      </w:pPr>
      <w:r w:rsidRPr="00E45670">
        <w:rPr>
          <w:lang w:val="fr-FR"/>
        </w:rPr>
        <w:t>a)</w:t>
      </w:r>
      <w:r w:rsidRPr="00E45670">
        <w:rPr>
          <w:lang w:val="fr-FR"/>
        </w:rPr>
        <w:tab/>
        <w:t>L</w:t>
      </w:r>
      <w:r w:rsidR="00295FAB">
        <w:rPr>
          <w:lang w:val="fr-FR"/>
        </w:rPr>
        <w:t>’</w:t>
      </w:r>
      <w:r w:rsidRPr="00E45670">
        <w:rPr>
          <w:lang w:val="fr-FR"/>
        </w:rPr>
        <w:t>expert de la France organiserait une réunion rassemblant un petit nombre d</w:t>
      </w:r>
      <w:r w:rsidR="00295FAB">
        <w:rPr>
          <w:lang w:val="fr-FR"/>
        </w:rPr>
        <w:t>’</w:t>
      </w:r>
      <w:r w:rsidRPr="00E45670">
        <w:rPr>
          <w:lang w:val="fr-FR"/>
        </w:rPr>
        <w:t>experts qui disposent de données sur les épreuves des batteries au lithium et accepteraient d</w:t>
      </w:r>
      <w:r w:rsidR="00295FAB">
        <w:rPr>
          <w:lang w:val="fr-FR"/>
        </w:rPr>
        <w:t>’</w:t>
      </w:r>
      <w:r w:rsidRPr="00E45670">
        <w:rPr>
          <w:lang w:val="fr-FR"/>
        </w:rPr>
        <w:t>organiser et de présenter ces données. Les participants potentiels étaient les experts de l</w:t>
      </w:r>
      <w:r w:rsidR="00295FAB">
        <w:rPr>
          <w:lang w:val="fr-FR"/>
        </w:rPr>
        <w:t>’</w:t>
      </w:r>
      <w:r w:rsidRPr="00E45670">
        <w:rPr>
          <w:lang w:val="fr-FR"/>
        </w:rPr>
        <w:t>OICA, de RECHARGE, de la PRBA, de la France (INERIS) et des États-Unis d</w:t>
      </w:r>
      <w:r w:rsidR="00295FAB">
        <w:rPr>
          <w:lang w:val="fr-FR"/>
        </w:rPr>
        <w:t>’</w:t>
      </w:r>
      <w:r w:rsidRPr="00E45670">
        <w:rPr>
          <w:lang w:val="fr-FR"/>
        </w:rPr>
        <w:t>Amérique. Ce groupe se réunirait en septembre ou octobre 2017, en vue de réunir des données qui pourraient être mises à la disposition du Sous-Comité à sa prochaine session. Les données d</w:t>
      </w:r>
      <w:r w:rsidR="00295FAB">
        <w:rPr>
          <w:lang w:val="fr-FR"/>
        </w:rPr>
        <w:t>’</w:t>
      </w:r>
      <w:r w:rsidRPr="00E45670">
        <w:rPr>
          <w:lang w:val="fr-FR"/>
        </w:rPr>
        <w:t>essai à fournir devraient être celles décrites dans le document INF.45</w:t>
      </w:r>
      <w:r w:rsidR="00006831">
        <w:rPr>
          <w:lang w:val="fr-FR"/>
        </w:rPr>
        <w:t> ;</w:t>
      </w:r>
    </w:p>
    <w:p w:rsidR="00E45670" w:rsidRPr="00E45670" w:rsidRDefault="00E45670" w:rsidP="00006831">
      <w:pPr>
        <w:pStyle w:val="SingleTxtG"/>
        <w:ind w:firstLine="567"/>
        <w:rPr>
          <w:lang w:val="fr-FR"/>
        </w:rPr>
      </w:pPr>
      <w:r w:rsidRPr="00E45670">
        <w:rPr>
          <w:lang w:val="fr-FR"/>
        </w:rPr>
        <w:t>b)</w:t>
      </w:r>
      <w:r w:rsidRPr="00E45670">
        <w:rPr>
          <w:lang w:val="fr-FR"/>
        </w:rPr>
        <w:tab/>
        <w:t>Ces données seraient examinées à la prochaine session du groupe de travail informel des batteries au lithium, qui serait organisée par RECHARGE, à Genève, du 6 au 8</w:t>
      </w:r>
      <w:r w:rsidR="00EB2C24">
        <w:rPr>
          <w:lang w:val="fr-FR"/>
        </w:rPr>
        <w:t> </w:t>
      </w:r>
      <w:r w:rsidRPr="00E45670">
        <w:rPr>
          <w:lang w:val="fr-FR"/>
        </w:rPr>
        <w:t>décembre 2017.</w:t>
      </w:r>
    </w:p>
    <w:p w:rsidR="00E45670" w:rsidRPr="00E45670" w:rsidRDefault="00006831" w:rsidP="00006831">
      <w:pPr>
        <w:pStyle w:val="H1G"/>
        <w:rPr>
          <w:lang w:val="fr-FR"/>
        </w:rPr>
      </w:pPr>
      <w:r>
        <w:rPr>
          <w:lang w:val="fr-FR"/>
        </w:rPr>
        <w:tab/>
      </w:r>
      <w:r w:rsidR="00E45670" w:rsidRPr="00E45670">
        <w:rPr>
          <w:lang w:val="fr-FR"/>
        </w:rPr>
        <w:t>C.</w:t>
      </w:r>
      <w:r w:rsidR="00E45670" w:rsidRPr="00E45670">
        <w:rPr>
          <w:lang w:val="fr-FR"/>
        </w:rPr>
        <w:tab/>
        <w:t>Dispositions relatives au transport</w:t>
      </w:r>
    </w:p>
    <w:p w:rsidR="00E45670" w:rsidRPr="00E45670" w:rsidRDefault="00006831" w:rsidP="00006831">
      <w:pPr>
        <w:pStyle w:val="H23G"/>
        <w:rPr>
          <w:lang w:val="fr-FR"/>
        </w:rPr>
      </w:pPr>
      <w:r>
        <w:rPr>
          <w:lang w:val="fr-FR"/>
        </w:rPr>
        <w:tab/>
      </w:r>
      <w:r w:rsidR="00E45670" w:rsidRPr="00E45670">
        <w:rPr>
          <w:lang w:val="fr-FR"/>
        </w:rPr>
        <w:t>1.</w:t>
      </w:r>
      <w:r w:rsidR="00E45670" w:rsidRPr="00E45670">
        <w:rPr>
          <w:lang w:val="fr-FR"/>
        </w:rPr>
        <w:tab/>
        <w:t>Accumulateurs installés dans des véhicules</w:t>
      </w:r>
    </w:p>
    <w:p w:rsidR="00E45670" w:rsidRPr="00E45670" w:rsidRDefault="00E45670" w:rsidP="00006831">
      <w:pPr>
        <w:pStyle w:val="SingleTxtG"/>
        <w:ind w:left="3119" w:hanging="1985"/>
        <w:jc w:val="left"/>
        <w:rPr>
          <w:lang w:val="fr-FR"/>
        </w:rPr>
      </w:pPr>
      <w:r w:rsidRPr="00295FAB">
        <w:rPr>
          <w:i/>
          <w:lang w:val="fr-FR"/>
        </w:rPr>
        <w:t>Documents</w:t>
      </w:r>
      <w:r w:rsidR="00295FAB">
        <w:rPr>
          <w:lang w:val="fr-FR"/>
        </w:rPr>
        <w:t> </w:t>
      </w:r>
      <w:r w:rsidRPr="00E45670">
        <w:rPr>
          <w:lang w:val="fr-FR"/>
        </w:rPr>
        <w:t>:</w:t>
      </w:r>
      <w:r w:rsidRPr="00E45670">
        <w:rPr>
          <w:lang w:val="fr-FR"/>
        </w:rPr>
        <w:tab/>
        <w:t xml:space="preserve">ST/SG/AC.10/C.3/2017/6 (Suisse) </w:t>
      </w:r>
      <w:r w:rsidR="005636D6">
        <w:rPr>
          <w:lang w:val="fr-FR"/>
        </w:rPr>
        <w:br/>
      </w:r>
      <w:r w:rsidRPr="00E45670">
        <w:rPr>
          <w:lang w:val="fr-FR"/>
        </w:rPr>
        <w:t>ST/SG/AC.10/C.3/2017/8 (Suisse)</w:t>
      </w:r>
      <w:r w:rsidR="00006831">
        <w:rPr>
          <w:lang w:val="fr-FR"/>
        </w:rPr>
        <w:t>.</w:t>
      </w:r>
    </w:p>
    <w:p w:rsidR="00E45670" w:rsidRPr="00C82F0E" w:rsidRDefault="00E45670" w:rsidP="00E45670">
      <w:pPr>
        <w:pStyle w:val="SingleTxtG"/>
        <w:rPr>
          <w:lang w:val="fr-FR"/>
        </w:rPr>
      </w:pPr>
      <w:r w:rsidRPr="00C82F0E">
        <w:rPr>
          <w:lang w:val="fr-FR"/>
        </w:rPr>
        <w:t>46.</w:t>
      </w:r>
      <w:r w:rsidRPr="00C82F0E">
        <w:rPr>
          <w:lang w:val="fr-FR"/>
        </w:rPr>
        <w:tab/>
        <w:t>Plutôt que de modifier la dernière phrase de la disposition spéciale 239, comme proposé dans le document ST/SG/AC.10/C.3/2017/6, le Sous-Comité a décidé de supprimer cette phrase car le cas des véhicules équipés d</w:t>
      </w:r>
      <w:r w:rsidR="00295FAB" w:rsidRPr="00C82F0E">
        <w:rPr>
          <w:lang w:val="fr-FR"/>
        </w:rPr>
        <w:t>’</w:t>
      </w:r>
      <w:r w:rsidRPr="00C82F0E">
        <w:rPr>
          <w:lang w:val="fr-FR"/>
        </w:rPr>
        <w:t>accumulateurs était traité dans la disposition spéciale 388 (voir annexe II).</w:t>
      </w:r>
    </w:p>
    <w:p w:rsidR="00E45670" w:rsidRPr="00E45670" w:rsidRDefault="00E45670" w:rsidP="00E45670">
      <w:pPr>
        <w:pStyle w:val="SingleTxtG"/>
        <w:rPr>
          <w:lang w:val="fr-FR"/>
        </w:rPr>
      </w:pPr>
      <w:r w:rsidRPr="00EB2C24">
        <w:rPr>
          <w:lang w:val="fr-FR"/>
        </w:rPr>
        <w:t>47.</w:t>
      </w:r>
      <w:r w:rsidRPr="00EB2C24">
        <w:rPr>
          <w:lang w:val="fr-FR"/>
        </w:rPr>
        <w:tab/>
        <w:t>Comme suite à cette décision, l</w:t>
      </w:r>
      <w:r w:rsidR="00295FAB" w:rsidRPr="00EB2C24">
        <w:rPr>
          <w:lang w:val="fr-FR"/>
        </w:rPr>
        <w:t>’</w:t>
      </w:r>
      <w:r w:rsidRPr="00EB2C24">
        <w:rPr>
          <w:lang w:val="fr-FR"/>
        </w:rPr>
        <w:t>expert de la Suisse a déclaré que les propositions</w:t>
      </w:r>
      <w:r w:rsidRPr="00C82F0E">
        <w:rPr>
          <w:lang w:val="fr-FR"/>
        </w:rPr>
        <w:t xml:space="preserve"> contenues dans le document ST/SG/AC.10/C.3/2017/8 n</w:t>
      </w:r>
      <w:r w:rsidR="00295FAB" w:rsidRPr="00C82F0E">
        <w:rPr>
          <w:lang w:val="fr-FR"/>
        </w:rPr>
        <w:t>’</w:t>
      </w:r>
      <w:r w:rsidRPr="00C82F0E">
        <w:rPr>
          <w:lang w:val="fr-FR"/>
        </w:rPr>
        <w:t>étaient plus nécessaires et les a donc retirées.</w:t>
      </w:r>
    </w:p>
    <w:p w:rsidR="00E45670" w:rsidRPr="00E45670" w:rsidRDefault="00006831" w:rsidP="00006831">
      <w:pPr>
        <w:pStyle w:val="H23G"/>
        <w:rPr>
          <w:lang w:val="fr-FR"/>
        </w:rPr>
      </w:pPr>
      <w:r>
        <w:rPr>
          <w:lang w:val="fr-FR"/>
        </w:rPr>
        <w:tab/>
      </w:r>
      <w:r w:rsidR="00E45670" w:rsidRPr="00E45670">
        <w:rPr>
          <w:lang w:val="fr-FR"/>
        </w:rPr>
        <w:t>2.</w:t>
      </w:r>
      <w:r w:rsidR="00E45670" w:rsidRPr="00E45670">
        <w:rPr>
          <w:lang w:val="fr-FR"/>
        </w:rPr>
        <w:tab/>
        <w:t xml:space="preserve">Affectation des équipements mus par des accumulateurs et des piles </w:t>
      </w:r>
      <w:r w:rsidR="005636D6">
        <w:rPr>
          <w:lang w:val="fr-FR"/>
        </w:rPr>
        <w:br/>
      </w:r>
      <w:r w:rsidR="00E45670" w:rsidRPr="00E45670">
        <w:rPr>
          <w:lang w:val="fr-FR"/>
        </w:rPr>
        <w:t xml:space="preserve">aux </w:t>
      </w:r>
      <w:r w:rsidR="005636D6">
        <w:rPr>
          <w:lang w:val="fr-FR"/>
        </w:rPr>
        <w:t>N</w:t>
      </w:r>
      <w:r w:rsidR="00E45670" w:rsidRPr="00E45670">
        <w:rPr>
          <w:lang w:val="fr-FR"/>
        </w:rPr>
        <w:t>os ONU 2800, 2794, 2795, 3028 et 3496</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ST/SG/AC.10/C.3/2017/11 (Suisse)</w:t>
      </w:r>
      <w:r w:rsidR="00006831">
        <w:rPr>
          <w:lang w:val="fr-FR"/>
        </w:rPr>
        <w:t>.</w:t>
      </w:r>
    </w:p>
    <w:p w:rsidR="00E45670" w:rsidRDefault="00E45670" w:rsidP="00E45670">
      <w:pPr>
        <w:pStyle w:val="SingleTxtG"/>
        <w:rPr>
          <w:lang w:val="fr-FR"/>
        </w:rPr>
      </w:pPr>
      <w:r w:rsidRPr="00E45670">
        <w:rPr>
          <w:lang w:val="fr-FR"/>
        </w:rPr>
        <w:t>48.</w:t>
      </w:r>
      <w:r w:rsidRPr="00E45670">
        <w:rPr>
          <w:lang w:val="fr-FR"/>
        </w:rPr>
        <w:tab/>
        <w:t>Au cours des discussions, l</w:t>
      </w:r>
      <w:r w:rsidR="00295FAB">
        <w:rPr>
          <w:lang w:val="fr-FR"/>
        </w:rPr>
        <w:t>’</w:t>
      </w:r>
      <w:r w:rsidRPr="00E45670">
        <w:rPr>
          <w:lang w:val="fr-FR"/>
        </w:rPr>
        <w:t>experte de la Suède a indiqué que si l</w:t>
      </w:r>
      <w:r w:rsidR="00295FAB">
        <w:rPr>
          <w:lang w:val="fr-FR"/>
        </w:rPr>
        <w:t>’</w:t>
      </w:r>
      <w:r w:rsidRPr="00E45670">
        <w:rPr>
          <w:lang w:val="fr-FR"/>
        </w:rPr>
        <w:t>on ajoutait le texte proposé au septième paragraphe de la disposition spéciale 388, il conviendrait également de mentionner les accumulateurs secs contenant de l</w:t>
      </w:r>
      <w:r w:rsidR="00295FAB">
        <w:rPr>
          <w:lang w:val="fr-FR"/>
        </w:rPr>
        <w:t>’</w:t>
      </w:r>
      <w:r w:rsidRPr="00E45670">
        <w:rPr>
          <w:lang w:val="fr-FR"/>
        </w:rPr>
        <w:t>hydroxyde de potassium solide au cinquième paragraphe. À l</w:t>
      </w:r>
      <w:r w:rsidR="00295FAB">
        <w:rPr>
          <w:lang w:val="fr-FR"/>
        </w:rPr>
        <w:t>’</w:t>
      </w:r>
      <w:r w:rsidRPr="00E45670">
        <w:rPr>
          <w:lang w:val="fr-FR"/>
        </w:rPr>
        <w:t>issue du débat, l</w:t>
      </w:r>
      <w:r w:rsidR="00295FAB">
        <w:rPr>
          <w:lang w:val="fr-FR"/>
        </w:rPr>
        <w:t>’</w:t>
      </w:r>
      <w:r w:rsidRPr="00E45670">
        <w:rPr>
          <w:lang w:val="fr-FR"/>
        </w:rPr>
        <w:t>expert de la Suisse a retiré sa proposition.</w:t>
      </w:r>
    </w:p>
    <w:p w:rsidR="00E45670" w:rsidRPr="00E45670" w:rsidRDefault="00EB2C24" w:rsidP="00EB2C24">
      <w:pPr>
        <w:pStyle w:val="H23G"/>
        <w:rPr>
          <w:lang w:val="fr-FR"/>
        </w:rPr>
      </w:pPr>
      <w:r>
        <w:rPr>
          <w:lang w:val="fr-FR"/>
        </w:rPr>
        <w:tab/>
      </w:r>
      <w:r w:rsidR="00E45670" w:rsidRPr="00E45670">
        <w:rPr>
          <w:lang w:val="fr-FR"/>
        </w:rPr>
        <w:t>3.</w:t>
      </w:r>
      <w:r w:rsidR="00E45670" w:rsidRPr="00E45670">
        <w:rPr>
          <w:lang w:val="fr-FR"/>
        </w:rPr>
        <w:tab/>
        <w:t>Dimension du numéro ONU sur les marques requise</w:t>
      </w:r>
      <w:r>
        <w:rPr>
          <w:lang w:val="fr-FR"/>
        </w:rPr>
        <w:t>s pour les batteries au lithium</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INF.22 (IATA)</w:t>
      </w:r>
      <w:r w:rsidR="00EB2C24">
        <w:rPr>
          <w:lang w:val="fr-FR"/>
        </w:rPr>
        <w:t>.</w:t>
      </w:r>
    </w:p>
    <w:p w:rsidR="00E45670" w:rsidRPr="00E45670" w:rsidRDefault="00E45670" w:rsidP="00E45670">
      <w:pPr>
        <w:pStyle w:val="SingleTxtG"/>
        <w:rPr>
          <w:lang w:val="fr-FR"/>
        </w:rPr>
      </w:pPr>
      <w:r w:rsidRPr="00E45670">
        <w:rPr>
          <w:lang w:val="fr-FR"/>
        </w:rPr>
        <w:t>49.</w:t>
      </w:r>
      <w:r w:rsidRPr="00E45670">
        <w:rPr>
          <w:lang w:val="fr-FR"/>
        </w:rPr>
        <w:tab/>
        <w:t>Plusieurs délégations n</w:t>
      </w:r>
      <w:r w:rsidR="00295FAB">
        <w:rPr>
          <w:lang w:val="fr-FR"/>
        </w:rPr>
        <w:t>’</w:t>
      </w:r>
      <w:r w:rsidRPr="00E45670">
        <w:rPr>
          <w:lang w:val="fr-FR"/>
        </w:rPr>
        <w:t>étaient pas favorables à la proposition de prescrire une hauteur minimale pour le numéro ONU figurant sur la marque prévue pour les batteries au lithium. Il existait déjà une prescription pour les dimensions de la marque proprement dite, dimensions qui pouvaient être réduites dans certaines conditions. Fixer une dimension minimale pour le numéro ONU qui devait y figurer ne leur paraissait pas améliorer la sécurité de manière significative. En outre, de nombreuses batteries portaient déjà la marque et des marques prêtes à être apposées étaient disponibles sur le marché. Il faudrait dont prévoir des mesures transitoires.</w:t>
      </w:r>
    </w:p>
    <w:p w:rsidR="00E45670" w:rsidRPr="00E45670" w:rsidRDefault="00E45670" w:rsidP="00E45670">
      <w:pPr>
        <w:pStyle w:val="SingleTxtG"/>
        <w:rPr>
          <w:lang w:val="fr-FR"/>
        </w:rPr>
      </w:pPr>
      <w:r w:rsidRPr="00E45670">
        <w:rPr>
          <w:lang w:val="fr-FR"/>
        </w:rPr>
        <w:t>50.</w:t>
      </w:r>
      <w:r w:rsidRPr="00E45670">
        <w:rPr>
          <w:lang w:val="fr-FR"/>
        </w:rPr>
        <w:tab/>
        <w:t>Le représentant de l</w:t>
      </w:r>
      <w:r w:rsidR="00295FAB">
        <w:rPr>
          <w:lang w:val="fr-FR"/>
        </w:rPr>
        <w:t>’</w:t>
      </w:r>
      <w:r w:rsidRPr="00E45670">
        <w:rPr>
          <w:lang w:val="fr-FR"/>
        </w:rPr>
        <w:t>IATA a dit qu</w:t>
      </w:r>
      <w:r w:rsidR="00295FAB">
        <w:rPr>
          <w:lang w:val="fr-FR"/>
        </w:rPr>
        <w:t>’</w:t>
      </w:r>
      <w:r w:rsidRPr="00E45670">
        <w:rPr>
          <w:lang w:val="fr-FR"/>
        </w:rPr>
        <w:t>il ne donnerait pas suite à cette proposition compte tenu des commentaires, à moins que des problèmes ne soient constatés dans la pratique.</w:t>
      </w:r>
    </w:p>
    <w:p w:rsidR="00E45670" w:rsidRPr="00E45670" w:rsidRDefault="00EB2C24" w:rsidP="00EB2C24">
      <w:pPr>
        <w:pStyle w:val="H1G"/>
        <w:rPr>
          <w:lang w:val="fr-FR"/>
        </w:rPr>
      </w:pPr>
      <w:r>
        <w:rPr>
          <w:lang w:val="fr-FR"/>
        </w:rPr>
        <w:tab/>
      </w:r>
      <w:r w:rsidR="00E45670" w:rsidRPr="00E45670">
        <w:rPr>
          <w:lang w:val="fr-FR"/>
        </w:rPr>
        <w:t>D.</w:t>
      </w:r>
      <w:r w:rsidR="00E45670" w:rsidRPr="00E45670">
        <w:rPr>
          <w:lang w:val="fr-FR"/>
        </w:rPr>
        <w:tab/>
        <w:t>Batteries au lithium endommagées ou défectueuses</w:t>
      </w:r>
    </w:p>
    <w:p w:rsidR="00E45670" w:rsidRPr="00E45670" w:rsidRDefault="00E45670" w:rsidP="00EB2C24">
      <w:pPr>
        <w:pStyle w:val="H23G"/>
        <w:rPr>
          <w:lang w:val="fr-FR"/>
        </w:rPr>
      </w:pPr>
      <w:r w:rsidRPr="00E45670">
        <w:rPr>
          <w:lang w:val="fr-FR"/>
        </w:rPr>
        <w:tab/>
      </w:r>
      <w:r w:rsidRPr="00E45670">
        <w:rPr>
          <w:lang w:val="fr-FR"/>
        </w:rPr>
        <w:tab/>
        <w:t xml:space="preserve">Transport de piles et batteries au lithium contenues dans les véhicules </w:t>
      </w:r>
      <w:r w:rsidR="00EB2C24">
        <w:rPr>
          <w:lang w:val="fr-FR"/>
        </w:rPr>
        <w:br/>
      </w:r>
      <w:r w:rsidRPr="00E45670">
        <w:rPr>
          <w:lang w:val="fr-FR"/>
        </w:rPr>
        <w:t>et leur équipement lorsqu</w:t>
      </w:r>
      <w:r w:rsidR="00295FAB">
        <w:rPr>
          <w:lang w:val="fr-FR"/>
        </w:rPr>
        <w:t>’</w:t>
      </w:r>
      <w:r w:rsidRPr="00E45670">
        <w:rPr>
          <w:lang w:val="fr-FR"/>
        </w:rPr>
        <w:t>elles sont endommagées ou défectueuses</w:t>
      </w:r>
    </w:p>
    <w:p w:rsidR="00E45670" w:rsidRPr="00E45670" w:rsidRDefault="00E45670" w:rsidP="00885A0C">
      <w:pPr>
        <w:pStyle w:val="SingleTxtG"/>
        <w:ind w:left="3119" w:hanging="1985"/>
        <w:rPr>
          <w:lang w:val="fr-FR"/>
        </w:rPr>
      </w:pPr>
      <w:r w:rsidRPr="00006831">
        <w:rPr>
          <w:i/>
          <w:lang w:val="fr-FR"/>
        </w:rPr>
        <w:t>Document</w:t>
      </w:r>
      <w:r w:rsidR="00006831">
        <w:rPr>
          <w:lang w:val="fr-FR"/>
        </w:rPr>
        <w:t> </w:t>
      </w:r>
      <w:r w:rsidRPr="00E45670">
        <w:rPr>
          <w:lang w:val="fr-FR"/>
        </w:rPr>
        <w:t>:</w:t>
      </w:r>
      <w:r w:rsidRPr="00E45670">
        <w:rPr>
          <w:lang w:val="fr-FR"/>
        </w:rPr>
        <w:tab/>
        <w:t>ST/SG/AC.10/C.3/2017/9 (Suisse)</w:t>
      </w:r>
      <w:r w:rsidR="00EB2C24">
        <w:rPr>
          <w:lang w:val="fr-FR"/>
        </w:rPr>
        <w:t>.</w:t>
      </w:r>
    </w:p>
    <w:p w:rsidR="00E45670" w:rsidRPr="00E45670" w:rsidRDefault="00E45670" w:rsidP="00E45670">
      <w:pPr>
        <w:pStyle w:val="SingleTxtG"/>
        <w:rPr>
          <w:lang w:val="fr-FR"/>
        </w:rPr>
      </w:pPr>
      <w:r w:rsidRPr="00E45670">
        <w:rPr>
          <w:lang w:val="fr-FR"/>
        </w:rPr>
        <w:t>51.</w:t>
      </w:r>
      <w:r w:rsidRPr="00E45670">
        <w:rPr>
          <w:lang w:val="fr-FR"/>
        </w:rPr>
        <w:tab/>
        <w:t>On a fait observer qu</w:t>
      </w:r>
      <w:r w:rsidR="00295FAB">
        <w:rPr>
          <w:lang w:val="fr-FR"/>
        </w:rPr>
        <w:t>’</w:t>
      </w:r>
      <w:r w:rsidRPr="00E45670">
        <w:rPr>
          <w:lang w:val="fr-FR"/>
        </w:rPr>
        <w:t xml:space="preserve">une fois les piles ou batteries retirées du véhicule dans lequel elles étaient installées, il convenait de les transporter sous la rubrique appropriée concernant les piles et </w:t>
      </w:r>
      <w:r w:rsidR="005636D6">
        <w:rPr>
          <w:lang w:val="fr-FR"/>
        </w:rPr>
        <w:t>batteries, et non pas sous les N</w:t>
      </w:r>
      <w:r w:rsidRPr="00E45670">
        <w:rPr>
          <w:lang w:val="fr-FR"/>
        </w:rPr>
        <w:t>os ONU</w:t>
      </w:r>
      <w:r w:rsidR="00EB2C24">
        <w:rPr>
          <w:lang w:val="fr-FR"/>
        </w:rPr>
        <w:t> </w:t>
      </w:r>
      <w:r w:rsidRPr="00E45670">
        <w:rPr>
          <w:lang w:val="fr-FR"/>
        </w:rPr>
        <w:t>3166 ou 3171, qui s</w:t>
      </w:r>
      <w:r w:rsidR="00295FAB">
        <w:rPr>
          <w:lang w:val="fr-FR"/>
        </w:rPr>
        <w:t>’</w:t>
      </w:r>
      <w:r w:rsidRPr="00E45670">
        <w:rPr>
          <w:lang w:val="fr-FR"/>
        </w:rPr>
        <w:t>appliquent aux véhicules. La disposition spéciale 388 ne s</w:t>
      </w:r>
      <w:r w:rsidR="00295FAB">
        <w:rPr>
          <w:lang w:val="fr-FR"/>
        </w:rPr>
        <w:t>’</w:t>
      </w:r>
      <w:r w:rsidRPr="00E45670">
        <w:rPr>
          <w:lang w:val="fr-FR"/>
        </w:rPr>
        <w:t>appliquant qu</w:t>
      </w:r>
      <w:r w:rsidR="00295FAB">
        <w:rPr>
          <w:lang w:val="fr-FR"/>
        </w:rPr>
        <w:t>’</w:t>
      </w:r>
      <w:r w:rsidRPr="00E45670">
        <w:rPr>
          <w:lang w:val="fr-FR"/>
        </w:rPr>
        <w:t xml:space="preserve">aux </w:t>
      </w:r>
      <w:r w:rsidR="005636D6">
        <w:rPr>
          <w:lang w:val="fr-FR"/>
        </w:rPr>
        <w:t>N</w:t>
      </w:r>
      <w:r w:rsidRPr="00E45670">
        <w:rPr>
          <w:lang w:val="fr-FR"/>
        </w:rPr>
        <w:t>os ONU</w:t>
      </w:r>
      <w:r w:rsidR="00EB2C24">
        <w:rPr>
          <w:lang w:val="fr-FR"/>
        </w:rPr>
        <w:t> </w:t>
      </w:r>
      <w:r w:rsidRPr="00E45670">
        <w:rPr>
          <w:lang w:val="fr-FR"/>
        </w:rPr>
        <w:t>3166 et 3171, il n</w:t>
      </w:r>
      <w:r w:rsidR="00295FAB">
        <w:rPr>
          <w:lang w:val="fr-FR"/>
        </w:rPr>
        <w:t>’</w:t>
      </w:r>
      <w:r w:rsidRPr="00E45670">
        <w:rPr>
          <w:lang w:val="fr-FR"/>
        </w:rPr>
        <w:t>était pas nécessaire de les modifier afin de prendre en compte le transport des piles et batteries endommagées enlevées d</w:t>
      </w:r>
      <w:r w:rsidR="00295FAB">
        <w:rPr>
          <w:lang w:val="fr-FR"/>
        </w:rPr>
        <w:t>’</w:t>
      </w:r>
      <w:r w:rsidRPr="00E45670">
        <w:rPr>
          <w:lang w:val="fr-FR"/>
        </w:rPr>
        <w:t>un véhicule. Il a également été souligné que, pour les pays Parties contractantes à l</w:t>
      </w:r>
      <w:r w:rsidR="00295FAB">
        <w:rPr>
          <w:lang w:val="fr-FR"/>
        </w:rPr>
        <w:t>’</w:t>
      </w:r>
      <w:r w:rsidRPr="00E45670">
        <w:rPr>
          <w:lang w:val="fr-FR"/>
        </w:rPr>
        <w:t>ADR, le cas des piles ou batteries contenues dans un véhicule endommagé était traité dans la disposition spéciale 667 de l</w:t>
      </w:r>
      <w:r w:rsidR="00295FAB">
        <w:rPr>
          <w:lang w:val="fr-FR"/>
        </w:rPr>
        <w:t>’</w:t>
      </w:r>
      <w:r w:rsidRPr="00E45670">
        <w:rPr>
          <w:lang w:val="fr-FR"/>
        </w:rPr>
        <w:t>ADR.</w:t>
      </w:r>
    </w:p>
    <w:p w:rsidR="00E45670" w:rsidRPr="00E45670" w:rsidRDefault="00E45670" w:rsidP="00E45670">
      <w:pPr>
        <w:pStyle w:val="SingleTxtG"/>
        <w:rPr>
          <w:lang w:val="fr-FR"/>
        </w:rPr>
      </w:pPr>
      <w:r w:rsidRPr="00E45670">
        <w:rPr>
          <w:lang w:val="fr-FR"/>
        </w:rPr>
        <w:t>52.</w:t>
      </w:r>
      <w:r w:rsidRPr="00E45670">
        <w:rPr>
          <w:lang w:val="fr-FR"/>
        </w:rPr>
        <w:tab/>
        <w:t>Comme suite à ces explications, l</w:t>
      </w:r>
      <w:r w:rsidR="00295FAB">
        <w:rPr>
          <w:lang w:val="fr-FR"/>
        </w:rPr>
        <w:t>’</w:t>
      </w:r>
      <w:r w:rsidRPr="00E45670">
        <w:rPr>
          <w:lang w:val="fr-FR"/>
        </w:rPr>
        <w:t>expert de la Suisse a retiré sa proposition.</w:t>
      </w:r>
    </w:p>
    <w:p w:rsidR="00E45670" w:rsidRPr="00E45670" w:rsidRDefault="00EB2C24" w:rsidP="00EB2C24">
      <w:pPr>
        <w:pStyle w:val="H1G"/>
        <w:rPr>
          <w:lang w:val="fr-FR"/>
        </w:rPr>
      </w:pPr>
      <w:r>
        <w:rPr>
          <w:lang w:val="fr-FR"/>
        </w:rPr>
        <w:tab/>
      </w:r>
      <w:r w:rsidR="00E45670" w:rsidRPr="00E45670">
        <w:rPr>
          <w:lang w:val="fr-FR"/>
        </w:rPr>
        <w:t>E.</w:t>
      </w:r>
      <w:r w:rsidR="00E45670" w:rsidRPr="00E45670">
        <w:rPr>
          <w:lang w:val="fr-FR"/>
        </w:rPr>
        <w:tab/>
        <w:t>Divers</w:t>
      </w:r>
    </w:p>
    <w:p w:rsidR="00E45670" w:rsidRPr="00E45670" w:rsidRDefault="00EB2C24" w:rsidP="00EB2C24">
      <w:pPr>
        <w:pStyle w:val="H23G"/>
        <w:rPr>
          <w:lang w:val="fr-FR"/>
        </w:rPr>
      </w:pPr>
      <w:r>
        <w:rPr>
          <w:lang w:val="fr-FR"/>
        </w:rPr>
        <w:tab/>
      </w:r>
      <w:r w:rsidR="00E45670" w:rsidRPr="00E45670">
        <w:rPr>
          <w:lang w:val="fr-FR"/>
        </w:rPr>
        <w:t>1.</w:t>
      </w:r>
      <w:r w:rsidR="00E45670" w:rsidRPr="00E45670">
        <w:rPr>
          <w:lang w:val="fr-FR"/>
        </w:rPr>
        <w:tab/>
        <w:t>No</w:t>
      </w:r>
      <w:r>
        <w:rPr>
          <w:lang w:val="fr-FR"/>
        </w:rPr>
        <w:t> </w:t>
      </w:r>
      <w:r w:rsidR="00E45670" w:rsidRPr="00E45670">
        <w:rPr>
          <w:lang w:val="fr-FR"/>
        </w:rPr>
        <w:t>ONU</w:t>
      </w:r>
      <w:r>
        <w:rPr>
          <w:lang w:val="fr-FR"/>
        </w:rPr>
        <w:t> </w:t>
      </w:r>
      <w:r w:rsidR="00E45670" w:rsidRPr="00E45670">
        <w:rPr>
          <w:lang w:val="fr-FR"/>
        </w:rPr>
        <w:t>3536 et disposition spéciale 389</w:t>
      </w:r>
    </w:p>
    <w:p w:rsidR="00E45670" w:rsidRPr="00E45670" w:rsidRDefault="00E45670" w:rsidP="00885A0C">
      <w:pPr>
        <w:pStyle w:val="SingleTxtG"/>
        <w:ind w:left="3119" w:hanging="1985"/>
        <w:rPr>
          <w:lang w:val="fr-FR"/>
        </w:rPr>
      </w:pPr>
      <w:r w:rsidRPr="00006831">
        <w:rPr>
          <w:i/>
          <w:lang w:val="fr-FR"/>
        </w:rPr>
        <w:t>Documen</w:t>
      </w:r>
      <w:r w:rsidR="00006831">
        <w:rPr>
          <w:i/>
          <w:lang w:val="fr-FR"/>
        </w:rPr>
        <w:t>t </w:t>
      </w:r>
      <w:r w:rsidRPr="00E45670">
        <w:rPr>
          <w:lang w:val="fr-FR"/>
        </w:rPr>
        <w:t>:</w:t>
      </w:r>
      <w:r w:rsidRPr="00E45670">
        <w:rPr>
          <w:lang w:val="fr-FR"/>
        </w:rPr>
        <w:tab/>
        <w:t>ST/SG/AC.10/C.3/2017/4 (Suisse)</w:t>
      </w:r>
      <w:r w:rsidR="00EB2C24">
        <w:rPr>
          <w:lang w:val="fr-FR"/>
        </w:rPr>
        <w:t>.</w:t>
      </w:r>
    </w:p>
    <w:p w:rsidR="00E45670" w:rsidRPr="00E45670" w:rsidRDefault="00E45670" w:rsidP="00E45670">
      <w:pPr>
        <w:pStyle w:val="SingleTxtG"/>
        <w:rPr>
          <w:lang w:val="fr-FR"/>
        </w:rPr>
      </w:pPr>
      <w:r w:rsidRPr="00E45670">
        <w:rPr>
          <w:lang w:val="fr-FR"/>
        </w:rPr>
        <w:t>53.</w:t>
      </w:r>
      <w:r w:rsidRPr="00E45670">
        <w:rPr>
          <w:lang w:val="fr-FR"/>
        </w:rPr>
        <w:tab/>
        <w:t>L</w:t>
      </w:r>
      <w:r w:rsidR="00295FAB">
        <w:rPr>
          <w:lang w:val="fr-FR"/>
        </w:rPr>
        <w:t>’</w:t>
      </w:r>
      <w:r w:rsidRPr="00E45670">
        <w:rPr>
          <w:lang w:val="fr-FR"/>
        </w:rPr>
        <w:t>expe</w:t>
      </w:r>
      <w:r w:rsidRPr="00EB2C24">
        <w:rPr>
          <w:spacing w:val="-2"/>
          <w:lang w:val="fr-FR"/>
        </w:rPr>
        <w:t xml:space="preserve">rt de la Suisse souhaitait préciser certains points de la disposition spéciale 389 applicable </w:t>
      </w:r>
      <w:r w:rsidR="00EB2C24">
        <w:rPr>
          <w:lang w:val="fr-FR"/>
        </w:rPr>
        <w:t xml:space="preserve">au </w:t>
      </w:r>
      <w:r w:rsidR="005636D6">
        <w:rPr>
          <w:lang w:val="fr-FR"/>
        </w:rPr>
        <w:t xml:space="preserve">No </w:t>
      </w:r>
      <w:r w:rsidRPr="00E45670">
        <w:rPr>
          <w:lang w:val="fr-FR"/>
        </w:rPr>
        <w:t>ONU</w:t>
      </w:r>
      <w:r w:rsidR="0020037E">
        <w:rPr>
          <w:lang w:val="fr-FR"/>
        </w:rPr>
        <w:t> </w:t>
      </w:r>
      <w:r w:rsidR="005636D6">
        <w:rPr>
          <w:lang w:val="fr-FR"/>
        </w:rPr>
        <w:t>3536</w:t>
      </w:r>
      <w:r w:rsidRPr="00E45670">
        <w:rPr>
          <w:lang w:val="fr-FR"/>
        </w:rPr>
        <w:t>, BATTERIES AU LITHIUM INSTALLÉES DANS DES ENGINS DE TRANSPORT.</w:t>
      </w:r>
    </w:p>
    <w:p w:rsidR="00E45670" w:rsidRPr="00E45670" w:rsidRDefault="00E45670" w:rsidP="00E45670">
      <w:pPr>
        <w:pStyle w:val="SingleTxtG"/>
        <w:rPr>
          <w:lang w:val="fr-FR"/>
        </w:rPr>
      </w:pPr>
      <w:r w:rsidRPr="00E45670">
        <w:rPr>
          <w:lang w:val="fr-FR"/>
        </w:rPr>
        <w:t>54.</w:t>
      </w:r>
      <w:r w:rsidRPr="00E45670">
        <w:rPr>
          <w:lang w:val="fr-FR"/>
        </w:rPr>
        <w:tab/>
        <w:t>Le Sous-Comité a confirmé que le terme «</w:t>
      </w:r>
      <w:r w:rsidR="00295FAB">
        <w:rPr>
          <w:lang w:val="fr-FR"/>
        </w:rPr>
        <w:t> </w:t>
      </w:r>
      <w:r w:rsidRPr="00E45670">
        <w:rPr>
          <w:lang w:val="fr-FR"/>
        </w:rPr>
        <w:t>engin de transport</w:t>
      </w:r>
      <w:r w:rsidR="00295FAB">
        <w:rPr>
          <w:lang w:val="fr-FR"/>
        </w:rPr>
        <w:t> </w:t>
      </w:r>
      <w:r w:rsidRPr="00E45670">
        <w:rPr>
          <w:lang w:val="fr-FR"/>
        </w:rPr>
        <w:t>» ne visait pas uniquement les conteneurs et qu</w:t>
      </w:r>
      <w:r w:rsidR="00295FAB">
        <w:rPr>
          <w:lang w:val="fr-FR"/>
        </w:rPr>
        <w:t>’</w:t>
      </w:r>
      <w:r w:rsidRPr="00E45670">
        <w:rPr>
          <w:lang w:val="fr-FR"/>
        </w:rPr>
        <w:t>il devait être compris comme défini au chapitre 1.2, à savoir conteneur multimodal, véhicule routier ou wagon. Sur cette base, le Sous-Comité a adopté les propositions 1 et 2 soumises par l</w:t>
      </w:r>
      <w:r w:rsidR="00295FAB">
        <w:rPr>
          <w:lang w:val="fr-FR"/>
        </w:rPr>
        <w:t>’</w:t>
      </w:r>
      <w:r w:rsidRPr="00E45670">
        <w:rPr>
          <w:lang w:val="fr-FR"/>
        </w:rPr>
        <w:t>expert de la Suisse, concernant respectivement les dispositions spéciales 360 et 388, avec quelques modifications (voir annexe II).</w:t>
      </w:r>
    </w:p>
    <w:p w:rsidR="00E45670" w:rsidRPr="00E45670" w:rsidRDefault="00E45670" w:rsidP="00E45670">
      <w:pPr>
        <w:pStyle w:val="SingleTxtG"/>
        <w:rPr>
          <w:lang w:val="fr-FR"/>
        </w:rPr>
      </w:pPr>
      <w:r w:rsidRPr="00E45670">
        <w:rPr>
          <w:lang w:val="fr-FR"/>
        </w:rPr>
        <w:t>55.</w:t>
      </w:r>
      <w:r w:rsidRPr="00E45670">
        <w:rPr>
          <w:lang w:val="fr-FR"/>
        </w:rPr>
        <w:tab/>
        <w:t>Plusieurs délégations ont estimé que les propositions 3 et 4 n</w:t>
      </w:r>
      <w:r w:rsidR="00295FAB">
        <w:rPr>
          <w:lang w:val="fr-FR"/>
        </w:rPr>
        <w:t>’</w:t>
      </w:r>
      <w:r w:rsidRPr="00E45670">
        <w:rPr>
          <w:lang w:val="fr-FR"/>
        </w:rPr>
        <w:t>étaient pas appropriées et l</w:t>
      </w:r>
      <w:r w:rsidR="00295FAB">
        <w:rPr>
          <w:lang w:val="fr-FR"/>
        </w:rPr>
        <w:t>’</w:t>
      </w:r>
      <w:r w:rsidRPr="00E45670">
        <w:rPr>
          <w:lang w:val="fr-FR"/>
        </w:rPr>
        <w:t>expert de la Suisse les a retirées.</w:t>
      </w:r>
    </w:p>
    <w:p w:rsidR="00E45670" w:rsidRPr="00E45670" w:rsidRDefault="00E45670" w:rsidP="00E45670">
      <w:pPr>
        <w:pStyle w:val="SingleTxtG"/>
        <w:rPr>
          <w:lang w:val="fr-FR"/>
        </w:rPr>
      </w:pPr>
      <w:r w:rsidRPr="00E45670">
        <w:rPr>
          <w:lang w:val="fr-FR"/>
        </w:rPr>
        <w:t>56.</w:t>
      </w:r>
      <w:r w:rsidRPr="00E45670">
        <w:rPr>
          <w:lang w:val="fr-FR"/>
        </w:rPr>
        <w:tab/>
        <w:t>Après un échange de vues, l</w:t>
      </w:r>
      <w:r w:rsidR="00295FAB">
        <w:rPr>
          <w:lang w:val="fr-FR"/>
        </w:rPr>
        <w:t>’</w:t>
      </w:r>
      <w:r w:rsidRPr="00E45670">
        <w:rPr>
          <w:lang w:val="fr-FR"/>
        </w:rPr>
        <w:t>expert de la Suisse a également retiré les propositions 5 et 6, tout en indiquant qu</w:t>
      </w:r>
      <w:r w:rsidR="00295FAB">
        <w:rPr>
          <w:lang w:val="fr-FR"/>
        </w:rPr>
        <w:t>’</w:t>
      </w:r>
      <w:r w:rsidRPr="00E45670">
        <w:rPr>
          <w:lang w:val="fr-FR"/>
        </w:rPr>
        <w:t>il y reviendrait éventuellement à une prochaine session en tenant compte des commentaires. Il a également retiré la proposition 7.</w:t>
      </w:r>
    </w:p>
    <w:p w:rsidR="00E45670" w:rsidRPr="00E45670" w:rsidRDefault="00EB2C24" w:rsidP="00EB2C24">
      <w:pPr>
        <w:pStyle w:val="H23G"/>
        <w:rPr>
          <w:lang w:val="fr-FR"/>
        </w:rPr>
      </w:pPr>
      <w:r>
        <w:rPr>
          <w:lang w:val="fr-FR"/>
        </w:rPr>
        <w:tab/>
      </w:r>
      <w:r w:rsidR="00E45670" w:rsidRPr="00E45670">
        <w:rPr>
          <w:lang w:val="fr-FR"/>
        </w:rPr>
        <w:t>2.</w:t>
      </w:r>
      <w:r w:rsidR="00E45670" w:rsidRPr="00E45670">
        <w:rPr>
          <w:lang w:val="fr-FR"/>
        </w:rPr>
        <w:tab/>
        <w:t xml:space="preserve">Exemption pour les dispositifs de localisation des marchandises et </w:t>
      </w:r>
      <w:r>
        <w:rPr>
          <w:lang w:val="fr-FR"/>
        </w:rPr>
        <w:br/>
      </w:r>
      <w:r w:rsidR="00E45670" w:rsidRPr="00E45670">
        <w:rPr>
          <w:lang w:val="fr-FR"/>
        </w:rPr>
        <w:t>les enregistreurs de données alimentés par batterie au lithium</w:t>
      </w:r>
      <w:r w:rsidR="00295FAB">
        <w:rPr>
          <w:lang w:val="fr-FR"/>
        </w:rPr>
        <w:t> </w:t>
      </w:r>
      <w:r w:rsidR="00E45670" w:rsidRPr="00E45670">
        <w:rPr>
          <w:lang w:val="fr-FR"/>
        </w:rPr>
        <w:t xml:space="preserve">; </w:t>
      </w:r>
      <w:r>
        <w:rPr>
          <w:lang w:val="fr-FR"/>
        </w:rPr>
        <w:br/>
      </w:r>
      <w:r w:rsidR="00E45670" w:rsidRPr="00E45670">
        <w:rPr>
          <w:lang w:val="fr-FR"/>
        </w:rPr>
        <w:t>champ d</w:t>
      </w:r>
      <w:r w:rsidR="00295FAB">
        <w:rPr>
          <w:lang w:val="fr-FR"/>
        </w:rPr>
        <w:t>’</w:t>
      </w:r>
      <w:r w:rsidR="00E45670" w:rsidRPr="00E45670">
        <w:rPr>
          <w:lang w:val="fr-FR"/>
        </w:rPr>
        <w:t>application des exemptions au 1.1.1.2</w:t>
      </w:r>
    </w:p>
    <w:p w:rsidR="00E45670" w:rsidRPr="00E45670" w:rsidRDefault="00E45670" w:rsidP="00EB2C24">
      <w:pPr>
        <w:pStyle w:val="SingleTxtG"/>
        <w:ind w:left="3119" w:hanging="1985"/>
        <w:jc w:val="left"/>
        <w:rPr>
          <w:lang w:val="fr-FR"/>
        </w:rPr>
      </w:pPr>
      <w:r w:rsidRPr="00006831">
        <w:rPr>
          <w:i/>
          <w:lang w:val="fr-FR"/>
        </w:rPr>
        <w:t>Documents</w:t>
      </w:r>
      <w:r w:rsidR="00295FAB">
        <w:rPr>
          <w:lang w:val="fr-FR"/>
        </w:rPr>
        <w:t> </w:t>
      </w:r>
      <w:r w:rsidRPr="00E45670">
        <w:rPr>
          <w:lang w:val="fr-FR"/>
        </w:rPr>
        <w:t>:</w:t>
      </w:r>
      <w:r w:rsidRPr="00E45670">
        <w:rPr>
          <w:lang w:val="fr-FR"/>
        </w:rPr>
        <w:tab/>
        <w:t>ST/SG/AC.10/C.3/2017/13 (Allemagne) ST/SG/AC.10/C.3/2017/22 (Suisse)</w:t>
      </w:r>
      <w:r w:rsidR="00EB2C24">
        <w:rPr>
          <w:lang w:val="fr-FR"/>
        </w:rPr>
        <w:t>.</w:t>
      </w:r>
    </w:p>
    <w:p w:rsidR="00E45670" w:rsidRPr="00E45670" w:rsidRDefault="00E45670" w:rsidP="00885A0C">
      <w:pPr>
        <w:pStyle w:val="SingleTxtG"/>
        <w:ind w:left="3119" w:hanging="1985"/>
        <w:rPr>
          <w:lang w:val="fr-FR"/>
        </w:rPr>
      </w:pPr>
      <w:r w:rsidRPr="00006831">
        <w:rPr>
          <w:i/>
          <w:lang w:val="fr-FR"/>
        </w:rPr>
        <w:t>Document informel</w:t>
      </w:r>
      <w:r w:rsidR="00295FAB">
        <w:rPr>
          <w:lang w:val="fr-FR"/>
        </w:rPr>
        <w:t> </w:t>
      </w:r>
      <w:r w:rsidRPr="00E45670">
        <w:rPr>
          <w:lang w:val="fr-FR"/>
        </w:rPr>
        <w:t>:</w:t>
      </w:r>
      <w:r w:rsidRPr="00E45670">
        <w:rPr>
          <w:lang w:val="fr-FR"/>
        </w:rPr>
        <w:tab/>
        <w:t>INF.27 (Pays-Bas)</w:t>
      </w:r>
      <w:r w:rsidR="00EB2C24">
        <w:rPr>
          <w:lang w:val="fr-FR"/>
        </w:rPr>
        <w:t>.</w:t>
      </w:r>
    </w:p>
    <w:p w:rsidR="00E45670" w:rsidRPr="00E45670" w:rsidRDefault="00E45670" w:rsidP="00E45670">
      <w:pPr>
        <w:pStyle w:val="SingleTxtG"/>
        <w:rPr>
          <w:lang w:val="fr-FR"/>
        </w:rPr>
      </w:pPr>
      <w:r w:rsidRPr="00E45670">
        <w:rPr>
          <w:lang w:val="fr-FR"/>
        </w:rPr>
        <w:t>57.</w:t>
      </w:r>
      <w:r w:rsidRPr="00E45670">
        <w:rPr>
          <w:lang w:val="fr-FR"/>
        </w:rPr>
        <w:tab/>
        <w:t>La question de l</w:t>
      </w:r>
      <w:r w:rsidR="00295FAB">
        <w:rPr>
          <w:lang w:val="fr-FR"/>
        </w:rPr>
        <w:t>’</w:t>
      </w:r>
      <w:r w:rsidRPr="00E45670">
        <w:rPr>
          <w:lang w:val="fr-FR"/>
        </w:rPr>
        <w:t>exemption des dispositifs de suivi et des enregistreurs de données fixés sur des engins de transport ou sur des colis et alimentés par batterie au lithium avait déjà été examinée plusieurs fois lors de sessions précédentes. Faute de parvenir à un consensus sur la meilleure façon de régler le problème, le Sous-Comité a décidé par un vote à la majorité d</w:t>
      </w:r>
      <w:r w:rsidR="00295FAB">
        <w:rPr>
          <w:lang w:val="fr-FR"/>
        </w:rPr>
        <w:t>’</w:t>
      </w:r>
      <w:r w:rsidRPr="00E45670">
        <w:rPr>
          <w:lang w:val="fr-FR"/>
        </w:rPr>
        <w:t>adopter provisoirement l</w:t>
      </w:r>
      <w:r w:rsidR="00295FAB">
        <w:rPr>
          <w:lang w:val="fr-FR"/>
        </w:rPr>
        <w:t>’</w:t>
      </w:r>
      <w:r w:rsidRPr="00E45670">
        <w:rPr>
          <w:lang w:val="fr-FR"/>
        </w:rPr>
        <w:t>ajout d</w:t>
      </w:r>
      <w:r w:rsidR="00295FAB">
        <w:rPr>
          <w:lang w:val="fr-FR"/>
        </w:rPr>
        <w:t>’</w:t>
      </w:r>
      <w:r w:rsidRPr="00E45670">
        <w:rPr>
          <w:lang w:val="fr-FR"/>
        </w:rPr>
        <w:t>un nouvel alinéa</w:t>
      </w:r>
      <w:r w:rsidR="00EB2C24">
        <w:rPr>
          <w:lang w:val="fr-FR"/>
        </w:rPr>
        <w:t xml:space="preserve"> </w:t>
      </w:r>
      <w:r w:rsidRPr="00E45670">
        <w:rPr>
          <w:lang w:val="fr-FR"/>
        </w:rPr>
        <w:t>c) au paragraphe 1.1.1.2, comme proposé par l</w:t>
      </w:r>
      <w:r w:rsidR="00295FAB">
        <w:rPr>
          <w:lang w:val="fr-FR"/>
        </w:rPr>
        <w:t>’</w:t>
      </w:r>
      <w:r w:rsidRPr="00E45670">
        <w:rPr>
          <w:lang w:val="fr-FR"/>
        </w:rPr>
        <w:t>experte de l</w:t>
      </w:r>
      <w:r w:rsidR="00295FAB">
        <w:rPr>
          <w:lang w:val="fr-FR"/>
        </w:rPr>
        <w:t>’</w:t>
      </w:r>
      <w:r w:rsidRPr="00E45670">
        <w:rPr>
          <w:lang w:val="fr-FR"/>
        </w:rPr>
        <w:t>Allemagne, moyennant quelques modifications (voir annexe II).</w:t>
      </w:r>
    </w:p>
    <w:p w:rsidR="00E45670" w:rsidRPr="00E45670" w:rsidRDefault="00E45670" w:rsidP="00E45670">
      <w:pPr>
        <w:pStyle w:val="SingleTxtG"/>
        <w:rPr>
          <w:lang w:val="fr-FR"/>
        </w:rPr>
      </w:pPr>
      <w:r w:rsidRPr="00E45670">
        <w:rPr>
          <w:lang w:val="fr-FR"/>
        </w:rPr>
        <w:t>58.</w:t>
      </w:r>
      <w:r w:rsidRPr="00E45670">
        <w:rPr>
          <w:lang w:val="fr-FR"/>
        </w:rPr>
        <w:tab/>
        <w:t>Certaines délégations ont fait part de leurs préoccupations concernant cette décision en raison d</w:t>
      </w:r>
      <w:r w:rsidR="00295FAB">
        <w:rPr>
          <w:lang w:val="fr-FR"/>
        </w:rPr>
        <w:t>’</w:t>
      </w:r>
      <w:r w:rsidRPr="00E45670">
        <w:rPr>
          <w:lang w:val="fr-FR"/>
        </w:rPr>
        <w:t xml:space="preserve">une contradiction possible avec des prescriptions techniques et des procédures administratives relatives aux opérations de transport aérien telles que celles figurant dans le Règlement (UE) </w:t>
      </w:r>
      <w:r w:rsidR="005636D6" w:rsidRPr="005636D6">
        <w:rPr>
          <w:rFonts w:eastAsia="MS Mincho"/>
          <w:szCs w:val="22"/>
          <w:lang w:val="fr-FR"/>
        </w:rPr>
        <w:t>n</w:t>
      </w:r>
      <w:r w:rsidR="005636D6" w:rsidRPr="005636D6">
        <w:rPr>
          <w:rFonts w:eastAsia="MS Mincho"/>
          <w:szCs w:val="22"/>
          <w:vertAlign w:val="superscript"/>
          <w:lang w:val="fr-FR"/>
        </w:rPr>
        <w:t>o</w:t>
      </w:r>
      <w:r w:rsidR="005636D6">
        <w:rPr>
          <w:lang w:val="fr-FR"/>
        </w:rPr>
        <w:t> </w:t>
      </w:r>
      <w:r w:rsidRPr="00E45670">
        <w:rPr>
          <w:lang w:val="fr-FR"/>
        </w:rPr>
        <w:t>965/2012 de la Commission ou dans la réglementation de l</w:t>
      </w:r>
      <w:r w:rsidR="00295FAB">
        <w:rPr>
          <w:lang w:val="fr-FR"/>
        </w:rPr>
        <w:t>’</w:t>
      </w:r>
      <w:r w:rsidRPr="00E45670">
        <w:rPr>
          <w:lang w:val="fr-FR"/>
        </w:rPr>
        <w:t>OACI. Il a été souligné que le Règlement type s</w:t>
      </w:r>
      <w:r w:rsidR="00295FAB">
        <w:rPr>
          <w:lang w:val="fr-FR"/>
        </w:rPr>
        <w:t>’</w:t>
      </w:r>
      <w:r w:rsidRPr="00E45670">
        <w:rPr>
          <w:lang w:val="fr-FR"/>
        </w:rPr>
        <w:t>appliquait à la sécurité du transport des marchandises dangereuses et que les considérations techniques relatives aux différents modes de transport étaient déjà dûment renvoyées aux organes compétents.</w:t>
      </w:r>
    </w:p>
    <w:p w:rsidR="00E45670" w:rsidRPr="00E45670" w:rsidRDefault="00E45670" w:rsidP="00E45670">
      <w:pPr>
        <w:pStyle w:val="SingleTxtG"/>
        <w:rPr>
          <w:lang w:val="fr-FR"/>
        </w:rPr>
      </w:pPr>
      <w:r w:rsidRPr="00E45670">
        <w:rPr>
          <w:lang w:val="fr-FR"/>
        </w:rPr>
        <w:t>59.</w:t>
      </w:r>
      <w:r w:rsidRPr="00E45670">
        <w:rPr>
          <w:lang w:val="fr-FR"/>
        </w:rPr>
        <w:tab/>
        <w:t>Le Sous-Comité a convenu que les questions soulevées par les Pays-Bas au sujet du champ d</w:t>
      </w:r>
      <w:r w:rsidR="00295FAB">
        <w:rPr>
          <w:lang w:val="fr-FR"/>
        </w:rPr>
        <w:t>’</w:t>
      </w:r>
      <w:r w:rsidRPr="00E45670">
        <w:rPr>
          <w:lang w:val="fr-FR"/>
        </w:rPr>
        <w:t>application du 1.1.1.2 pouvaient être examinées entre deux sessions, de façon à élargir la démarche, et que la proposition faite par l</w:t>
      </w:r>
      <w:r w:rsidR="00295FAB">
        <w:rPr>
          <w:lang w:val="fr-FR"/>
        </w:rPr>
        <w:t>’</w:t>
      </w:r>
      <w:r w:rsidRPr="00E45670">
        <w:rPr>
          <w:lang w:val="fr-FR"/>
        </w:rPr>
        <w:t>expert de la Suisse dans le document ST/SG/AC.10/C.3/2017/22 pouvait être abordée dans ce même contexte. Les délégations souhaitant participer à ces travaux ont été invitées à contacter l</w:t>
      </w:r>
      <w:r w:rsidR="00295FAB">
        <w:rPr>
          <w:lang w:val="fr-FR"/>
        </w:rPr>
        <w:t>’</w:t>
      </w:r>
      <w:r w:rsidRPr="00E45670">
        <w:rPr>
          <w:lang w:val="fr-FR"/>
        </w:rPr>
        <w:t>expert des Pays-Bas.</w:t>
      </w:r>
    </w:p>
    <w:p w:rsidR="00E45670" w:rsidRPr="00E45670" w:rsidRDefault="00EB2C24" w:rsidP="00EB2C24">
      <w:pPr>
        <w:pStyle w:val="HChG"/>
        <w:rPr>
          <w:lang w:val="fr-FR"/>
        </w:rPr>
      </w:pPr>
      <w:r>
        <w:rPr>
          <w:lang w:val="fr-FR"/>
        </w:rPr>
        <w:tab/>
      </w:r>
      <w:r w:rsidR="00E45670" w:rsidRPr="00E45670">
        <w:rPr>
          <w:lang w:val="fr-FR"/>
        </w:rPr>
        <w:t>VI.</w:t>
      </w:r>
      <w:r w:rsidR="00E45670" w:rsidRPr="00E45670">
        <w:rPr>
          <w:lang w:val="fr-FR"/>
        </w:rPr>
        <w:tab/>
        <w:t>Transport de gaz (point 5 de l</w:t>
      </w:r>
      <w:r w:rsidR="00295FAB">
        <w:rPr>
          <w:lang w:val="fr-FR"/>
        </w:rPr>
        <w:t>’</w:t>
      </w:r>
      <w:r w:rsidR="00E45670" w:rsidRPr="00E45670">
        <w:rPr>
          <w:lang w:val="fr-FR"/>
        </w:rPr>
        <w:t>ordre du jour)</w:t>
      </w:r>
    </w:p>
    <w:p w:rsidR="00E45670" w:rsidRPr="00E45670" w:rsidRDefault="00EB2C24" w:rsidP="00EB2C24">
      <w:pPr>
        <w:pStyle w:val="H1G"/>
        <w:rPr>
          <w:lang w:val="fr-FR"/>
        </w:rPr>
      </w:pPr>
      <w:r>
        <w:rPr>
          <w:lang w:val="fr-FR"/>
        </w:rPr>
        <w:tab/>
      </w:r>
      <w:r w:rsidR="00E45670" w:rsidRPr="00E45670">
        <w:rPr>
          <w:lang w:val="fr-FR"/>
        </w:rPr>
        <w:t>A.</w:t>
      </w:r>
      <w:r w:rsidR="00E45670" w:rsidRPr="00E45670">
        <w:rPr>
          <w:lang w:val="fr-FR"/>
        </w:rPr>
        <w:tab/>
        <w:t>Reconnaissance universelle des récipients à pression ONU et non-ONU</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INF.31 (CGA et EIGA)</w:t>
      </w:r>
      <w:r w:rsidR="00EB2C24">
        <w:rPr>
          <w:lang w:val="fr-FR"/>
        </w:rPr>
        <w:t>.</w:t>
      </w:r>
    </w:p>
    <w:p w:rsidR="00E45670" w:rsidRPr="00E45670" w:rsidRDefault="00E45670" w:rsidP="00E45670">
      <w:pPr>
        <w:pStyle w:val="SingleTxtG"/>
        <w:rPr>
          <w:lang w:val="fr-FR"/>
        </w:rPr>
      </w:pPr>
      <w:r w:rsidRPr="00E45670">
        <w:rPr>
          <w:lang w:val="fr-FR"/>
        </w:rPr>
        <w:t>60.</w:t>
      </w:r>
      <w:r w:rsidRPr="00E45670">
        <w:rPr>
          <w:lang w:val="fr-FR"/>
        </w:rPr>
        <w:tab/>
        <w:t>Le Sous-Comité a pris note de l</w:t>
      </w:r>
      <w:r w:rsidR="00295FAB">
        <w:rPr>
          <w:lang w:val="fr-FR"/>
        </w:rPr>
        <w:t>’</w:t>
      </w:r>
      <w:r w:rsidRPr="00E45670">
        <w:rPr>
          <w:lang w:val="fr-FR"/>
        </w:rPr>
        <w:t>état des discussions à ce sujet, notamment du dépôt, par la CGA, d</w:t>
      </w:r>
      <w:r w:rsidR="00295FAB">
        <w:rPr>
          <w:lang w:val="fr-FR"/>
        </w:rPr>
        <w:t>’</w:t>
      </w:r>
      <w:r w:rsidRPr="00E45670">
        <w:rPr>
          <w:lang w:val="fr-FR"/>
        </w:rPr>
        <w:t>une «</w:t>
      </w:r>
      <w:r w:rsidR="00295FAB">
        <w:rPr>
          <w:lang w:val="fr-FR"/>
        </w:rPr>
        <w:t> </w:t>
      </w:r>
      <w:r w:rsidRPr="00E45670">
        <w:rPr>
          <w:lang w:val="fr-FR"/>
        </w:rPr>
        <w:t>demande de réglementation</w:t>
      </w:r>
      <w:r w:rsidR="00295FAB">
        <w:rPr>
          <w:lang w:val="fr-FR"/>
        </w:rPr>
        <w:t> </w:t>
      </w:r>
      <w:r w:rsidRPr="00E45670">
        <w:rPr>
          <w:lang w:val="fr-FR"/>
        </w:rPr>
        <w:t>» auprès du Département des transports des États-Unis d</w:t>
      </w:r>
      <w:r w:rsidR="00295FAB">
        <w:rPr>
          <w:lang w:val="fr-FR"/>
        </w:rPr>
        <w:t>’</w:t>
      </w:r>
      <w:r w:rsidRPr="00E45670">
        <w:rPr>
          <w:lang w:val="fr-FR"/>
        </w:rPr>
        <w:t>Amérique.</w:t>
      </w:r>
    </w:p>
    <w:p w:rsidR="00E45670" w:rsidRPr="00E45670" w:rsidRDefault="00EB2C24" w:rsidP="00EB2C24">
      <w:pPr>
        <w:pStyle w:val="H1G"/>
        <w:rPr>
          <w:lang w:val="fr-FR"/>
        </w:rPr>
      </w:pPr>
      <w:r>
        <w:rPr>
          <w:lang w:val="fr-FR"/>
        </w:rPr>
        <w:tab/>
      </w:r>
      <w:r w:rsidR="00E45670" w:rsidRPr="00E45670">
        <w:rPr>
          <w:lang w:val="fr-FR"/>
        </w:rPr>
        <w:t>B.</w:t>
      </w:r>
      <w:r w:rsidR="00E45670" w:rsidRPr="00E45670">
        <w:rPr>
          <w:lang w:val="fr-FR"/>
        </w:rPr>
        <w:tab/>
        <w:t>Divers</w:t>
      </w:r>
    </w:p>
    <w:p w:rsidR="00E45670" w:rsidRPr="00E45670" w:rsidRDefault="00EB2C24" w:rsidP="00EB2C24">
      <w:pPr>
        <w:pStyle w:val="H23G"/>
        <w:rPr>
          <w:lang w:val="fr-FR"/>
        </w:rPr>
      </w:pPr>
      <w:r>
        <w:rPr>
          <w:lang w:val="fr-FR"/>
        </w:rPr>
        <w:tab/>
      </w:r>
      <w:r w:rsidR="00E45670" w:rsidRPr="00E45670">
        <w:rPr>
          <w:lang w:val="fr-FR"/>
        </w:rPr>
        <w:t>1.</w:t>
      </w:r>
      <w:r w:rsidR="00E45670" w:rsidRPr="00E45670">
        <w:rPr>
          <w:lang w:val="fr-FR"/>
        </w:rPr>
        <w:tab/>
        <w:t xml:space="preserve">Gaz adsorbés − exemption pour les gaz de la division 2.2 </w:t>
      </w:r>
      <w:r>
        <w:rPr>
          <w:lang w:val="fr-FR"/>
        </w:rPr>
        <w:br/>
      </w:r>
      <w:r w:rsidR="00E45670" w:rsidRPr="00E45670">
        <w:rPr>
          <w:lang w:val="fr-FR"/>
        </w:rPr>
        <w:t>(ininflammables, non toxiques)</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 (Allemagne)</w:t>
      </w:r>
      <w:r w:rsidR="00EB2C24">
        <w:rPr>
          <w:lang w:val="fr-FR"/>
        </w:rPr>
        <w:t>.</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INF.39 (CGA)</w:t>
      </w:r>
      <w:r w:rsidR="00EB2C24">
        <w:rPr>
          <w:lang w:val="fr-FR"/>
        </w:rPr>
        <w:t>.</w:t>
      </w:r>
    </w:p>
    <w:p w:rsidR="00E45670" w:rsidRPr="00E45670" w:rsidRDefault="00E45670" w:rsidP="00E45670">
      <w:pPr>
        <w:pStyle w:val="SingleTxtG"/>
        <w:rPr>
          <w:lang w:val="fr-FR"/>
        </w:rPr>
      </w:pPr>
      <w:r w:rsidRPr="00E45670">
        <w:rPr>
          <w:lang w:val="fr-FR"/>
        </w:rPr>
        <w:t>61.</w:t>
      </w:r>
      <w:r w:rsidRPr="00E45670">
        <w:rPr>
          <w:lang w:val="fr-FR"/>
        </w:rPr>
        <w:tab/>
        <w:t>Comme il n</w:t>
      </w:r>
      <w:r w:rsidR="00295FAB">
        <w:rPr>
          <w:lang w:val="fr-FR"/>
        </w:rPr>
        <w:t>’</w:t>
      </w:r>
      <w:r w:rsidRPr="00E45670">
        <w:rPr>
          <w:lang w:val="fr-FR"/>
        </w:rPr>
        <w:t>y avait pas consensus sur la question, une nouvelle proposition serait établie pour la prochaine session.</w:t>
      </w:r>
    </w:p>
    <w:p w:rsidR="00E45670" w:rsidRPr="00E45670" w:rsidRDefault="00EB2C24" w:rsidP="00EB2C24">
      <w:pPr>
        <w:pStyle w:val="H23G"/>
        <w:rPr>
          <w:lang w:val="fr-FR"/>
        </w:rPr>
      </w:pPr>
      <w:r>
        <w:rPr>
          <w:lang w:val="fr-FR"/>
        </w:rPr>
        <w:tab/>
      </w:r>
      <w:r w:rsidR="00E45670" w:rsidRPr="00E45670">
        <w:rPr>
          <w:lang w:val="fr-FR"/>
        </w:rPr>
        <w:t>2.</w:t>
      </w:r>
      <w:r w:rsidR="00E45670" w:rsidRPr="00E45670">
        <w:rPr>
          <w:lang w:val="fr-FR"/>
        </w:rPr>
        <w:tab/>
        <w:t>Bouteilles d</w:t>
      </w:r>
      <w:r w:rsidR="00295FAB">
        <w:rPr>
          <w:lang w:val="fr-FR"/>
        </w:rPr>
        <w:t>’</w:t>
      </w:r>
      <w:r w:rsidR="00E45670" w:rsidRPr="00E45670">
        <w:rPr>
          <w:lang w:val="fr-FR"/>
        </w:rPr>
        <w:t xml:space="preserve">acétylène − normes relatives aux prescriptions </w:t>
      </w:r>
      <w:r>
        <w:rPr>
          <w:lang w:val="fr-FR"/>
        </w:rPr>
        <w:br/>
      </w:r>
      <w:r w:rsidR="00E45670" w:rsidRPr="00E45670">
        <w:rPr>
          <w:lang w:val="fr-FR"/>
        </w:rPr>
        <w:t>conformément à la sous-section 6.2.1.1.9</w:t>
      </w:r>
    </w:p>
    <w:p w:rsidR="00E45670" w:rsidRPr="00E45670" w:rsidRDefault="00E45670" w:rsidP="00885A0C">
      <w:pPr>
        <w:pStyle w:val="SingleTxtG"/>
        <w:ind w:left="3119" w:hanging="1985"/>
        <w:rPr>
          <w:lang w:val="fr-FR"/>
        </w:rPr>
      </w:pPr>
      <w:r w:rsidRPr="00295FAB">
        <w:rPr>
          <w:i/>
          <w:lang w:val="fr-FR"/>
        </w:rPr>
        <w:t>Document</w:t>
      </w:r>
      <w:r w:rsidR="00295FAB" w:rsidRPr="00295FAB">
        <w:rPr>
          <w:i/>
          <w:lang w:val="fr-FR"/>
        </w:rPr>
        <w:t> </w:t>
      </w:r>
      <w:r w:rsidRPr="00E45670">
        <w:rPr>
          <w:lang w:val="fr-FR"/>
        </w:rPr>
        <w:t>:</w:t>
      </w:r>
      <w:r w:rsidRPr="00E45670">
        <w:rPr>
          <w:lang w:val="fr-FR"/>
        </w:rPr>
        <w:tab/>
        <w:t>ST/SG/AC.10/C.3/2017/15 (Allemagne)</w:t>
      </w:r>
      <w:r w:rsidR="00EB2C24">
        <w:rPr>
          <w:lang w:val="fr-FR"/>
        </w:rPr>
        <w:t>.</w:t>
      </w:r>
    </w:p>
    <w:p w:rsidR="00E45670" w:rsidRPr="00E45670" w:rsidRDefault="00E45670" w:rsidP="00E45670">
      <w:pPr>
        <w:pStyle w:val="SingleTxtG"/>
        <w:rPr>
          <w:lang w:val="fr-FR"/>
        </w:rPr>
      </w:pPr>
      <w:r w:rsidRPr="00E45670">
        <w:rPr>
          <w:lang w:val="fr-FR"/>
        </w:rPr>
        <w:t>62.</w:t>
      </w:r>
      <w:r w:rsidRPr="00E45670">
        <w:rPr>
          <w:lang w:val="fr-FR"/>
        </w:rPr>
        <w:tab/>
        <w:t>Après discussion, l</w:t>
      </w:r>
      <w:r w:rsidR="00295FAB">
        <w:rPr>
          <w:lang w:val="fr-FR"/>
        </w:rPr>
        <w:t>’</w:t>
      </w:r>
      <w:r w:rsidRPr="00E45670">
        <w:rPr>
          <w:lang w:val="fr-FR"/>
        </w:rPr>
        <w:t>experte de l</w:t>
      </w:r>
      <w:r w:rsidR="00295FAB">
        <w:rPr>
          <w:lang w:val="fr-FR"/>
        </w:rPr>
        <w:t>’</w:t>
      </w:r>
      <w:r w:rsidRPr="00E45670">
        <w:rPr>
          <w:lang w:val="fr-FR"/>
        </w:rPr>
        <w:t>Allemagne a retiré sa proposition.</w:t>
      </w:r>
    </w:p>
    <w:p w:rsidR="00E45670" w:rsidRPr="00E45670" w:rsidRDefault="00EB2C24" w:rsidP="00EB2C24">
      <w:pPr>
        <w:pStyle w:val="H23G"/>
        <w:rPr>
          <w:lang w:val="fr-FR"/>
        </w:rPr>
      </w:pPr>
      <w:r>
        <w:rPr>
          <w:lang w:val="fr-FR"/>
        </w:rPr>
        <w:tab/>
      </w:r>
      <w:r w:rsidR="00E45670" w:rsidRPr="00E45670">
        <w:rPr>
          <w:lang w:val="fr-FR"/>
        </w:rPr>
        <w:t>3.</w:t>
      </w:r>
      <w:r w:rsidR="00E45670" w:rsidRPr="00E45670">
        <w:rPr>
          <w:lang w:val="fr-FR"/>
        </w:rPr>
        <w:tab/>
        <w:t>Mise à jour des références aux normes ISO relatives à la classe 2</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ST/SG/AC.10/C.3/2017/17 (ISO)</w:t>
      </w:r>
      <w:r w:rsidR="00EB2C24">
        <w:rPr>
          <w:lang w:val="fr-FR"/>
        </w:rPr>
        <w:t>.</w:t>
      </w:r>
    </w:p>
    <w:p w:rsidR="00E45670" w:rsidRPr="00E45670" w:rsidRDefault="00E45670" w:rsidP="00E45670">
      <w:pPr>
        <w:pStyle w:val="SingleTxtG"/>
        <w:rPr>
          <w:lang w:val="fr-FR"/>
        </w:rPr>
      </w:pPr>
      <w:r w:rsidRPr="00E45670">
        <w:rPr>
          <w:lang w:val="fr-FR"/>
        </w:rPr>
        <w:t>63.</w:t>
      </w:r>
      <w:r w:rsidRPr="00E45670">
        <w:rPr>
          <w:lang w:val="fr-FR"/>
        </w:rPr>
        <w:tab/>
        <w:t>Le Sous-Comité a adopté les trois premières propositions, avec quelques corrections (voir annexe II).</w:t>
      </w:r>
    </w:p>
    <w:p w:rsidR="00E45670" w:rsidRPr="00E45670" w:rsidRDefault="00E45670" w:rsidP="00E45670">
      <w:pPr>
        <w:pStyle w:val="SingleTxtG"/>
        <w:rPr>
          <w:lang w:val="fr-FR"/>
        </w:rPr>
      </w:pPr>
      <w:r w:rsidRPr="00E45670">
        <w:rPr>
          <w:lang w:val="fr-FR"/>
        </w:rPr>
        <w:t>64.</w:t>
      </w:r>
      <w:r w:rsidRPr="00E45670">
        <w:rPr>
          <w:lang w:val="fr-FR"/>
        </w:rPr>
        <w:tab/>
        <w:t>En ce qui concerne la quatrième proposition, le représentant de l</w:t>
      </w:r>
      <w:r w:rsidR="00295FAB">
        <w:rPr>
          <w:lang w:val="fr-FR"/>
        </w:rPr>
        <w:t>’</w:t>
      </w:r>
      <w:r w:rsidRPr="00E45670">
        <w:rPr>
          <w:lang w:val="fr-FR"/>
        </w:rPr>
        <w:t>ISO a dit qu</w:t>
      </w:r>
      <w:r w:rsidR="00295FAB">
        <w:rPr>
          <w:lang w:val="fr-FR"/>
        </w:rPr>
        <w:t>’</w:t>
      </w:r>
      <w:r w:rsidRPr="00E45670">
        <w:rPr>
          <w:lang w:val="fr-FR"/>
        </w:rPr>
        <w:t>il devait encore consulter les experts de l</w:t>
      </w:r>
      <w:r w:rsidR="00295FAB">
        <w:rPr>
          <w:lang w:val="fr-FR"/>
        </w:rPr>
        <w:t>’</w:t>
      </w:r>
      <w:r w:rsidRPr="00E45670">
        <w:rPr>
          <w:lang w:val="fr-FR"/>
        </w:rPr>
        <w:t>ISO et qu</w:t>
      </w:r>
      <w:r w:rsidR="00295FAB">
        <w:rPr>
          <w:lang w:val="fr-FR"/>
        </w:rPr>
        <w:t>’</w:t>
      </w:r>
      <w:r w:rsidRPr="00E45670">
        <w:rPr>
          <w:lang w:val="fr-FR"/>
        </w:rPr>
        <w:t>il soumettrait une nouvelle proposition une fois les vérifications nécessaires effectuées.</w:t>
      </w:r>
    </w:p>
    <w:p w:rsidR="00E45670" w:rsidRPr="00E45670" w:rsidRDefault="00EB2C24" w:rsidP="00EB2C24">
      <w:pPr>
        <w:pStyle w:val="H23G"/>
        <w:rPr>
          <w:lang w:val="fr-FR"/>
        </w:rPr>
      </w:pPr>
      <w:r>
        <w:rPr>
          <w:lang w:val="fr-FR"/>
        </w:rPr>
        <w:tab/>
      </w:r>
      <w:r w:rsidR="00E45670" w:rsidRPr="00E45670">
        <w:rPr>
          <w:lang w:val="fr-FR"/>
        </w:rPr>
        <w:t>4.</w:t>
      </w:r>
      <w:r w:rsidR="00E45670" w:rsidRPr="00E45670">
        <w:rPr>
          <w:lang w:val="fr-FR"/>
        </w:rPr>
        <w:tab/>
        <w:t>Modifications diverses concernant la classe 2</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ST/SG/AC.10/C.3/2017/18 (ISO)</w:t>
      </w:r>
      <w:r w:rsidR="00EB2C24">
        <w:rPr>
          <w:lang w:val="fr-FR"/>
        </w:rPr>
        <w:t>.</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INF.8 (ISO)</w:t>
      </w:r>
      <w:r w:rsidR="00EB2C24">
        <w:rPr>
          <w:lang w:val="fr-FR"/>
        </w:rPr>
        <w:t>.</w:t>
      </w:r>
    </w:p>
    <w:p w:rsidR="00E45670" w:rsidRPr="00E45670" w:rsidRDefault="00E45670" w:rsidP="00E45670">
      <w:pPr>
        <w:pStyle w:val="SingleTxtG"/>
        <w:rPr>
          <w:lang w:val="fr-FR"/>
        </w:rPr>
      </w:pPr>
      <w:r w:rsidRPr="00E45670">
        <w:rPr>
          <w:lang w:val="fr-FR"/>
        </w:rPr>
        <w:t>65.</w:t>
      </w:r>
      <w:r w:rsidRPr="00E45670">
        <w:rPr>
          <w:lang w:val="fr-FR"/>
        </w:rPr>
        <w:tab/>
        <w:t>La première proposition relative au 6.7.5.2.3 a été adoptée, moyennant suppression de la mention de l</w:t>
      </w:r>
      <w:r w:rsidR="00295FAB">
        <w:rPr>
          <w:lang w:val="fr-FR"/>
        </w:rPr>
        <w:t>’</w:t>
      </w:r>
      <w:r w:rsidRPr="00E45670">
        <w:rPr>
          <w:lang w:val="fr-FR"/>
        </w:rPr>
        <w:t>aluminium sans soudure (voir annexe II).</w:t>
      </w:r>
    </w:p>
    <w:p w:rsidR="00E45670" w:rsidRPr="00E45670" w:rsidRDefault="00E45670" w:rsidP="00E45670">
      <w:pPr>
        <w:pStyle w:val="SingleTxtG"/>
        <w:rPr>
          <w:lang w:val="fr-FR"/>
        </w:rPr>
      </w:pPr>
      <w:r w:rsidRPr="00E45670">
        <w:rPr>
          <w:lang w:val="fr-FR"/>
        </w:rPr>
        <w:t>66.</w:t>
      </w:r>
      <w:r w:rsidRPr="00E45670">
        <w:rPr>
          <w:lang w:val="fr-FR"/>
        </w:rPr>
        <w:tab/>
        <w:t>La deuxième proposition, telle que présentée dans le document informel INF.8, était plus controversée, les pratiques relatives à l</w:t>
      </w:r>
      <w:r w:rsidR="00295FAB">
        <w:rPr>
          <w:lang w:val="fr-FR"/>
        </w:rPr>
        <w:t>’</w:t>
      </w:r>
      <w:r w:rsidRPr="00E45670">
        <w:rPr>
          <w:lang w:val="fr-FR"/>
        </w:rPr>
        <w:t>agrément des récipients à pression variant suivant les pays. Elle a été retirée temporairement.</w:t>
      </w:r>
    </w:p>
    <w:p w:rsidR="00E45670" w:rsidRPr="00E45670" w:rsidRDefault="00E45670" w:rsidP="00E45670">
      <w:pPr>
        <w:pStyle w:val="SingleTxtG"/>
        <w:rPr>
          <w:lang w:val="fr-FR"/>
        </w:rPr>
      </w:pPr>
      <w:r w:rsidRPr="00E45670">
        <w:rPr>
          <w:lang w:val="fr-FR"/>
        </w:rPr>
        <w:t>67.</w:t>
      </w:r>
      <w:r w:rsidRPr="00E45670">
        <w:rPr>
          <w:lang w:val="fr-FR"/>
        </w:rPr>
        <w:tab/>
        <w:t xml:space="preserve">En ce qui concerne la troisième proposition, la CGA </w:t>
      </w:r>
      <w:r w:rsidR="005636D6">
        <w:rPr>
          <w:lang w:val="fr-FR"/>
        </w:rPr>
        <w:t xml:space="preserve">a </w:t>
      </w:r>
      <w:r w:rsidRPr="00E45670">
        <w:rPr>
          <w:lang w:val="fr-FR"/>
        </w:rPr>
        <w:t>demandé plus de temps pour permettre aux industriels d</w:t>
      </w:r>
      <w:r w:rsidR="00295FAB">
        <w:rPr>
          <w:lang w:val="fr-FR"/>
        </w:rPr>
        <w:t>’</w:t>
      </w:r>
      <w:r w:rsidRPr="00E45670">
        <w:rPr>
          <w:lang w:val="fr-FR"/>
        </w:rPr>
        <w:t>évaluer les incidences d</w:t>
      </w:r>
      <w:r w:rsidR="00295FAB">
        <w:rPr>
          <w:lang w:val="fr-FR"/>
        </w:rPr>
        <w:t>’</w:t>
      </w:r>
      <w:r w:rsidRPr="00E45670">
        <w:rPr>
          <w:lang w:val="fr-FR"/>
        </w:rPr>
        <w:t>une exigence d</w:t>
      </w:r>
      <w:r w:rsidR="00295FAB">
        <w:rPr>
          <w:lang w:val="fr-FR"/>
        </w:rPr>
        <w:t>’</w:t>
      </w:r>
      <w:r w:rsidRPr="00E45670">
        <w:rPr>
          <w:lang w:val="fr-FR"/>
        </w:rPr>
        <w:t>épaisseur minimale des parois des fûts à pression. Certaines délégations n</w:t>
      </w:r>
      <w:r w:rsidR="00295FAB">
        <w:rPr>
          <w:lang w:val="fr-FR"/>
        </w:rPr>
        <w:t>’</w:t>
      </w:r>
      <w:r w:rsidRPr="00E45670">
        <w:rPr>
          <w:lang w:val="fr-FR"/>
        </w:rPr>
        <w:t>étaient pas convaincues de la nécessité d</w:t>
      </w:r>
      <w:r w:rsidR="00295FAB">
        <w:rPr>
          <w:lang w:val="fr-FR"/>
        </w:rPr>
        <w:t>’</w:t>
      </w:r>
      <w:r w:rsidRPr="00E45670">
        <w:rPr>
          <w:lang w:val="fr-FR"/>
        </w:rPr>
        <w:t>une telle exigence même si elle aurait l</w:t>
      </w:r>
      <w:r w:rsidR="00295FAB">
        <w:rPr>
          <w:lang w:val="fr-FR"/>
        </w:rPr>
        <w:t>’</w:t>
      </w:r>
      <w:r w:rsidRPr="00E45670">
        <w:rPr>
          <w:lang w:val="fr-FR"/>
        </w:rPr>
        <w:t>avantage, en terme de facilitation des transports, d</w:t>
      </w:r>
      <w:r w:rsidR="00295FAB">
        <w:rPr>
          <w:lang w:val="fr-FR"/>
        </w:rPr>
        <w:t>’</w:t>
      </w:r>
      <w:r w:rsidRPr="00E45670">
        <w:rPr>
          <w:lang w:val="fr-FR"/>
        </w:rPr>
        <w:t>éviter que les autorités compétentes imposent des prescriptions contradictoires en cas de transport international. Des mesures transitoires seraient également nécessaires si la proposition était acceptée. Le représentant de l</w:t>
      </w:r>
      <w:r w:rsidR="00295FAB">
        <w:rPr>
          <w:lang w:val="fr-FR"/>
        </w:rPr>
        <w:t>’</w:t>
      </w:r>
      <w:r w:rsidRPr="00E45670">
        <w:rPr>
          <w:lang w:val="fr-FR"/>
        </w:rPr>
        <w:t>ISO a été prié d</w:t>
      </w:r>
      <w:r w:rsidR="00295FAB">
        <w:rPr>
          <w:lang w:val="fr-FR"/>
        </w:rPr>
        <w:t>’</w:t>
      </w:r>
      <w:r w:rsidRPr="00E45670">
        <w:rPr>
          <w:lang w:val="fr-FR"/>
        </w:rPr>
        <w:t>élaborer une nouvelle proposition s</w:t>
      </w:r>
      <w:r w:rsidR="00295FAB">
        <w:rPr>
          <w:lang w:val="fr-FR"/>
        </w:rPr>
        <w:t>’</w:t>
      </w:r>
      <w:r w:rsidRPr="00E45670">
        <w:rPr>
          <w:lang w:val="fr-FR"/>
        </w:rPr>
        <w:t>il le jugeait nécessaire.</w:t>
      </w:r>
    </w:p>
    <w:p w:rsidR="00E45670" w:rsidRPr="00E45670" w:rsidRDefault="00EB2C24" w:rsidP="00EB2C24">
      <w:pPr>
        <w:pStyle w:val="H23G"/>
        <w:rPr>
          <w:lang w:val="fr-FR"/>
        </w:rPr>
      </w:pPr>
      <w:r>
        <w:rPr>
          <w:lang w:val="fr-FR"/>
        </w:rPr>
        <w:tab/>
      </w:r>
      <w:r w:rsidR="00E45670" w:rsidRPr="00E45670">
        <w:rPr>
          <w:lang w:val="fr-FR"/>
        </w:rPr>
        <w:t>5.</w:t>
      </w:r>
      <w:r w:rsidR="00E45670" w:rsidRPr="00E45670">
        <w:rPr>
          <w:lang w:val="fr-FR"/>
        </w:rPr>
        <w:tab/>
        <w:t>Dispositions relatives aux fermetures des récipients à pression</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INF.30 (CGA et EIGA)</w:t>
      </w:r>
      <w:r w:rsidR="00EB2C24">
        <w:rPr>
          <w:lang w:val="fr-FR"/>
        </w:rPr>
        <w:t>.</w:t>
      </w:r>
    </w:p>
    <w:p w:rsidR="00E45670" w:rsidRPr="00E45670" w:rsidRDefault="00E45670" w:rsidP="00E45670">
      <w:pPr>
        <w:pStyle w:val="SingleTxtG"/>
        <w:rPr>
          <w:lang w:val="fr-FR"/>
        </w:rPr>
      </w:pPr>
      <w:r w:rsidRPr="00E45670">
        <w:rPr>
          <w:lang w:val="fr-FR"/>
        </w:rPr>
        <w:t>68.</w:t>
      </w:r>
      <w:r w:rsidRPr="00E45670">
        <w:rPr>
          <w:lang w:val="fr-FR"/>
        </w:rPr>
        <w:tab/>
        <w:t>Le représentant de l</w:t>
      </w:r>
      <w:r w:rsidR="00295FAB">
        <w:rPr>
          <w:lang w:val="fr-FR"/>
        </w:rPr>
        <w:t>’</w:t>
      </w:r>
      <w:r w:rsidRPr="00E45670">
        <w:rPr>
          <w:lang w:val="fr-FR"/>
        </w:rPr>
        <w:t>EIGA a expliqué qu</w:t>
      </w:r>
      <w:r w:rsidR="00295FAB">
        <w:rPr>
          <w:lang w:val="fr-FR"/>
        </w:rPr>
        <w:t>’</w:t>
      </w:r>
      <w:r w:rsidRPr="00E45670">
        <w:rPr>
          <w:lang w:val="fr-FR"/>
        </w:rPr>
        <w:t>il existait différentes façons d</w:t>
      </w:r>
      <w:r w:rsidR="00295FAB">
        <w:rPr>
          <w:lang w:val="fr-FR"/>
        </w:rPr>
        <w:t>’</w:t>
      </w:r>
      <w:r w:rsidRPr="00E45670">
        <w:rPr>
          <w:lang w:val="fr-FR"/>
        </w:rPr>
        <w:t>évaluer la conformité des fermetures des récipients à pression, selon les pays, et que la CGA et l</w:t>
      </w:r>
      <w:r w:rsidR="00295FAB">
        <w:rPr>
          <w:lang w:val="fr-FR"/>
        </w:rPr>
        <w:t>’</w:t>
      </w:r>
      <w:r w:rsidRPr="00E45670">
        <w:rPr>
          <w:lang w:val="fr-FR"/>
        </w:rPr>
        <w:t>EIGA avaient l</w:t>
      </w:r>
      <w:r w:rsidR="00295FAB">
        <w:rPr>
          <w:lang w:val="fr-FR"/>
        </w:rPr>
        <w:t>’</w:t>
      </w:r>
      <w:r w:rsidRPr="00E45670">
        <w:rPr>
          <w:lang w:val="fr-FR"/>
        </w:rPr>
        <w:t>intention d</w:t>
      </w:r>
      <w:r w:rsidR="00295FAB">
        <w:rPr>
          <w:lang w:val="fr-FR"/>
        </w:rPr>
        <w:t>’</w:t>
      </w:r>
      <w:r w:rsidRPr="00E45670">
        <w:rPr>
          <w:lang w:val="fr-FR"/>
        </w:rPr>
        <w:t>ouvrir des débats en vue de mettre au point une approche commune. Les parties intéressées ont été invitées à contacter l</w:t>
      </w:r>
      <w:r w:rsidR="00295FAB">
        <w:rPr>
          <w:lang w:val="fr-FR"/>
        </w:rPr>
        <w:t>’</w:t>
      </w:r>
      <w:r w:rsidRPr="00E45670">
        <w:rPr>
          <w:lang w:val="fr-FR"/>
        </w:rPr>
        <w:t>EIGA ou la CGA.</w:t>
      </w:r>
    </w:p>
    <w:p w:rsidR="00E45670" w:rsidRPr="00E45670" w:rsidRDefault="00EB2C24" w:rsidP="00EB2C24">
      <w:pPr>
        <w:pStyle w:val="HChG"/>
        <w:rPr>
          <w:lang w:val="fr-FR"/>
        </w:rPr>
      </w:pPr>
      <w:r>
        <w:rPr>
          <w:lang w:val="fr-FR"/>
        </w:rPr>
        <w:tab/>
      </w:r>
      <w:r w:rsidR="00E45670" w:rsidRPr="00E45670">
        <w:rPr>
          <w:lang w:val="fr-FR"/>
        </w:rPr>
        <w:t>VII.</w:t>
      </w:r>
      <w:r w:rsidR="00E45670" w:rsidRPr="00E45670">
        <w:rPr>
          <w:lang w:val="fr-FR"/>
        </w:rPr>
        <w:tab/>
        <w:t>Propositions diverses d</w:t>
      </w:r>
      <w:r w:rsidR="00295FAB">
        <w:rPr>
          <w:lang w:val="fr-FR"/>
        </w:rPr>
        <w:t>’</w:t>
      </w:r>
      <w:r w:rsidR="00E45670" w:rsidRPr="00E45670">
        <w:rPr>
          <w:lang w:val="fr-FR"/>
        </w:rPr>
        <w:t xml:space="preserve">amendements au Règlement type pour le transport des marchandises dangereuses </w:t>
      </w:r>
      <w:r>
        <w:rPr>
          <w:lang w:val="fr-FR"/>
        </w:rPr>
        <w:br/>
      </w:r>
      <w:r w:rsidR="00E45670" w:rsidRPr="00E45670">
        <w:rPr>
          <w:lang w:val="fr-FR"/>
        </w:rPr>
        <w:t>(point 6 de l</w:t>
      </w:r>
      <w:r w:rsidR="00295FAB">
        <w:rPr>
          <w:lang w:val="fr-FR"/>
        </w:rPr>
        <w:t>’</w:t>
      </w:r>
      <w:r w:rsidR="00E45670" w:rsidRPr="00E45670">
        <w:rPr>
          <w:lang w:val="fr-FR"/>
        </w:rPr>
        <w:t>ordre du jour)</w:t>
      </w:r>
    </w:p>
    <w:p w:rsidR="00E45670" w:rsidRPr="00E45670" w:rsidRDefault="00E45670" w:rsidP="00EB2C24">
      <w:pPr>
        <w:pStyle w:val="H1G"/>
        <w:rPr>
          <w:lang w:val="fr-FR"/>
        </w:rPr>
      </w:pPr>
      <w:r w:rsidRPr="00E45670">
        <w:rPr>
          <w:lang w:val="fr-FR"/>
        </w:rPr>
        <w:tab/>
      </w:r>
      <w:r w:rsidR="00D14EC2">
        <w:rPr>
          <w:lang w:val="fr-FR"/>
        </w:rPr>
        <w:t>A.</w:t>
      </w:r>
      <w:r w:rsidR="00D14EC2">
        <w:rPr>
          <w:lang w:val="fr-FR"/>
        </w:rPr>
        <w:tab/>
      </w:r>
      <w:r w:rsidRPr="00E45670">
        <w:rPr>
          <w:lang w:val="fr-FR"/>
        </w:rPr>
        <w:t>Marquage et étiquetage</w:t>
      </w:r>
    </w:p>
    <w:p w:rsidR="00E45670" w:rsidRPr="00E45670" w:rsidRDefault="00E45670" w:rsidP="00D14EC2">
      <w:pPr>
        <w:pStyle w:val="H23G"/>
        <w:rPr>
          <w:lang w:val="fr-FR"/>
        </w:rPr>
      </w:pPr>
      <w:r w:rsidRPr="00E45670">
        <w:rPr>
          <w:lang w:val="fr-FR"/>
        </w:rPr>
        <w:tab/>
      </w:r>
      <w:r w:rsidRPr="00E45670">
        <w:rPr>
          <w:lang w:val="fr-FR"/>
        </w:rPr>
        <w:tab/>
        <w:t>Étiquettes et marques de danger</w:t>
      </w:r>
    </w:p>
    <w:p w:rsidR="00E45670" w:rsidRPr="00E45670" w:rsidRDefault="00E45670" w:rsidP="00885A0C">
      <w:pPr>
        <w:pStyle w:val="SingleTxtG"/>
        <w:ind w:left="3119" w:hanging="1985"/>
        <w:rPr>
          <w:lang w:val="fr-FR"/>
        </w:rPr>
      </w:pPr>
      <w:r w:rsidRPr="00295FAB">
        <w:rPr>
          <w:i/>
          <w:lang w:val="fr-FR"/>
        </w:rPr>
        <w:t>Documents informels</w:t>
      </w:r>
      <w:r w:rsidR="00295FAB">
        <w:rPr>
          <w:lang w:val="fr-FR"/>
        </w:rPr>
        <w:t> </w:t>
      </w:r>
      <w:r w:rsidR="00D14EC2">
        <w:rPr>
          <w:lang w:val="fr-FR"/>
        </w:rPr>
        <w:t>:</w:t>
      </w:r>
      <w:r w:rsidR="00D14EC2">
        <w:rPr>
          <w:lang w:val="fr-FR"/>
        </w:rPr>
        <w:tab/>
      </w:r>
      <w:r w:rsidRPr="00E45670">
        <w:rPr>
          <w:lang w:val="fr-FR"/>
        </w:rPr>
        <w:t>INF.17 et INF.41 (IATA)</w:t>
      </w:r>
      <w:r w:rsidR="00D14EC2">
        <w:rPr>
          <w:lang w:val="fr-FR"/>
        </w:rPr>
        <w:t>.</w:t>
      </w:r>
    </w:p>
    <w:p w:rsidR="00E45670" w:rsidRPr="00E45670" w:rsidRDefault="00E45670" w:rsidP="00E45670">
      <w:pPr>
        <w:pStyle w:val="SingleTxtG"/>
        <w:rPr>
          <w:lang w:val="fr-FR"/>
        </w:rPr>
      </w:pPr>
      <w:r w:rsidRPr="00E45670">
        <w:rPr>
          <w:lang w:val="fr-FR"/>
        </w:rPr>
        <w:t>69.</w:t>
      </w:r>
      <w:r w:rsidRPr="00E45670">
        <w:rPr>
          <w:lang w:val="fr-FR"/>
        </w:rPr>
        <w:tab/>
        <w:t>Le Sous-Comité a noté que la prescription selon laquelle l</w:t>
      </w:r>
      <w:r w:rsidR="00295FAB">
        <w:rPr>
          <w:lang w:val="fr-FR"/>
        </w:rPr>
        <w:t>’</w:t>
      </w:r>
      <w:r w:rsidRPr="00E45670">
        <w:rPr>
          <w:lang w:val="fr-FR"/>
        </w:rPr>
        <w:t>épaisseur minimale de la ligne formant le carré des étiquettes de danger doit être de 2 mm, introduite dans la dix</w:t>
      </w:r>
      <w:r w:rsidR="0020037E">
        <w:rPr>
          <w:lang w:val="fr-FR"/>
        </w:rPr>
        <w:noBreakHyphen/>
      </w:r>
      <w:r w:rsidRPr="00E45670">
        <w:rPr>
          <w:lang w:val="fr-FR"/>
        </w:rPr>
        <w:t>huitième édition révisée des Recommandations, posait un problème par rapport à la procédure d</w:t>
      </w:r>
      <w:r w:rsidR="00295FAB">
        <w:rPr>
          <w:lang w:val="fr-FR"/>
        </w:rPr>
        <w:t>’</w:t>
      </w:r>
      <w:r w:rsidRPr="00E45670">
        <w:rPr>
          <w:lang w:val="fr-FR"/>
        </w:rPr>
        <w:t>acceptation des envois par avion, car il arrivait que des envois soient refusés lorsque cette épaisseur n</w:t>
      </w:r>
      <w:r w:rsidR="00295FAB">
        <w:rPr>
          <w:lang w:val="fr-FR"/>
        </w:rPr>
        <w:t>’</w:t>
      </w:r>
      <w:r w:rsidRPr="00E45670">
        <w:rPr>
          <w:lang w:val="fr-FR"/>
        </w:rPr>
        <w:t>était pas exactement de 2 mm.</w:t>
      </w:r>
      <w:r w:rsidR="00D14EC2">
        <w:rPr>
          <w:lang w:val="fr-FR"/>
        </w:rPr>
        <w:t xml:space="preserve"> </w:t>
      </w:r>
      <w:r w:rsidRPr="00E45670">
        <w:rPr>
          <w:lang w:val="fr-FR"/>
        </w:rPr>
        <w:t>Le Sous-Comité est convenu qu</w:t>
      </w:r>
      <w:r w:rsidR="00295FAB">
        <w:rPr>
          <w:lang w:val="fr-FR"/>
        </w:rPr>
        <w:t>’</w:t>
      </w:r>
      <w:r w:rsidRPr="00E45670">
        <w:rPr>
          <w:lang w:val="fr-FR"/>
        </w:rPr>
        <w:t>il n</w:t>
      </w:r>
      <w:r w:rsidR="00295FAB">
        <w:rPr>
          <w:lang w:val="fr-FR"/>
        </w:rPr>
        <w:t>’</w:t>
      </w:r>
      <w:r w:rsidRPr="00E45670">
        <w:rPr>
          <w:lang w:val="fr-FR"/>
        </w:rPr>
        <w:t>était pas nécessaire de prescrire une épaisseur minimale pour garantir la sécurité et a décidé d</w:t>
      </w:r>
      <w:r w:rsidR="00295FAB">
        <w:rPr>
          <w:lang w:val="fr-FR"/>
        </w:rPr>
        <w:t>’</w:t>
      </w:r>
      <w:r w:rsidRPr="00E45670">
        <w:rPr>
          <w:lang w:val="fr-FR"/>
        </w:rPr>
        <w:t>adopter un amendement tel que proposé dans le document informel INF.41 (voir annexe II). Les organismes responsables des règlements relatifs aux différents modes de transport ont été invités à modifier leurs instruments respectifs en conséquence.</w:t>
      </w:r>
    </w:p>
    <w:p w:rsidR="00E45670" w:rsidRPr="00E45670" w:rsidRDefault="00E45670" w:rsidP="00E45670">
      <w:pPr>
        <w:pStyle w:val="SingleTxtG"/>
        <w:rPr>
          <w:lang w:val="fr-FR"/>
        </w:rPr>
      </w:pPr>
      <w:r w:rsidRPr="00E45670">
        <w:rPr>
          <w:lang w:val="fr-FR"/>
        </w:rPr>
        <w:t>70.</w:t>
      </w:r>
      <w:r w:rsidRPr="00E45670">
        <w:rPr>
          <w:lang w:val="fr-FR"/>
        </w:rPr>
        <w:tab/>
        <w:t>Il a été noté que l</w:t>
      </w:r>
      <w:r w:rsidR="00295FAB">
        <w:rPr>
          <w:lang w:val="fr-FR"/>
        </w:rPr>
        <w:t>’</w:t>
      </w:r>
      <w:r w:rsidRPr="00E45670">
        <w:rPr>
          <w:lang w:val="fr-FR"/>
        </w:rPr>
        <w:t>on pouvait trouver des prescriptions similaires dans d</w:t>
      </w:r>
      <w:r w:rsidR="00295FAB">
        <w:rPr>
          <w:lang w:val="fr-FR"/>
        </w:rPr>
        <w:t>’</w:t>
      </w:r>
      <w:r w:rsidRPr="00E45670">
        <w:rPr>
          <w:lang w:val="fr-FR"/>
        </w:rPr>
        <w:t>autres contextes, notamment dans le contexte des plaques-étiquettes. L</w:t>
      </w:r>
      <w:r w:rsidR="00295FAB">
        <w:rPr>
          <w:lang w:val="fr-FR"/>
        </w:rPr>
        <w:t>’</w:t>
      </w:r>
      <w:r w:rsidRPr="00E45670">
        <w:rPr>
          <w:lang w:val="fr-FR"/>
        </w:rPr>
        <w:t>IATA a été invitée à passer en revue le Règlement type à cet égard et à proposer des modifications semblables selon que de besoin. Certaines délégations ont fait valoir qu</w:t>
      </w:r>
      <w:r w:rsidR="00295FAB">
        <w:rPr>
          <w:lang w:val="fr-FR"/>
        </w:rPr>
        <w:t>’</w:t>
      </w:r>
      <w:r w:rsidRPr="00E45670">
        <w:rPr>
          <w:lang w:val="fr-FR"/>
        </w:rPr>
        <w:t>il n</w:t>
      </w:r>
      <w:r w:rsidR="00295FAB">
        <w:rPr>
          <w:lang w:val="fr-FR"/>
        </w:rPr>
        <w:t>’</w:t>
      </w:r>
      <w:r w:rsidRPr="00E45670">
        <w:rPr>
          <w:lang w:val="fr-FR"/>
        </w:rPr>
        <w:t>était pas nécessaire de modifier les textes actuels lorsque les dispositions en question existaient depuis longtemps et qu</w:t>
      </w:r>
      <w:r w:rsidR="00295FAB">
        <w:rPr>
          <w:lang w:val="fr-FR"/>
        </w:rPr>
        <w:t>’</w:t>
      </w:r>
      <w:r w:rsidRPr="00E45670">
        <w:rPr>
          <w:lang w:val="fr-FR"/>
        </w:rPr>
        <w:t>aucun problème n</w:t>
      </w:r>
      <w:r w:rsidR="00295FAB">
        <w:rPr>
          <w:lang w:val="fr-FR"/>
        </w:rPr>
        <w:t>’</w:t>
      </w:r>
      <w:r w:rsidRPr="00E45670">
        <w:rPr>
          <w:lang w:val="fr-FR"/>
        </w:rPr>
        <w:t>avait été signalé.</w:t>
      </w:r>
    </w:p>
    <w:p w:rsidR="00E45670" w:rsidRPr="00E45670" w:rsidRDefault="00D14EC2" w:rsidP="00D14EC2">
      <w:pPr>
        <w:pStyle w:val="H1G"/>
        <w:rPr>
          <w:lang w:val="fr-FR"/>
        </w:rPr>
      </w:pPr>
      <w:r>
        <w:rPr>
          <w:lang w:val="fr-FR"/>
        </w:rPr>
        <w:tab/>
        <w:t>B.</w:t>
      </w:r>
      <w:r>
        <w:rPr>
          <w:lang w:val="fr-FR"/>
        </w:rPr>
        <w:tab/>
      </w:r>
      <w:r w:rsidR="00E45670" w:rsidRPr="00E45670">
        <w:rPr>
          <w:lang w:val="fr-FR"/>
        </w:rPr>
        <w:t>Emballages</w:t>
      </w:r>
    </w:p>
    <w:p w:rsidR="00E45670" w:rsidRPr="00E45670" w:rsidRDefault="00D14EC2" w:rsidP="00D14EC2">
      <w:pPr>
        <w:pStyle w:val="H23G"/>
        <w:rPr>
          <w:lang w:val="fr-FR"/>
        </w:rPr>
      </w:pPr>
      <w:r>
        <w:rPr>
          <w:lang w:val="fr-FR"/>
        </w:rPr>
        <w:tab/>
      </w:r>
      <w:r w:rsidR="00E45670" w:rsidRPr="00E45670">
        <w:rPr>
          <w:lang w:val="fr-FR"/>
        </w:rPr>
        <w:t>1.</w:t>
      </w:r>
      <w:r w:rsidR="00E45670" w:rsidRPr="00E45670">
        <w:rPr>
          <w:lang w:val="fr-FR"/>
        </w:rPr>
        <w:tab/>
        <w:t>Marquage additionnel de la charge de gerbage maximale pour les GRV</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INF.20 (Allemagne)</w:t>
      </w:r>
      <w:r w:rsidR="00D14EC2">
        <w:rPr>
          <w:lang w:val="fr-FR"/>
        </w:rPr>
        <w:t>.</w:t>
      </w:r>
    </w:p>
    <w:p w:rsidR="00E45670" w:rsidRPr="00E45670" w:rsidRDefault="00E45670" w:rsidP="00E45670">
      <w:pPr>
        <w:pStyle w:val="SingleTxtG"/>
        <w:rPr>
          <w:lang w:val="fr-FR"/>
        </w:rPr>
      </w:pPr>
      <w:r w:rsidRPr="00E45670">
        <w:rPr>
          <w:lang w:val="fr-FR"/>
        </w:rPr>
        <w:t>71.</w:t>
      </w:r>
      <w:r w:rsidRPr="00E45670">
        <w:rPr>
          <w:lang w:val="fr-FR"/>
        </w:rPr>
        <w:tab/>
        <w:t>Le Sous-Comité est convenu que les dispositions actuelles des 6.5.2.2.1 et 6.5.2.2.2 devaient être clarifiées de sorte que l</w:t>
      </w:r>
      <w:r w:rsidR="00295FAB">
        <w:rPr>
          <w:lang w:val="fr-FR"/>
        </w:rPr>
        <w:t>’</w:t>
      </w:r>
      <w:r w:rsidRPr="00E45670">
        <w:rPr>
          <w:lang w:val="fr-FR"/>
        </w:rPr>
        <w:t>on ne déduise pas que la charge de gerbage maximale autorisée devait être indiquée à la fois sur une plaque métallique, comme on pouvait le comprendre au 6.5.2.2.1, et sur le pictogramme décrit au 6.5.2.2.2, alors que l</w:t>
      </w:r>
      <w:r w:rsidR="00295FAB">
        <w:rPr>
          <w:lang w:val="fr-FR"/>
        </w:rPr>
        <w:t>’</w:t>
      </w:r>
      <w:r w:rsidRPr="00E45670">
        <w:rPr>
          <w:lang w:val="fr-FR"/>
        </w:rPr>
        <w:t>indication ne devait être présente que sur le pictogramme. En outre, il a été rappelé que la charge de gerbage maximale autorisée était différente de la charge appliquée lors de l</w:t>
      </w:r>
      <w:r w:rsidR="00295FAB">
        <w:rPr>
          <w:lang w:val="fr-FR"/>
        </w:rPr>
        <w:t>’</w:t>
      </w:r>
      <w:r w:rsidRPr="00E45670">
        <w:rPr>
          <w:lang w:val="fr-FR"/>
        </w:rPr>
        <w:t>épreuve de gerbage, laquelle devait être indiquée dans le marquage principal conformément au 6.5.2.1.1, et que la charge de gerbage maximale autorisée indiquée sur le pictogramme de la figure 6.5.1 ne devait pas dépasser la charge appliquée lors de l</w:t>
      </w:r>
      <w:r w:rsidR="00295FAB">
        <w:rPr>
          <w:lang w:val="fr-FR"/>
        </w:rPr>
        <w:t>’</w:t>
      </w:r>
      <w:r w:rsidRPr="00E45670">
        <w:rPr>
          <w:lang w:val="fr-FR"/>
        </w:rPr>
        <w:t>épreuve de gerbage divisée par 1,8.</w:t>
      </w:r>
    </w:p>
    <w:p w:rsidR="00E45670" w:rsidRPr="00E45670" w:rsidRDefault="00E45670" w:rsidP="00E45670">
      <w:pPr>
        <w:pStyle w:val="SingleTxtG"/>
        <w:rPr>
          <w:lang w:val="fr-FR"/>
        </w:rPr>
      </w:pPr>
      <w:r w:rsidRPr="00E45670">
        <w:rPr>
          <w:lang w:val="fr-FR"/>
        </w:rPr>
        <w:t>72.</w:t>
      </w:r>
      <w:r w:rsidRPr="00E45670">
        <w:rPr>
          <w:lang w:val="fr-FR"/>
        </w:rPr>
        <w:tab/>
        <w:t>L</w:t>
      </w:r>
      <w:r w:rsidR="00295FAB">
        <w:rPr>
          <w:lang w:val="fr-FR"/>
        </w:rPr>
        <w:t>’</w:t>
      </w:r>
      <w:r w:rsidRPr="00E45670">
        <w:rPr>
          <w:lang w:val="fr-FR"/>
        </w:rPr>
        <w:t>experte de l</w:t>
      </w:r>
      <w:r w:rsidR="00295FAB">
        <w:rPr>
          <w:lang w:val="fr-FR"/>
        </w:rPr>
        <w:t>’</w:t>
      </w:r>
      <w:r w:rsidRPr="00E45670">
        <w:rPr>
          <w:lang w:val="fr-FR"/>
        </w:rPr>
        <w:t>Allemagne a été invitée à élaborer, en vue de la prochaine session, une proposition officielle visant à faciliter la bonne interprétation de ces dispositions.</w:t>
      </w:r>
    </w:p>
    <w:p w:rsidR="00E45670" w:rsidRPr="00E45670" w:rsidRDefault="00D14EC2" w:rsidP="00D14EC2">
      <w:pPr>
        <w:pStyle w:val="H23G"/>
        <w:rPr>
          <w:lang w:val="fr-FR"/>
        </w:rPr>
      </w:pPr>
      <w:r>
        <w:rPr>
          <w:lang w:val="fr-FR"/>
        </w:rPr>
        <w:tab/>
      </w:r>
      <w:r w:rsidR="00E45670" w:rsidRPr="00E45670">
        <w:rPr>
          <w:lang w:val="fr-FR"/>
        </w:rPr>
        <w:t>2.</w:t>
      </w:r>
      <w:r w:rsidR="00E45670" w:rsidRPr="00E45670">
        <w:rPr>
          <w:lang w:val="fr-FR"/>
        </w:rPr>
        <w:tab/>
        <w:t>Nouvelles épreuves pour les emballages aux chapitres 6.1 et 6.6</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INF.35 (Royaume-Uni)</w:t>
      </w:r>
      <w:r w:rsidR="00D14EC2">
        <w:rPr>
          <w:lang w:val="fr-FR"/>
        </w:rPr>
        <w:t>.</w:t>
      </w:r>
    </w:p>
    <w:p w:rsidR="00E45670" w:rsidRPr="00E45670" w:rsidRDefault="00E45670" w:rsidP="00E45670">
      <w:pPr>
        <w:pStyle w:val="SingleTxtG"/>
        <w:rPr>
          <w:lang w:val="fr-FR"/>
        </w:rPr>
      </w:pPr>
      <w:r w:rsidRPr="00E45670">
        <w:rPr>
          <w:lang w:val="fr-FR"/>
        </w:rPr>
        <w:t>73.</w:t>
      </w:r>
      <w:r w:rsidRPr="00E45670">
        <w:rPr>
          <w:lang w:val="fr-FR"/>
        </w:rPr>
        <w:tab/>
        <w:t>Le Sous-Comité a noté que le Royaume-Uni avait l</w:t>
      </w:r>
      <w:r w:rsidR="00295FAB">
        <w:rPr>
          <w:lang w:val="fr-FR"/>
        </w:rPr>
        <w:t>’</w:t>
      </w:r>
      <w:r w:rsidRPr="00E45670">
        <w:rPr>
          <w:lang w:val="fr-FR"/>
        </w:rPr>
        <w:t>intention de mettre au point une nouvelle procédure d</w:t>
      </w:r>
      <w:r w:rsidR="00295FAB">
        <w:rPr>
          <w:lang w:val="fr-FR"/>
        </w:rPr>
        <w:t>’</w:t>
      </w:r>
      <w:r w:rsidRPr="00E45670">
        <w:rPr>
          <w:lang w:val="fr-FR"/>
        </w:rPr>
        <w:t>épreuve des emballages pour les objets qui pouvaient s</w:t>
      </w:r>
      <w:r w:rsidR="00295FAB">
        <w:rPr>
          <w:lang w:val="fr-FR"/>
        </w:rPr>
        <w:t>’</w:t>
      </w:r>
      <w:r w:rsidRPr="00E45670">
        <w:rPr>
          <w:lang w:val="fr-FR"/>
        </w:rPr>
        <w:t xml:space="preserve">enflammer par inadvertance, dégager une chaleur excessive ou éclater violemment. Plusieurs experts, </w:t>
      </w:r>
      <w:r w:rsidRPr="000873CB">
        <w:rPr>
          <w:spacing w:val="-2"/>
          <w:lang w:val="fr-FR"/>
        </w:rPr>
        <w:t>ayant noté que cette initiative avait apparemment un lien avec celle prise</w:t>
      </w:r>
      <w:r w:rsidRPr="00E45670">
        <w:rPr>
          <w:lang w:val="fr-FR"/>
        </w:rPr>
        <w:t xml:space="preserve"> par l</w:t>
      </w:r>
      <w:r w:rsidR="00295FAB">
        <w:rPr>
          <w:lang w:val="fr-FR"/>
        </w:rPr>
        <w:t>’</w:t>
      </w:r>
      <w:r w:rsidRPr="00E45670">
        <w:rPr>
          <w:lang w:val="fr-FR"/>
        </w:rPr>
        <w:t>OACI au sujet des batteries au lithium, ont manifesté une certaine réticence à l</w:t>
      </w:r>
      <w:r w:rsidR="00295FAB">
        <w:rPr>
          <w:lang w:val="fr-FR"/>
        </w:rPr>
        <w:t>’</w:t>
      </w:r>
      <w:r w:rsidRPr="00E45670">
        <w:rPr>
          <w:lang w:val="fr-FR"/>
        </w:rPr>
        <w:t>idée que les chapitres 6.1 et</w:t>
      </w:r>
      <w:r w:rsidR="000873CB">
        <w:rPr>
          <w:lang w:val="fr-FR"/>
        </w:rPr>
        <w:t> </w:t>
      </w:r>
      <w:r w:rsidRPr="00E45670">
        <w:rPr>
          <w:lang w:val="fr-FR"/>
        </w:rPr>
        <w:t>6.6 soient modifiés en vue d</w:t>
      </w:r>
      <w:r w:rsidR="00295FAB">
        <w:rPr>
          <w:lang w:val="fr-FR"/>
        </w:rPr>
        <w:t>’</w:t>
      </w:r>
      <w:r w:rsidRPr="00E45670">
        <w:rPr>
          <w:lang w:val="fr-FR"/>
        </w:rPr>
        <w:t>introduire ces épreuves. Les délégations et les parties intéressées ont été invitées à communiquer leurs avis et leurs éventuelles contributions à l</w:t>
      </w:r>
      <w:r w:rsidR="00295FAB">
        <w:rPr>
          <w:lang w:val="fr-FR"/>
        </w:rPr>
        <w:t>’</w:t>
      </w:r>
      <w:r w:rsidRPr="00E45670">
        <w:rPr>
          <w:lang w:val="fr-FR"/>
        </w:rPr>
        <w:t>expert du Royaume-Uni.</w:t>
      </w:r>
    </w:p>
    <w:p w:rsidR="00E45670" w:rsidRPr="00E45670" w:rsidRDefault="00D14EC2" w:rsidP="00D14EC2">
      <w:pPr>
        <w:pStyle w:val="H1G"/>
        <w:rPr>
          <w:lang w:val="fr-FR"/>
        </w:rPr>
      </w:pPr>
      <w:r>
        <w:rPr>
          <w:lang w:val="fr-FR"/>
        </w:rPr>
        <w:tab/>
        <w:t>C.</w:t>
      </w:r>
      <w:r>
        <w:rPr>
          <w:lang w:val="fr-FR"/>
        </w:rPr>
        <w:tab/>
      </w:r>
      <w:r w:rsidR="00E45670" w:rsidRPr="00E45670">
        <w:rPr>
          <w:lang w:val="fr-FR"/>
        </w:rPr>
        <w:t>Citernes mobiles</w:t>
      </w:r>
    </w:p>
    <w:p w:rsidR="00E45670" w:rsidRPr="00E45670" w:rsidRDefault="00E45670" w:rsidP="00E45670">
      <w:pPr>
        <w:pStyle w:val="SingleTxtG"/>
        <w:rPr>
          <w:lang w:val="fr-FR"/>
        </w:rPr>
      </w:pPr>
      <w:r w:rsidRPr="00E45670">
        <w:rPr>
          <w:lang w:val="fr-FR"/>
        </w:rPr>
        <w:t>74.</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D14EC2" w:rsidP="00D14EC2">
      <w:pPr>
        <w:pStyle w:val="H1G"/>
        <w:rPr>
          <w:lang w:val="fr-FR"/>
        </w:rPr>
      </w:pPr>
      <w:r>
        <w:rPr>
          <w:lang w:val="fr-FR"/>
        </w:rPr>
        <w:tab/>
        <w:t>D.</w:t>
      </w:r>
      <w:r>
        <w:rPr>
          <w:lang w:val="fr-FR"/>
        </w:rPr>
        <w:tab/>
      </w:r>
      <w:r w:rsidR="00E45670" w:rsidRPr="00E45670">
        <w:rPr>
          <w:lang w:val="fr-FR"/>
        </w:rPr>
        <w:t>Autres propositions diverses</w:t>
      </w:r>
    </w:p>
    <w:p w:rsidR="00E45670" w:rsidRPr="00E45670" w:rsidRDefault="00E45670" w:rsidP="00D14EC2">
      <w:pPr>
        <w:pStyle w:val="H23G"/>
        <w:rPr>
          <w:lang w:val="fr-FR"/>
        </w:rPr>
      </w:pPr>
      <w:r w:rsidRPr="00E45670">
        <w:rPr>
          <w:lang w:val="fr-FR"/>
        </w:rPr>
        <w:tab/>
      </w:r>
      <w:r w:rsidRPr="00E45670">
        <w:rPr>
          <w:lang w:val="fr-FR"/>
        </w:rPr>
        <w:tab/>
        <w:t>Proposition d</w:t>
      </w:r>
      <w:r w:rsidR="00295FAB">
        <w:rPr>
          <w:lang w:val="fr-FR"/>
        </w:rPr>
        <w:t>’</w:t>
      </w:r>
      <w:r w:rsidRPr="00E45670">
        <w:rPr>
          <w:lang w:val="fr-FR"/>
        </w:rPr>
        <w:t>amendement à la section 5.5.3</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ST/SG/AC.10/C.3/2017/21 (Fédération de Russie)</w:t>
      </w:r>
    </w:p>
    <w:p w:rsidR="00E45670" w:rsidRPr="00E45670" w:rsidRDefault="00E45670" w:rsidP="00D14EC2">
      <w:pPr>
        <w:pStyle w:val="SingleTxtG"/>
        <w:ind w:left="3119" w:hanging="1985"/>
        <w:jc w:val="left"/>
        <w:rPr>
          <w:lang w:val="fr-FR"/>
        </w:rPr>
      </w:pPr>
      <w:r w:rsidRPr="00295FAB">
        <w:rPr>
          <w:i/>
          <w:lang w:val="fr-FR"/>
        </w:rPr>
        <w:t>Documents informels</w:t>
      </w:r>
      <w:r w:rsidR="00295FAB">
        <w:rPr>
          <w:lang w:val="fr-FR"/>
        </w:rPr>
        <w:t> </w:t>
      </w:r>
      <w:r w:rsidRPr="00E45670">
        <w:rPr>
          <w:lang w:val="fr-FR"/>
        </w:rPr>
        <w:t>:</w:t>
      </w:r>
      <w:r w:rsidRPr="00E45670">
        <w:rPr>
          <w:lang w:val="fr-FR"/>
        </w:rPr>
        <w:tab/>
        <w:t>INF.4 (Version russe du document</w:t>
      </w:r>
      <w:r w:rsidR="00D14EC2">
        <w:rPr>
          <w:lang w:val="fr-FR"/>
        </w:rPr>
        <w:t xml:space="preserve"> ST/SG/AC.10/C.3/2017/21) </w:t>
      </w:r>
      <w:r w:rsidR="00D14EC2">
        <w:rPr>
          <w:lang w:val="fr-FR"/>
        </w:rPr>
        <w:br/>
      </w:r>
      <w:r w:rsidRPr="00E45670">
        <w:rPr>
          <w:lang w:val="fr-FR"/>
        </w:rPr>
        <w:t>INF.29 (Autriche)</w:t>
      </w:r>
      <w:r w:rsidR="00D14EC2">
        <w:rPr>
          <w:lang w:val="fr-FR"/>
        </w:rPr>
        <w:t>.</w:t>
      </w:r>
    </w:p>
    <w:p w:rsidR="00E45670" w:rsidRPr="00E45670" w:rsidRDefault="00E45670" w:rsidP="00E45670">
      <w:pPr>
        <w:pStyle w:val="SingleTxtG"/>
        <w:rPr>
          <w:lang w:val="fr-FR"/>
        </w:rPr>
      </w:pPr>
      <w:r w:rsidRPr="00E45670">
        <w:rPr>
          <w:lang w:val="fr-FR"/>
        </w:rPr>
        <w:t>75.</w:t>
      </w:r>
      <w:r w:rsidRPr="00E45670">
        <w:rPr>
          <w:lang w:val="fr-FR"/>
        </w:rPr>
        <w:tab/>
        <w:t>Certaines délégations estimaient qu</w:t>
      </w:r>
      <w:r w:rsidR="00295FAB">
        <w:rPr>
          <w:lang w:val="fr-FR"/>
        </w:rPr>
        <w:t>’</w:t>
      </w:r>
      <w:r w:rsidRPr="00E45670">
        <w:rPr>
          <w:lang w:val="fr-FR"/>
        </w:rPr>
        <w:t>il y avait une différence entre les agents de conditionnement et les agents de protection, et donc que la proposition de l</w:t>
      </w:r>
      <w:r w:rsidR="00295FAB">
        <w:rPr>
          <w:lang w:val="fr-FR"/>
        </w:rPr>
        <w:t>’</w:t>
      </w:r>
      <w:r w:rsidRPr="00E45670">
        <w:rPr>
          <w:lang w:val="fr-FR"/>
        </w:rPr>
        <w:t xml:space="preserve">expert de la </w:t>
      </w:r>
      <w:r w:rsidRPr="00D14EC2">
        <w:rPr>
          <w:spacing w:val="-2"/>
          <w:lang w:val="fr-FR"/>
        </w:rPr>
        <w:t>Fédération de Russie était justifiée. D</w:t>
      </w:r>
      <w:r w:rsidR="00295FAB" w:rsidRPr="00D14EC2">
        <w:rPr>
          <w:spacing w:val="-2"/>
          <w:lang w:val="fr-FR"/>
        </w:rPr>
        <w:t>’</w:t>
      </w:r>
      <w:r w:rsidRPr="00D14EC2">
        <w:rPr>
          <w:spacing w:val="-2"/>
          <w:lang w:val="fr-FR"/>
        </w:rPr>
        <w:t>autres étaient d</w:t>
      </w:r>
      <w:r w:rsidR="00295FAB" w:rsidRPr="00D14EC2">
        <w:rPr>
          <w:spacing w:val="-2"/>
          <w:lang w:val="fr-FR"/>
        </w:rPr>
        <w:t>’</w:t>
      </w:r>
      <w:r w:rsidRPr="00D14EC2">
        <w:rPr>
          <w:spacing w:val="-2"/>
          <w:lang w:val="fr-FR"/>
        </w:rPr>
        <w:t xml:space="preserve">avis que le terme </w:t>
      </w:r>
      <w:r w:rsidR="00295FAB" w:rsidRPr="00D14EC2">
        <w:rPr>
          <w:spacing w:val="-2"/>
          <w:lang w:val="fr-FR"/>
        </w:rPr>
        <w:t>« </w:t>
      </w:r>
      <w:r w:rsidRPr="00D14EC2">
        <w:rPr>
          <w:spacing w:val="-2"/>
          <w:lang w:val="fr-FR"/>
        </w:rPr>
        <w:t>conditionnement</w:t>
      </w:r>
      <w:r w:rsidR="00295FAB" w:rsidRPr="00D14EC2">
        <w:rPr>
          <w:spacing w:val="-2"/>
          <w:lang w:val="fr-FR"/>
        </w:rPr>
        <w:t> »</w:t>
      </w:r>
      <w:r w:rsidRPr="00E45670">
        <w:rPr>
          <w:lang w:val="fr-FR"/>
        </w:rPr>
        <w:t xml:space="preserve"> incluait les agents de protection, et que ceci pourrait être indiqué dans une note. Le Sous-Comité a appuyé la proposition de l</w:t>
      </w:r>
      <w:r w:rsidR="00295FAB">
        <w:rPr>
          <w:lang w:val="fr-FR"/>
        </w:rPr>
        <w:t>’</w:t>
      </w:r>
      <w:r w:rsidRPr="00E45670">
        <w:rPr>
          <w:lang w:val="fr-FR"/>
        </w:rPr>
        <w:t>expert de l</w:t>
      </w:r>
      <w:r w:rsidR="00295FAB">
        <w:rPr>
          <w:lang w:val="fr-FR"/>
        </w:rPr>
        <w:t>’</w:t>
      </w:r>
      <w:r w:rsidRPr="00E45670">
        <w:rPr>
          <w:lang w:val="fr-FR"/>
        </w:rPr>
        <w:t>Autriche visant à éviter d</w:t>
      </w:r>
      <w:r w:rsidR="00295FAB">
        <w:rPr>
          <w:lang w:val="fr-FR"/>
        </w:rPr>
        <w:t>’</w:t>
      </w:r>
      <w:r w:rsidRPr="00E45670">
        <w:rPr>
          <w:lang w:val="fr-FR"/>
        </w:rPr>
        <w:t>inscrire les mentions «</w:t>
      </w:r>
      <w:r w:rsidR="00295FAB">
        <w:rPr>
          <w:lang w:val="fr-FR"/>
        </w:rPr>
        <w:t> </w:t>
      </w:r>
      <w:r w:rsidRPr="00E45670">
        <w:rPr>
          <w:lang w:val="fr-FR"/>
        </w:rPr>
        <w:t>AGENT DE RÉFRIGÉRATION</w:t>
      </w:r>
      <w:r w:rsidR="00295FAB">
        <w:rPr>
          <w:lang w:val="fr-FR"/>
        </w:rPr>
        <w:t> </w:t>
      </w:r>
      <w:r w:rsidRPr="00E45670">
        <w:rPr>
          <w:lang w:val="fr-FR"/>
        </w:rPr>
        <w:t>», «</w:t>
      </w:r>
      <w:r w:rsidR="00295FAB">
        <w:rPr>
          <w:lang w:val="fr-FR"/>
        </w:rPr>
        <w:t> </w:t>
      </w:r>
      <w:r w:rsidRPr="00E45670">
        <w:rPr>
          <w:lang w:val="fr-FR"/>
        </w:rPr>
        <w:t>AGENT DE CONDITIONNEMENT</w:t>
      </w:r>
      <w:r w:rsidR="00295FAB">
        <w:rPr>
          <w:lang w:val="fr-FR"/>
        </w:rPr>
        <w:t> </w:t>
      </w:r>
      <w:r w:rsidRPr="00E45670">
        <w:rPr>
          <w:lang w:val="fr-FR"/>
        </w:rPr>
        <w:t>» ou «</w:t>
      </w:r>
      <w:r w:rsidR="00295FAB">
        <w:rPr>
          <w:lang w:val="fr-FR"/>
        </w:rPr>
        <w:t> </w:t>
      </w:r>
      <w:r w:rsidRPr="00E45670">
        <w:rPr>
          <w:lang w:val="fr-FR"/>
        </w:rPr>
        <w:t>AGENT DE PROTECTION</w:t>
      </w:r>
      <w:r w:rsidR="00295FAB">
        <w:rPr>
          <w:lang w:val="fr-FR"/>
        </w:rPr>
        <w:t> </w:t>
      </w:r>
      <w:r w:rsidRPr="00E45670">
        <w:rPr>
          <w:lang w:val="fr-FR"/>
        </w:rPr>
        <w:t>» sur la marque de mise en garde dans la mesure où celles-ci ne faisaient pas partie des éléments de communication des dangers.</w:t>
      </w:r>
    </w:p>
    <w:p w:rsidR="00E45670" w:rsidRPr="00E45670" w:rsidRDefault="00E45670" w:rsidP="00E45670">
      <w:pPr>
        <w:pStyle w:val="SingleTxtG"/>
        <w:rPr>
          <w:lang w:val="fr-FR"/>
        </w:rPr>
      </w:pPr>
      <w:r w:rsidRPr="00E45670">
        <w:rPr>
          <w:lang w:val="fr-FR"/>
        </w:rPr>
        <w:t>76.</w:t>
      </w:r>
      <w:r w:rsidRPr="00E45670">
        <w:rPr>
          <w:lang w:val="fr-FR"/>
        </w:rPr>
        <w:tab/>
        <w:t>L</w:t>
      </w:r>
      <w:r w:rsidR="00295FAB">
        <w:rPr>
          <w:lang w:val="fr-FR"/>
        </w:rPr>
        <w:t>’</w:t>
      </w:r>
      <w:r w:rsidRPr="00E45670">
        <w:rPr>
          <w:lang w:val="fr-FR"/>
        </w:rPr>
        <w:t>expert de la Fédération de Russie a dit qu</w:t>
      </w:r>
      <w:r w:rsidR="00295FAB">
        <w:rPr>
          <w:lang w:val="fr-FR"/>
        </w:rPr>
        <w:t>’</w:t>
      </w:r>
      <w:r w:rsidRPr="00E45670">
        <w:rPr>
          <w:lang w:val="fr-FR"/>
        </w:rPr>
        <w:t>il consulterait l</w:t>
      </w:r>
      <w:r w:rsidR="00295FAB">
        <w:rPr>
          <w:lang w:val="fr-FR"/>
        </w:rPr>
        <w:t>’</w:t>
      </w:r>
      <w:r w:rsidRPr="00E45670">
        <w:rPr>
          <w:lang w:val="fr-FR"/>
        </w:rPr>
        <w:t>expert de l</w:t>
      </w:r>
      <w:r w:rsidR="00295FAB">
        <w:rPr>
          <w:lang w:val="fr-FR"/>
        </w:rPr>
        <w:t>’</w:t>
      </w:r>
      <w:r w:rsidRPr="00E45670">
        <w:rPr>
          <w:lang w:val="fr-FR"/>
        </w:rPr>
        <w:t>Autriche et qu</w:t>
      </w:r>
      <w:r w:rsidR="00295FAB">
        <w:rPr>
          <w:lang w:val="fr-FR"/>
        </w:rPr>
        <w:t>’</w:t>
      </w:r>
      <w:r w:rsidRPr="00E45670">
        <w:rPr>
          <w:lang w:val="fr-FR"/>
        </w:rPr>
        <w:t>il mettrait au point une proposition révisée en vue de la prochaine session.</w:t>
      </w:r>
    </w:p>
    <w:p w:rsidR="00E45670" w:rsidRPr="00E45670" w:rsidRDefault="00D14EC2" w:rsidP="00D14EC2">
      <w:pPr>
        <w:pStyle w:val="HChG"/>
        <w:rPr>
          <w:lang w:val="fr-FR"/>
        </w:rPr>
      </w:pPr>
      <w:r>
        <w:rPr>
          <w:lang w:val="fr-FR"/>
        </w:rPr>
        <w:tab/>
      </w:r>
      <w:r w:rsidR="00E45670" w:rsidRPr="00E45670">
        <w:rPr>
          <w:lang w:val="fr-FR"/>
        </w:rPr>
        <w:t>VIII.</w:t>
      </w:r>
      <w:r w:rsidR="00E45670" w:rsidRPr="00E45670">
        <w:rPr>
          <w:lang w:val="fr-FR"/>
        </w:rPr>
        <w:tab/>
      </w:r>
      <w:r w:rsidR="00E45670" w:rsidRPr="00D14EC2">
        <w:rPr>
          <w:rFonts w:ascii="Times New Roman Gras" w:hAnsi="Times New Roman Gras"/>
          <w:spacing w:val="2"/>
          <w:lang w:val="fr-FR"/>
        </w:rPr>
        <w:t xml:space="preserve">Harmonisation générale des règlements de transport </w:t>
      </w:r>
      <w:r w:rsidRPr="00D14EC2">
        <w:rPr>
          <w:rFonts w:ascii="Times New Roman Gras" w:hAnsi="Times New Roman Gras"/>
          <w:spacing w:val="2"/>
          <w:lang w:val="fr-FR"/>
        </w:rPr>
        <w:br/>
      </w:r>
      <w:r w:rsidR="00E45670" w:rsidRPr="00D14EC2">
        <w:rPr>
          <w:rFonts w:ascii="Times New Roman Gras" w:hAnsi="Times New Roman Gras"/>
          <w:spacing w:val="-2"/>
          <w:lang w:val="fr-FR"/>
        </w:rPr>
        <w:t xml:space="preserve">des marchandises dangereuses avec le Règlement type </w:t>
      </w:r>
      <w:r w:rsidRPr="00D14EC2">
        <w:rPr>
          <w:rFonts w:ascii="Times New Roman Gras" w:hAnsi="Times New Roman Gras"/>
          <w:spacing w:val="-2"/>
          <w:lang w:val="fr-FR"/>
        </w:rPr>
        <w:br/>
      </w:r>
      <w:r w:rsidR="00E45670" w:rsidRPr="00E45670">
        <w:rPr>
          <w:lang w:val="fr-FR"/>
        </w:rPr>
        <w:t>(point 7 de l</w:t>
      </w:r>
      <w:r w:rsidR="00295FAB">
        <w:rPr>
          <w:lang w:val="fr-FR"/>
        </w:rPr>
        <w:t>’</w:t>
      </w:r>
      <w:r w:rsidR="00E45670" w:rsidRPr="00E45670">
        <w:rPr>
          <w:lang w:val="fr-FR"/>
        </w:rPr>
        <w:t>ordre du jour)</w:t>
      </w:r>
    </w:p>
    <w:p w:rsidR="00E45670" w:rsidRPr="00E45670" w:rsidRDefault="00D14EC2" w:rsidP="00D14EC2">
      <w:pPr>
        <w:pStyle w:val="H1G"/>
        <w:rPr>
          <w:lang w:val="fr-FR"/>
        </w:rPr>
      </w:pPr>
      <w:r>
        <w:rPr>
          <w:lang w:val="fr-FR"/>
        </w:rPr>
        <w:tab/>
        <w:t>A.</w:t>
      </w:r>
      <w:r>
        <w:rPr>
          <w:lang w:val="fr-FR"/>
        </w:rPr>
        <w:tab/>
      </w:r>
      <w:r w:rsidR="00E45670" w:rsidRPr="00E45670">
        <w:rPr>
          <w:lang w:val="fr-FR"/>
        </w:rPr>
        <w:t>Formation axée sur les compétences</w:t>
      </w:r>
    </w:p>
    <w:p w:rsidR="00E45670" w:rsidRPr="00E45670" w:rsidRDefault="00E45670" w:rsidP="00885A0C">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ST/SG/AC.10/C.3/2017/26 (DGTA)</w:t>
      </w:r>
      <w:r w:rsidR="00D14EC2">
        <w:rPr>
          <w:lang w:val="fr-FR"/>
        </w:rPr>
        <w:t>.</w:t>
      </w:r>
    </w:p>
    <w:p w:rsidR="00E45670" w:rsidRPr="00E45670" w:rsidRDefault="00E45670" w:rsidP="00E45670">
      <w:pPr>
        <w:pStyle w:val="SingleTxtG"/>
        <w:rPr>
          <w:lang w:val="fr-FR"/>
        </w:rPr>
      </w:pPr>
      <w:r w:rsidRPr="00E45670">
        <w:rPr>
          <w:lang w:val="fr-FR"/>
        </w:rPr>
        <w:t>77.</w:t>
      </w:r>
      <w:r w:rsidRPr="00E45670">
        <w:rPr>
          <w:lang w:val="fr-FR"/>
        </w:rPr>
        <w:tab/>
        <w:t>Le Sous-Comité a souligné les avantages de la formation et a rappelé que le chapitre</w:t>
      </w:r>
      <w:r w:rsidR="000873CB">
        <w:rPr>
          <w:lang w:val="fr-FR"/>
        </w:rPr>
        <w:t> </w:t>
      </w:r>
      <w:r w:rsidRPr="00E45670">
        <w:rPr>
          <w:lang w:val="fr-FR"/>
        </w:rPr>
        <w:t>1.3 du Règlement type offrait déjà un cadre général pour la formation. La mise en application des dispositions de ce chapitre dépendait toutefois des autorités compétentes, lesquelles devaient tenir compte des particularités régionales et modales. Plusieurs délégations ont exprimé des doutes quant à la possibilité d</w:t>
      </w:r>
      <w:r w:rsidR="00295FAB">
        <w:rPr>
          <w:lang w:val="fr-FR"/>
        </w:rPr>
        <w:t>’</w:t>
      </w:r>
      <w:r w:rsidRPr="00E45670">
        <w:rPr>
          <w:lang w:val="fr-FR"/>
        </w:rPr>
        <w:t>une harmonisation générale dans ce domaine.</w:t>
      </w:r>
    </w:p>
    <w:p w:rsidR="00E45670" w:rsidRPr="00E45670" w:rsidRDefault="00E45670" w:rsidP="00E45670">
      <w:pPr>
        <w:pStyle w:val="SingleTxtG"/>
        <w:rPr>
          <w:lang w:val="fr-FR"/>
        </w:rPr>
      </w:pPr>
      <w:r w:rsidRPr="00E45670">
        <w:rPr>
          <w:lang w:val="fr-FR"/>
        </w:rPr>
        <w:t>78.</w:t>
      </w:r>
      <w:r w:rsidRPr="00E45670">
        <w:rPr>
          <w:lang w:val="fr-FR"/>
        </w:rPr>
        <w:tab/>
        <w:t>Le Sous-Comité a pris note des initiatives de l</w:t>
      </w:r>
      <w:r w:rsidR="00295FAB">
        <w:rPr>
          <w:lang w:val="fr-FR"/>
        </w:rPr>
        <w:t>’</w:t>
      </w:r>
      <w:r w:rsidRPr="00E45670">
        <w:rPr>
          <w:lang w:val="fr-FR"/>
        </w:rPr>
        <w:t>OACI et du Canada visant à concevoir une nouvelle approche fondée sur les compétences et a manifesté un intérêt pour les résultats des enquêtes pertinentes ou autres résultats préliminaires. Il a noté que l</w:t>
      </w:r>
      <w:r w:rsidR="00295FAB">
        <w:rPr>
          <w:lang w:val="fr-FR"/>
        </w:rPr>
        <w:t>’</w:t>
      </w:r>
      <w:r w:rsidRPr="00E45670">
        <w:rPr>
          <w:lang w:val="fr-FR"/>
        </w:rPr>
        <w:t>approche basée sur les compétences n</w:t>
      </w:r>
      <w:r w:rsidR="00295FAB">
        <w:rPr>
          <w:lang w:val="fr-FR"/>
        </w:rPr>
        <w:t>’</w:t>
      </w:r>
      <w:r w:rsidRPr="00E45670">
        <w:rPr>
          <w:lang w:val="fr-FR"/>
        </w:rPr>
        <w:t>était pas censée remplacer les principes de formation actuels, mais qu</w:t>
      </w:r>
      <w:r w:rsidR="00295FAB">
        <w:rPr>
          <w:lang w:val="fr-FR"/>
        </w:rPr>
        <w:t>’</w:t>
      </w:r>
      <w:r w:rsidRPr="00E45670">
        <w:rPr>
          <w:lang w:val="fr-FR"/>
        </w:rPr>
        <w:t>elle avait pour objet de compléter les dispositifs actuels en introduisant des mesures de vérification des compétences sur le lieu de travail et en mettant l</w:t>
      </w:r>
      <w:r w:rsidR="00295FAB">
        <w:rPr>
          <w:lang w:val="fr-FR"/>
        </w:rPr>
        <w:t>’</w:t>
      </w:r>
      <w:r w:rsidRPr="00E45670">
        <w:rPr>
          <w:lang w:val="fr-FR"/>
        </w:rPr>
        <w:t>accent sur les compétences effectivement requises.</w:t>
      </w:r>
    </w:p>
    <w:p w:rsidR="00E45670" w:rsidRPr="00E45670" w:rsidRDefault="00E45670" w:rsidP="00E45670">
      <w:pPr>
        <w:pStyle w:val="SingleTxtG"/>
        <w:rPr>
          <w:lang w:val="fr-FR"/>
        </w:rPr>
      </w:pPr>
      <w:r w:rsidRPr="00E45670">
        <w:rPr>
          <w:lang w:val="fr-FR"/>
        </w:rPr>
        <w:t>79.</w:t>
      </w:r>
      <w:r w:rsidRPr="00E45670">
        <w:rPr>
          <w:lang w:val="fr-FR"/>
        </w:rPr>
        <w:tab/>
        <w:t>Le Sous-Comité a décidé de poursuivre l</w:t>
      </w:r>
      <w:r w:rsidR="00295FAB">
        <w:rPr>
          <w:lang w:val="fr-FR"/>
        </w:rPr>
        <w:t>’</w:t>
      </w:r>
      <w:r w:rsidRPr="00E45670">
        <w:rPr>
          <w:lang w:val="fr-FR"/>
        </w:rPr>
        <w:t>examen de cette question lors de prochaines sessions à condition que des informations supplémentaires lui soient fournies.</w:t>
      </w:r>
    </w:p>
    <w:p w:rsidR="00E45670" w:rsidRPr="00E45670" w:rsidRDefault="00D14EC2" w:rsidP="00D14EC2">
      <w:pPr>
        <w:pStyle w:val="H1G"/>
        <w:rPr>
          <w:lang w:val="fr-FR"/>
        </w:rPr>
      </w:pPr>
      <w:r>
        <w:rPr>
          <w:lang w:val="fr-FR"/>
        </w:rPr>
        <w:tab/>
      </w:r>
      <w:r w:rsidR="00E45670" w:rsidRPr="00E45670">
        <w:rPr>
          <w:lang w:val="fr-FR"/>
        </w:rPr>
        <w:t>B.</w:t>
      </w:r>
      <w:r w:rsidR="00E45670" w:rsidRPr="00E45670">
        <w:rPr>
          <w:lang w:val="fr-FR"/>
        </w:rPr>
        <w:tab/>
        <w:t>Harmonisation du RID/ADR/ADN avec le Règlement type</w:t>
      </w:r>
    </w:p>
    <w:p w:rsidR="00E45670" w:rsidRPr="00E45670" w:rsidRDefault="00E45670" w:rsidP="00D14EC2">
      <w:pPr>
        <w:pStyle w:val="H23G"/>
        <w:rPr>
          <w:lang w:val="fr-FR"/>
        </w:rPr>
      </w:pPr>
      <w:r w:rsidRPr="00E45670">
        <w:rPr>
          <w:lang w:val="fr-FR"/>
        </w:rPr>
        <w:tab/>
      </w:r>
      <w:r w:rsidRPr="00E45670">
        <w:rPr>
          <w:lang w:val="fr-FR"/>
        </w:rPr>
        <w:tab/>
        <w:t>Questions soulevées lors de la session d</w:t>
      </w:r>
      <w:r w:rsidR="00295FAB">
        <w:rPr>
          <w:lang w:val="fr-FR"/>
        </w:rPr>
        <w:t>’</w:t>
      </w:r>
      <w:r w:rsidRPr="00E45670">
        <w:rPr>
          <w:lang w:val="fr-FR"/>
        </w:rPr>
        <w:t xml:space="preserve">avril 2017 du Groupe de travail ad hoc </w:t>
      </w:r>
      <w:r w:rsidR="00D14EC2">
        <w:rPr>
          <w:lang w:val="fr-FR"/>
        </w:rPr>
        <w:br/>
      </w:r>
      <w:r w:rsidRPr="00E45670">
        <w:rPr>
          <w:lang w:val="fr-FR"/>
        </w:rPr>
        <w:t>sur l</w:t>
      </w:r>
      <w:r w:rsidR="00295FAB">
        <w:rPr>
          <w:lang w:val="fr-FR"/>
        </w:rPr>
        <w:t>’</w:t>
      </w:r>
      <w:r w:rsidRPr="00E45670">
        <w:rPr>
          <w:lang w:val="fr-FR"/>
        </w:rPr>
        <w:t>harmonisation du RID/ADR/ADN avec les Recommandations de l</w:t>
      </w:r>
      <w:r w:rsidR="00295FAB">
        <w:rPr>
          <w:lang w:val="fr-FR"/>
        </w:rPr>
        <w:t>’</w:t>
      </w:r>
      <w:r w:rsidRPr="00E45670">
        <w:rPr>
          <w:lang w:val="fr-FR"/>
        </w:rPr>
        <w:t xml:space="preserve">ONU </w:t>
      </w:r>
      <w:r w:rsidR="00D14EC2">
        <w:rPr>
          <w:lang w:val="fr-FR"/>
        </w:rPr>
        <w:br/>
      </w:r>
      <w:r w:rsidRPr="00E45670">
        <w:rPr>
          <w:lang w:val="fr-FR"/>
        </w:rPr>
        <w:t>relatives au transport des marchandises dangereuses</w:t>
      </w:r>
    </w:p>
    <w:p w:rsidR="00E45670" w:rsidRPr="00E45670" w:rsidRDefault="00E45670" w:rsidP="00D14EC2">
      <w:pPr>
        <w:pStyle w:val="SingleTxtG"/>
        <w:ind w:left="3119" w:hanging="1985"/>
        <w:jc w:val="left"/>
        <w:rPr>
          <w:lang w:val="fr-FR"/>
        </w:rPr>
      </w:pPr>
      <w:r w:rsidRPr="00295FAB">
        <w:rPr>
          <w:i/>
          <w:lang w:val="fr-FR"/>
        </w:rPr>
        <w:t>Documents informels</w:t>
      </w:r>
      <w:r w:rsidR="00295FAB">
        <w:rPr>
          <w:lang w:val="fr-FR"/>
        </w:rPr>
        <w:t> </w:t>
      </w:r>
      <w:r w:rsidRPr="00E45670">
        <w:rPr>
          <w:lang w:val="fr-FR"/>
        </w:rPr>
        <w:t>:</w:t>
      </w:r>
      <w:r w:rsidRPr="00E45670">
        <w:rPr>
          <w:lang w:val="fr-FR"/>
        </w:rPr>
        <w:tab/>
        <w:t xml:space="preserve">INF.18 (Secrétariat) </w:t>
      </w:r>
      <w:r w:rsidR="00D14EC2">
        <w:rPr>
          <w:lang w:val="fr-FR"/>
        </w:rPr>
        <w:br/>
      </w:r>
      <w:r w:rsidRPr="00E45670">
        <w:rPr>
          <w:lang w:val="fr-FR"/>
        </w:rPr>
        <w:t>INF.14 (Allemagne)</w:t>
      </w:r>
      <w:r w:rsidR="00D14EC2">
        <w:rPr>
          <w:lang w:val="fr-FR"/>
        </w:rPr>
        <w:t>.</w:t>
      </w:r>
    </w:p>
    <w:p w:rsidR="00E45670" w:rsidRPr="00E45670" w:rsidRDefault="00E45670" w:rsidP="00E45670">
      <w:pPr>
        <w:pStyle w:val="SingleTxtG"/>
        <w:rPr>
          <w:lang w:val="fr-FR"/>
        </w:rPr>
      </w:pPr>
      <w:r w:rsidRPr="00E45670">
        <w:rPr>
          <w:lang w:val="fr-FR"/>
        </w:rPr>
        <w:t>80.</w:t>
      </w:r>
      <w:r w:rsidRPr="00E45670">
        <w:rPr>
          <w:lang w:val="fr-FR"/>
        </w:rPr>
        <w:tab/>
        <w:t>Le Sous-Comité a constaté que le Groupe de travail spécial avait repéré un certain nombre d</w:t>
      </w:r>
      <w:r w:rsidR="00295FAB">
        <w:rPr>
          <w:lang w:val="fr-FR"/>
        </w:rPr>
        <w:t>’</w:t>
      </w:r>
      <w:r w:rsidRPr="00E45670">
        <w:rPr>
          <w:lang w:val="fr-FR"/>
        </w:rPr>
        <w:t>erreurs, d</w:t>
      </w:r>
      <w:r w:rsidR="00295FAB">
        <w:rPr>
          <w:lang w:val="fr-FR"/>
        </w:rPr>
        <w:t>’</w:t>
      </w:r>
      <w:r w:rsidRPr="00E45670">
        <w:rPr>
          <w:lang w:val="fr-FR"/>
        </w:rPr>
        <w:t>incohérences ou d</w:t>
      </w:r>
      <w:r w:rsidR="00295FAB">
        <w:rPr>
          <w:lang w:val="fr-FR"/>
        </w:rPr>
        <w:t>’</w:t>
      </w:r>
      <w:r w:rsidRPr="00E45670">
        <w:rPr>
          <w:lang w:val="fr-FR"/>
        </w:rPr>
        <w:t>amendements corollaires manquants dans la vingtième édition révisée des Recommandations, et a adopté la plupart des corrections et des modifications proposées, avec parfois quelques modifications, à l</w:t>
      </w:r>
      <w:r w:rsidR="00295FAB">
        <w:rPr>
          <w:lang w:val="fr-FR"/>
        </w:rPr>
        <w:t>’</w:t>
      </w:r>
      <w:r w:rsidRPr="00E45670">
        <w:rPr>
          <w:lang w:val="fr-FR"/>
        </w:rPr>
        <w:t>exception des cas indiqués ci-dessous.</w:t>
      </w:r>
    </w:p>
    <w:p w:rsidR="00E45670" w:rsidRPr="00E45670" w:rsidRDefault="00E45670" w:rsidP="00E45670">
      <w:pPr>
        <w:pStyle w:val="SingleTxtG"/>
        <w:rPr>
          <w:lang w:val="fr-FR"/>
        </w:rPr>
      </w:pPr>
      <w:r w:rsidRPr="00E45670">
        <w:rPr>
          <w:lang w:val="fr-FR"/>
        </w:rPr>
        <w:t>81.</w:t>
      </w:r>
      <w:r w:rsidRPr="00E45670">
        <w:rPr>
          <w:lang w:val="fr-FR"/>
        </w:rPr>
        <w:tab/>
        <w:t>En ce qui concerne la proposition énoncée au paragraphe 10, l</w:t>
      </w:r>
      <w:r w:rsidR="00295FAB">
        <w:rPr>
          <w:lang w:val="fr-FR"/>
        </w:rPr>
        <w:t>’</w:t>
      </w:r>
      <w:r w:rsidRPr="00E45670">
        <w:rPr>
          <w:lang w:val="fr-FR"/>
        </w:rPr>
        <w:t>ajout d</w:t>
      </w:r>
      <w:r w:rsidR="00295FAB">
        <w:rPr>
          <w:lang w:val="fr-FR"/>
        </w:rPr>
        <w:t>’</w:t>
      </w:r>
      <w:r w:rsidRPr="00E45670">
        <w:rPr>
          <w:lang w:val="fr-FR"/>
        </w:rPr>
        <w:t xml:space="preserve">un NOTA sous le titre </w:t>
      </w:r>
      <w:r w:rsidR="00295FAB">
        <w:rPr>
          <w:lang w:val="fr-FR"/>
        </w:rPr>
        <w:t>« </w:t>
      </w:r>
      <w:r w:rsidRPr="00E45670">
        <w:rPr>
          <w:lang w:val="fr-FR"/>
        </w:rPr>
        <w:t>2.9.4 Piles au lithium</w:t>
      </w:r>
      <w:r w:rsidR="00295FAB">
        <w:rPr>
          <w:lang w:val="fr-FR"/>
        </w:rPr>
        <w:t> »</w:t>
      </w:r>
      <w:r w:rsidRPr="00E45670">
        <w:rPr>
          <w:lang w:val="fr-FR"/>
        </w:rPr>
        <w:t xml:space="preserve"> était justifié mais la première phrase du 2.9.4 pourrait également être modifiée pour tenir compte du </w:t>
      </w:r>
      <w:r w:rsidR="00D14EC2">
        <w:rPr>
          <w:lang w:val="fr-FR"/>
        </w:rPr>
        <w:t>No </w:t>
      </w:r>
      <w:r w:rsidRPr="00E45670">
        <w:rPr>
          <w:lang w:val="fr-FR"/>
        </w:rPr>
        <w:t>ONU</w:t>
      </w:r>
      <w:r w:rsidR="00D14EC2">
        <w:rPr>
          <w:lang w:val="fr-FR"/>
        </w:rPr>
        <w:t> </w:t>
      </w:r>
      <w:r w:rsidRPr="00E45670">
        <w:rPr>
          <w:lang w:val="fr-FR"/>
        </w:rPr>
        <w:t>3536, et cette question devrait être examinée sur la base d</w:t>
      </w:r>
      <w:r w:rsidR="00295FAB">
        <w:rPr>
          <w:lang w:val="fr-FR"/>
        </w:rPr>
        <w:t>’</w:t>
      </w:r>
      <w:r w:rsidRPr="00E45670">
        <w:rPr>
          <w:lang w:val="fr-FR"/>
        </w:rPr>
        <w:t>une proposition officielle.</w:t>
      </w:r>
    </w:p>
    <w:p w:rsidR="00E45670" w:rsidRPr="00E45670" w:rsidRDefault="00E45670" w:rsidP="00E45670">
      <w:pPr>
        <w:pStyle w:val="SingleTxtG"/>
        <w:rPr>
          <w:lang w:val="fr-FR"/>
        </w:rPr>
      </w:pPr>
      <w:r w:rsidRPr="00E45670">
        <w:rPr>
          <w:lang w:val="fr-FR"/>
        </w:rPr>
        <w:t>82.</w:t>
      </w:r>
      <w:r w:rsidRPr="00E45670">
        <w:rPr>
          <w:lang w:val="fr-FR"/>
        </w:rPr>
        <w:tab/>
        <w:t>En ce qui concerne la proposition énoncée au paragraphe 13, l</w:t>
      </w:r>
      <w:r w:rsidR="00295FAB">
        <w:rPr>
          <w:lang w:val="fr-FR"/>
        </w:rPr>
        <w:t>’</w:t>
      </w:r>
      <w:r w:rsidRPr="00E45670">
        <w:rPr>
          <w:lang w:val="fr-FR"/>
        </w:rPr>
        <w:t>alinéa</w:t>
      </w:r>
      <w:r w:rsidR="00D14EC2">
        <w:rPr>
          <w:lang w:val="fr-FR"/>
        </w:rPr>
        <w:t> </w:t>
      </w:r>
      <w:r w:rsidRPr="00E45670">
        <w:rPr>
          <w:lang w:val="fr-FR"/>
        </w:rPr>
        <w:t>c) de la disposition spéciale 188 pourrait renvoyer à l</w:t>
      </w:r>
      <w:r w:rsidR="00295FAB">
        <w:rPr>
          <w:lang w:val="fr-FR"/>
        </w:rPr>
        <w:t>’</w:t>
      </w:r>
      <w:r w:rsidRPr="00E45670">
        <w:rPr>
          <w:lang w:val="fr-FR"/>
        </w:rPr>
        <w:t>alinéa</w:t>
      </w:r>
      <w:r w:rsidR="00D14EC2">
        <w:rPr>
          <w:lang w:val="fr-FR"/>
        </w:rPr>
        <w:t> </w:t>
      </w:r>
      <w:r w:rsidRPr="00E45670">
        <w:rPr>
          <w:lang w:val="fr-FR"/>
        </w:rPr>
        <w:t>f) du 2.9.4, mais uniquement s</w:t>
      </w:r>
      <w:r w:rsidR="00295FAB">
        <w:rPr>
          <w:lang w:val="fr-FR"/>
        </w:rPr>
        <w:t>’</w:t>
      </w:r>
      <w:r w:rsidRPr="00E45670">
        <w:rPr>
          <w:lang w:val="fr-FR"/>
        </w:rPr>
        <w:t>il y a lieu.</w:t>
      </w:r>
    </w:p>
    <w:p w:rsidR="00E45670" w:rsidRPr="00E45670" w:rsidRDefault="00E45670" w:rsidP="00E45670">
      <w:pPr>
        <w:pStyle w:val="SingleTxtG"/>
        <w:rPr>
          <w:lang w:val="fr-FR"/>
        </w:rPr>
      </w:pPr>
      <w:r w:rsidRPr="00E45670">
        <w:rPr>
          <w:lang w:val="fr-FR"/>
        </w:rPr>
        <w:t>83.</w:t>
      </w:r>
      <w:r w:rsidRPr="00E45670">
        <w:rPr>
          <w:lang w:val="fr-FR"/>
        </w:rPr>
        <w:tab/>
        <w:t xml:space="preserve">En ce qui concerne la proposition énoncée au paragraphe 14, le titre du Règlement </w:t>
      </w:r>
      <w:r w:rsidR="00D14EC2" w:rsidRPr="00D14EC2">
        <w:rPr>
          <w:rFonts w:eastAsia="MS Mincho"/>
          <w:szCs w:val="22"/>
          <w:lang w:val="fr-FR"/>
        </w:rPr>
        <w:t>n</w:t>
      </w:r>
      <w:r w:rsidR="00D14EC2" w:rsidRPr="00D14EC2">
        <w:rPr>
          <w:rFonts w:eastAsia="MS Mincho"/>
          <w:szCs w:val="22"/>
          <w:vertAlign w:val="superscript"/>
          <w:lang w:val="fr-FR"/>
        </w:rPr>
        <w:t>o</w:t>
      </w:r>
      <w:r w:rsidR="00D14EC2">
        <w:rPr>
          <w:lang w:val="fr-FR"/>
        </w:rPr>
        <w:t> </w:t>
      </w:r>
      <w:r w:rsidRPr="00E45670">
        <w:rPr>
          <w:lang w:val="fr-FR"/>
        </w:rPr>
        <w:t>110 pourrait être actualisé comme proposé, mais la disposition spéciale 392 ne devrait pas s</w:t>
      </w:r>
      <w:r w:rsidR="00295FAB">
        <w:rPr>
          <w:lang w:val="fr-FR"/>
        </w:rPr>
        <w:t>’</w:t>
      </w:r>
      <w:r w:rsidRPr="00E45670">
        <w:rPr>
          <w:lang w:val="fr-FR"/>
        </w:rPr>
        <w:t xml:space="preserve">appliquer au </w:t>
      </w:r>
      <w:r w:rsidR="00D14EC2">
        <w:rPr>
          <w:lang w:val="fr-FR"/>
        </w:rPr>
        <w:t>No </w:t>
      </w:r>
      <w:r w:rsidRPr="00E45670">
        <w:rPr>
          <w:lang w:val="fr-FR"/>
        </w:rPr>
        <w:t>ONU 1972 car la question du temps de retenue pour le transport de dispositifs de stockage de gaz combustibles contenant du gaz naturel liquéfié n</w:t>
      </w:r>
      <w:r w:rsidR="00295FAB">
        <w:rPr>
          <w:lang w:val="fr-FR"/>
        </w:rPr>
        <w:t>’</w:t>
      </w:r>
      <w:r w:rsidRPr="00E45670">
        <w:rPr>
          <w:lang w:val="fr-FR"/>
        </w:rPr>
        <w:t>avait pas été résolue, notamment pour les transports aériens et maritimes.</w:t>
      </w:r>
    </w:p>
    <w:p w:rsidR="00E45670" w:rsidRPr="00E45670" w:rsidRDefault="00E45670" w:rsidP="00E45670">
      <w:pPr>
        <w:pStyle w:val="SingleTxtG"/>
        <w:rPr>
          <w:lang w:val="fr-FR"/>
        </w:rPr>
      </w:pPr>
      <w:r w:rsidRPr="00E45670">
        <w:rPr>
          <w:lang w:val="fr-FR"/>
        </w:rPr>
        <w:t>84.</w:t>
      </w:r>
      <w:r w:rsidRPr="00E45670">
        <w:rPr>
          <w:lang w:val="fr-FR"/>
        </w:rPr>
        <w:tab/>
        <w:t>En ce qui concerne la proposition énoncée au paragraphe 18, certaines délégations se sont déclarées favorables à l</w:t>
      </w:r>
      <w:r w:rsidR="00295FAB">
        <w:rPr>
          <w:lang w:val="fr-FR"/>
        </w:rPr>
        <w:t>’</w:t>
      </w:r>
      <w:r w:rsidRPr="00E45670">
        <w:rPr>
          <w:lang w:val="fr-FR"/>
        </w:rPr>
        <w:t>ajout d</w:t>
      </w:r>
      <w:r w:rsidR="00295FAB">
        <w:rPr>
          <w:lang w:val="fr-FR"/>
        </w:rPr>
        <w:t>’</w:t>
      </w:r>
      <w:r w:rsidRPr="00E45670">
        <w:rPr>
          <w:lang w:val="fr-FR"/>
        </w:rPr>
        <w:t>un NOTA sous les alinéas a) et b) de la disposition spéciale 188 mais souhaitaient que le texte soit soumis en tant que document officiel.</w:t>
      </w:r>
    </w:p>
    <w:p w:rsidR="00E45670" w:rsidRPr="00E45670" w:rsidRDefault="00E45670" w:rsidP="00E45670">
      <w:pPr>
        <w:pStyle w:val="SingleTxtG"/>
        <w:rPr>
          <w:lang w:val="fr-FR"/>
        </w:rPr>
      </w:pPr>
      <w:r w:rsidRPr="00E45670">
        <w:rPr>
          <w:lang w:val="fr-FR"/>
        </w:rPr>
        <w:t>85.</w:t>
      </w:r>
      <w:r w:rsidRPr="00E45670">
        <w:rPr>
          <w:lang w:val="fr-FR"/>
        </w:rPr>
        <w:tab/>
        <w:t xml:space="preserve">En ce qui concerne la proposition énoncée au paragraphe 31, le Sous-Comité a confirmé que la plaque-étiquette utilisée pour le </w:t>
      </w:r>
      <w:r w:rsidR="00376A8D">
        <w:rPr>
          <w:lang w:val="fr-FR"/>
        </w:rPr>
        <w:t>No </w:t>
      </w:r>
      <w:r w:rsidRPr="00E45670">
        <w:rPr>
          <w:lang w:val="fr-FR"/>
        </w:rPr>
        <w:t>ONU</w:t>
      </w:r>
      <w:r w:rsidR="00376A8D">
        <w:rPr>
          <w:lang w:val="fr-FR"/>
        </w:rPr>
        <w:t> </w:t>
      </w:r>
      <w:r w:rsidRPr="00E45670">
        <w:rPr>
          <w:lang w:val="fr-FR"/>
        </w:rPr>
        <w:t>3536 correspondait à l</w:t>
      </w:r>
      <w:r w:rsidR="00295FAB">
        <w:rPr>
          <w:lang w:val="fr-FR"/>
        </w:rPr>
        <w:t>’</w:t>
      </w:r>
      <w:r w:rsidRPr="00E45670">
        <w:rPr>
          <w:lang w:val="fr-FR"/>
        </w:rPr>
        <w:t xml:space="preserve">étiquette </w:t>
      </w:r>
      <w:r w:rsidR="000873CB" w:rsidRPr="000873CB">
        <w:rPr>
          <w:rFonts w:eastAsia="MS Mincho"/>
          <w:szCs w:val="22"/>
          <w:lang w:val="fr-FR"/>
        </w:rPr>
        <w:t>n</w:t>
      </w:r>
      <w:r w:rsidR="000873CB" w:rsidRPr="000873CB">
        <w:rPr>
          <w:rFonts w:eastAsia="MS Mincho"/>
          <w:szCs w:val="22"/>
          <w:vertAlign w:val="superscript"/>
          <w:lang w:val="fr-FR"/>
        </w:rPr>
        <w:t>o</w:t>
      </w:r>
      <w:r w:rsidR="000873CB">
        <w:rPr>
          <w:lang w:val="fr-FR"/>
        </w:rPr>
        <w:t> </w:t>
      </w:r>
      <w:r w:rsidRPr="00E45670">
        <w:rPr>
          <w:lang w:val="fr-FR"/>
        </w:rPr>
        <w:t>9 et non à l</w:t>
      </w:r>
      <w:r w:rsidR="00295FAB">
        <w:rPr>
          <w:lang w:val="fr-FR"/>
        </w:rPr>
        <w:t>’</w:t>
      </w:r>
      <w:r w:rsidRPr="00E45670">
        <w:rPr>
          <w:lang w:val="fr-FR"/>
        </w:rPr>
        <w:t xml:space="preserve">étiquette </w:t>
      </w:r>
      <w:r w:rsidR="000873CB" w:rsidRPr="000873CB">
        <w:rPr>
          <w:rFonts w:eastAsia="MS Mincho"/>
          <w:sz w:val="18"/>
          <w:szCs w:val="22"/>
          <w:lang w:val="fr-FR"/>
        </w:rPr>
        <w:t>n</w:t>
      </w:r>
      <w:r w:rsidR="000873CB" w:rsidRPr="000873CB">
        <w:rPr>
          <w:rFonts w:eastAsia="MS Mincho"/>
          <w:sz w:val="18"/>
          <w:szCs w:val="22"/>
          <w:vertAlign w:val="superscript"/>
          <w:lang w:val="fr-FR"/>
        </w:rPr>
        <w:t>o</w:t>
      </w:r>
      <w:r w:rsidR="000873CB">
        <w:rPr>
          <w:sz w:val="18"/>
          <w:lang w:val="fr-FR"/>
        </w:rPr>
        <w:t> </w:t>
      </w:r>
      <w:r w:rsidRPr="000873CB">
        <w:rPr>
          <w:sz w:val="18"/>
          <w:lang w:val="fr-FR"/>
        </w:rPr>
        <w:t>9A</w:t>
      </w:r>
      <w:r w:rsidRPr="00E45670">
        <w:rPr>
          <w:lang w:val="fr-FR"/>
        </w:rPr>
        <w:t>, comme c</w:t>
      </w:r>
      <w:r w:rsidR="00295FAB">
        <w:rPr>
          <w:lang w:val="fr-FR"/>
        </w:rPr>
        <w:t>’</w:t>
      </w:r>
      <w:r w:rsidRPr="00E45670">
        <w:rPr>
          <w:lang w:val="fr-FR"/>
        </w:rPr>
        <w:t xml:space="preserve">était le cas pour les engins de transport contenant des piles au lithium relevant </w:t>
      </w:r>
      <w:proofErr w:type="spellStart"/>
      <w:r w:rsidRPr="00E45670">
        <w:rPr>
          <w:lang w:val="fr-FR"/>
        </w:rPr>
        <w:t>des</w:t>
      </w:r>
      <w:proofErr w:type="spellEnd"/>
      <w:r w:rsidRPr="00E45670">
        <w:rPr>
          <w:lang w:val="fr-FR"/>
        </w:rPr>
        <w:t xml:space="preserve"> </w:t>
      </w:r>
      <w:r w:rsidR="00376A8D">
        <w:rPr>
          <w:lang w:val="fr-FR"/>
        </w:rPr>
        <w:t>Nos </w:t>
      </w:r>
      <w:r w:rsidRPr="00E45670">
        <w:rPr>
          <w:lang w:val="fr-FR"/>
        </w:rPr>
        <w:t>ONU</w:t>
      </w:r>
      <w:r w:rsidR="0020037E">
        <w:rPr>
          <w:lang w:val="fr-FR"/>
        </w:rPr>
        <w:t> </w:t>
      </w:r>
      <w:r w:rsidRPr="00E45670">
        <w:rPr>
          <w:lang w:val="fr-FR"/>
        </w:rPr>
        <w:t>3090, 3091, 3480 et 3481. Il a noté que le texte du Règlement type devrait peut-être être amélioré pour éviter les ambiguïtés à ce sujet.</w:t>
      </w:r>
    </w:p>
    <w:p w:rsidR="00E45670" w:rsidRPr="00E45670" w:rsidRDefault="00E45670" w:rsidP="00E45670">
      <w:pPr>
        <w:pStyle w:val="SingleTxtG"/>
        <w:rPr>
          <w:lang w:val="fr-FR"/>
        </w:rPr>
      </w:pPr>
      <w:r w:rsidRPr="00E45670">
        <w:rPr>
          <w:lang w:val="fr-FR"/>
        </w:rPr>
        <w:t>86.</w:t>
      </w:r>
      <w:r w:rsidRPr="00E45670">
        <w:rPr>
          <w:lang w:val="fr-FR"/>
        </w:rPr>
        <w:tab/>
        <w:t>En ce qui concerne les propositions énoncées au paragraphe 20 et dans le document INF.14, le Sous-Comité a noté qu</w:t>
      </w:r>
      <w:r w:rsidR="00295FAB">
        <w:rPr>
          <w:lang w:val="fr-FR"/>
        </w:rPr>
        <w:t>’</w:t>
      </w:r>
      <w:r w:rsidRPr="00E45670">
        <w:rPr>
          <w:lang w:val="fr-FR"/>
        </w:rPr>
        <w:t>il n</w:t>
      </w:r>
      <w:r w:rsidR="00295FAB">
        <w:rPr>
          <w:lang w:val="fr-FR"/>
        </w:rPr>
        <w:t>’</w:t>
      </w:r>
      <w:r w:rsidRPr="00E45670">
        <w:rPr>
          <w:lang w:val="fr-FR"/>
        </w:rPr>
        <w:t xml:space="preserve">était pas cohérent de mentionner les </w:t>
      </w:r>
      <w:r w:rsidR="00295FAB">
        <w:rPr>
          <w:lang w:val="fr-FR"/>
        </w:rPr>
        <w:t>« </w:t>
      </w:r>
      <w:r w:rsidRPr="00E45670">
        <w:rPr>
          <w:lang w:val="fr-FR"/>
        </w:rPr>
        <w:t>dispositifs</w:t>
      </w:r>
      <w:r w:rsidR="00295FAB">
        <w:rPr>
          <w:lang w:val="fr-FR"/>
        </w:rPr>
        <w:t> »</w:t>
      </w:r>
      <w:r w:rsidRPr="00E45670">
        <w:rPr>
          <w:lang w:val="fr-FR"/>
        </w:rPr>
        <w:t xml:space="preserve"> en plus des </w:t>
      </w:r>
      <w:r w:rsidR="00295FAB">
        <w:rPr>
          <w:lang w:val="fr-FR"/>
        </w:rPr>
        <w:t>« </w:t>
      </w:r>
      <w:r w:rsidRPr="00E45670">
        <w:rPr>
          <w:lang w:val="fr-FR"/>
        </w:rPr>
        <w:t>appareils</w:t>
      </w:r>
      <w:r w:rsidR="00295FAB">
        <w:rPr>
          <w:lang w:val="fr-FR"/>
        </w:rPr>
        <w:t> »</w:t>
      </w:r>
      <w:r w:rsidRPr="00E45670">
        <w:rPr>
          <w:lang w:val="fr-FR"/>
        </w:rPr>
        <w:t xml:space="preserve"> et des </w:t>
      </w:r>
      <w:r w:rsidR="00295FAB">
        <w:rPr>
          <w:lang w:val="fr-FR"/>
        </w:rPr>
        <w:t>« </w:t>
      </w:r>
      <w:r w:rsidRPr="00E45670">
        <w:rPr>
          <w:lang w:val="fr-FR"/>
        </w:rPr>
        <w:t>machines</w:t>
      </w:r>
      <w:r w:rsidR="00295FAB">
        <w:rPr>
          <w:lang w:val="fr-FR"/>
        </w:rPr>
        <w:t> »</w:t>
      </w:r>
      <w:r w:rsidRPr="00E45670">
        <w:rPr>
          <w:lang w:val="fr-FR"/>
        </w:rPr>
        <w:t xml:space="preserve"> au paragraphe 2.1.5.1, qui définit les objets contenant des marchandises dangereuses, N.S.A., puisque le mot </w:t>
      </w:r>
      <w:r w:rsidR="00295FAB">
        <w:rPr>
          <w:lang w:val="fr-FR"/>
        </w:rPr>
        <w:t>« </w:t>
      </w:r>
      <w:r w:rsidRPr="00E45670">
        <w:rPr>
          <w:lang w:val="fr-FR"/>
        </w:rPr>
        <w:t>dispositif</w:t>
      </w:r>
      <w:r w:rsidR="00295FAB">
        <w:rPr>
          <w:lang w:val="fr-FR"/>
        </w:rPr>
        <w:t> »</w:t>
      </w:r>
      <w:r w:rsidRPr="00E45670">
        <w:rPr>
          <w:lang w:val="fr-FR"/>
        </w:rPr>
        <w:t xml:space="preserve"> ne figurait ni dans les désignations officielles de transport du </w:t>
      </w:r>
      <w:r w:rsidR="00376A8D">
        <w:rPr>
          <w:lang w:val="fr-FR"/>
        </w:rPr>
        <w:t>No </w:t>
      </w:r>
      <w:r w:rsidRPr="00E45670">
        <w:rPr>
          <w:lang w:val="fr-FR"/>
        </w:rPr>
        <w:t>ONU</w:t>
      </w:r>
      <w:r w:rsidR="0020037E">
        <w:rPr>
          <w:lang w:val="fr-FR"/>
        </w:rPr>
        <w:t> </w:t>
      </w:r>
      <w:r w:rsidRPr="00E45670">
        <w:rPr>
          <w:lang w:val="fr-FR"/>
        </w:rPr>
        <w:t>3363 ni dans la disposition spéciale 301. Certaines délégations étaient d</w:t>
      </w:r>
      <w:r w:rsidR="00295FAB">
        <w:rPr>
          <w:lang w:val="fr-FR"/>
        </w:rPr>
        <w:t>’</w:t>
      </w:r>
      <w:r w:rsidRPr="00E45670">
        <w:rPr>
          <w:lang w:val="fr-FR"/>
        </w:rPr>
        <w:t xml:space="preserve">avis que, plutôt que de créer une désignation officielle de transport </w:t>
      </w:r>
      <w:r w:rsidR="00295FAB">
        <w:rPr>
          <w:lang w:val="fr-FR"/>
        </w:rPr>
        <w:t>« </w:t>
      </w:r>
      <w:r w:rsidRPr="00E45670">
        <w:rPr>
          <w:lang w:val="fr-FR"/>
        </w:rPr>
        <w:t>MARCHANDISES DANGEREUSES CONTENUES DANS DES DISPOSITIFS</w:t>
      </w:r>
      <w:r w:rsidR="00295FAB">
        <w:rPr>
          <w:lang w:val="fr-FR"/>
        </w:rPr>
        <w:t> »</w:t>
      </w:r>
      <w:r w:rsidRPr="00E45670">
        <w:rPr>
          <w:lang w:val="fr-FR"/>
        </w:rPr>
        <w:t xml:space="preserve"> pour le </w:t>
      </w:r>
      <w:r w:rsidR="000873CB">
        <w:rPr>
          <w:lang w:val="fr-FR"/>
        </w:rPr>
        <w:t>N</w:t>
      </w:r>
      <w:r w:rsidRPr="00E45670">
        <w:rPr>
          <w:lang w:val="fr-FR"/>
        </w:rPr>
        <w:t>o</w:t>
      </w:r>
      <w:r w:rsidR="0020037E">
        <w:rPr>
          <w:lang w:val="fr-FR"/>
        </w:rPr>
        <w:t> </w:t>
      </w:r>
      <w:r w:rsidRPr="00E45670">
        <w:rPr>
          <w:lang w:val="fr-FR"/>
        </w:rPr>
        <w:t>ONU</w:t>
      </w:r>
      <w:r w:rsidR="0020037E">
        <w:rPr>
          <w:lang w:val="fr-FR"/>
        </w:rPr>
        <w:t> </w:t>
      </w:r>
      <w:r w:rsidRPr="00E45670">
        <w:rPr>
          <w:lang w:val="fr-FR"/>
        </w:rPr>
        <w:t>3363, comme proposé par l</w:t>
      </w:r>
      <w:r w:rsidR="00295FAB">
        <w:rPr>
          <w:lang w:val="fr-FR"/>
        </w:rPr>
        <w:t>’</w:t>
      </w:r>
      <w:r w:rsidRPr="00E45670">
        <w:rPr>
          <w:lang w:val="fr-FR"/>
        </w:rPr>
        <w:t xml:space="preserve">Allemagne, le mot </w:t>
      </w:r>
      <w:r w:rsidR="00295FAB">
        <w:rPr>
          <w:lang w:val="fr-FR"/>
        </w:rPr>
        <w:t>« </w:t>
      </w:r>
      <w:r w:rsidRPr="00E45670">
        <w:rPr>
          <w:lang w:val="fr-FR"/>
        </w:rPr>
        <w:t>dispositif</w:t>
      </w:r>
      <w:r w:rsidR="00295FAB">
        <w:rPr>
          <w:lang w:val="fr-FR"/>
        </w:rPr>
        <w:t> »</w:t>
      </w:r>
      <w:r w:rsidRPr="00E45670">
        <w:rPr>
          <w:lang w:val="fr-FR"/>
        </w:rPr>
        <w:t xml:space="preserve"> pourrait être supprimé du paragraphe 2.1.5.1. La question qui se posait alors était de savoir si tous les objets contenant des marchandises dangereuses tels que définis au</w:t>
      </w:r>
      <w:r w:rsidR="00376A8D">
        <w:rPr>
          <w:lang w:val="fr-FR"/>
        </w:rPr>
        <w:t> </w:t>
      </w:r>
      <w:r w:rsidRPr="00E45670">
        <w:rPr>
          <w:lang w:val="fr-FR"/>
        </w:rPr>
        <w:t xml:space="preserve">2.1.5.1 pouvaient être assimilés uniquement à des </w:t>
      </w:r>
      <w:r w:rsidR="00295FAB">
        <w:rPr>
          <w:lang w:val="fr-FR"/>
        </w:rPr>
        <w:t>« </w:t>
      </w:r>
      <w:r w:rsidRPr="00E45670">
        <w:rPr>
          <w:lang w:val="fr-FR"/>
        </w:rPr>
        <w:t>appareils</w:t>
      </w:r>
      <w:r w:rsidR="00295FAB">
        <w:rPr>
          <w:lang w:val="fr-FR"/>
        </w:rPr>
        <w:t> »</w:t>
      </w:r>
      <w:r w:rsidRPr="00E45670">
        <w:rPr>
          <w:lang w:val="fr-FR"/>
        </w:rPr>
        <w:t xml:space="preserve"> ou à des </w:t>
      </w:r>
      <w:r w:rsidR="00295FAB">
        <w:rPr>
          <w:lang w:val="fr-FR"/>
        </w:rPr>
        <w:t>« </w:t>
      </w:r>
      <w:r w:rsidRPr="00E45670">
        <w:rPr>
          <w:lang w:val="fr-FR"/>
        </w:rPr>
        <w:t>machines</w:t>
      </w:r>
      <w:r w:rsidR="00295FAB">
        <w:rPr>
          <w:lang w:val="fr-FR"/>
        </w:rPr>
        <w:t> »</w:t>
      </w:r>
      <w:r w:rsidRPr="00E45670">
        <w:rPr>
          <w:lang w:val="fr-FR"/>
        </w:rPr>
        <w:t xml:space="preserve">. La suppression du mot </w:t>
      </w:r>
      <w:r w:rsidR="00295FAB">
        <w:rPr>
          <w:lang w:val="fr-FR"/>
        </w:rPr>
        <w:t>« </w:t>
      </w:r>
      <w:r w:rsidRPr="00E45670">
        <w:rPr>
          <w:lang w:val="fr-FR"/>
        </w:rPr>
        <w:t>dispositif</w:t>
      </w:r>
      <w:r w:rsidR="00295FAB">
        <w:rPr>
          <w:lang w:val="fr-FR"/>
        </w:rPr>
        <w:t> »</w:t>
      </w:r>
      <w:r w:rsidRPr="00E45670">
        <w:rPr>
          <w:lang w:val="fr-FR"/>
        </w:rPr>
        <w:t xml:space="preserve"> pouvant avoir des conséquences imprévues, aucune décision n</w:t>
      </w:r>
      <w:r w:rsidR="00295FAB">
        <w:rPr>
          <w:lang w:val="fr-FR"/>
        </w:rPr>
        <w:t>’</w:t>
      </w:r>
      <w:r w:rsidRPr="00E45670">
        <w:rPr>
          <w:lang w:val="fr-FR"/>
        </w:rPr>
        <w:t>a été prise à cet égard. L</w:t>
      </w:r>
      <w:r w:rsidR="00295FAB">
        <w:rPr>
          <w:lang w:val="fr-FR"/>
        </w:rPr>
        <w:t>’</w:t>
      </w:r>
      <w:r w:rsidRPr="00E45670">
        <w:rPr>
          <w:lang w:val="fr-FR"/>
        </w:rPr>
        <w:t>experte de l</w:t>
      </w:r>
      <w:r w:rsidR="00295FAB">
        <w:rPr>
          <w:lang w:val="fr-FR"/>
        </w:rPr>
        <w:t>’</w:t>
      </w:r>
      <w:r w:rsidRPr="00E45670">
        <w:rPr>
          <w:lang w:val="fr-FR"/>
        </w:rPr>
        <w:t>Allemagne soumettrait une proposition à la session suivante.</w:t>
      </w:r>
    </w:p>
    <w:p w:rsidR="00E45670" w:rsidRPr="00E45670" w:rsidRDefault="00376A8D" w:rsidP="00376A8D">
      <w:pPr>
        <w:pStyle w:val="H1G"/>
        <w:rPr>
          <w:lang w:val="fr-FR"/>
        </w:rPr>
      </w:pPr>
      <w:r>
        <w:rPr>
          <w:lang w:val="fr-FR"/>
        </w:rPr>
        <w:tab/>
      </w:r>
      <w:r w:rsidR="00E45670" w:rsidRPr="00E45670">
        <w:rPr>
          <w:lang w:val="fr-FR"/>
        </w:rPr>
        <w:t>C.</w:t>
      </w:r>
      <w:r w:rsidR="00E45670" w:rsidRPr="00E45670">
        <w:rPr>
          <w:lang w:val="fr-FR"/>
        </w:rPr>
        <w:tab/>
        <w:t>Résultats de la vingt-septième session du Groupe des questions techniques et éditoriales de l</w:t>
      </w:r>
      <w:r w:rsidR="00295FAB">
        <w:rPr>
          <w:lang w:val="fr-FR"/>
        </w:rPr>
        <w:t>’</w:t>
      </w:r>
      <w:r w:rsidR="00E45670" w:rsidRPr="00E45670">
        <w:rPr>
          <w:lang w:val="fr-FR"/>
        </w:rPr>
        <w:t>OMI (8-12</w:t>
      </w:r>
      <w:r>
        <w:rPr>
          <w:lang w:val="fr-FR"/>
        </w:rPr>
        <w:t> </w:t>
      </w:r>
      <w:r w:rsidR="00E45670" w:rsidRPr="00E45670">
        <w:rPr>
          <w:lang w:val="fr-FR"/>
        </w:rPr>
        <w:t>mai 2017)</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INF.37 (IMO)</w:t>
      </w:r>
      <w:r w:rsidR="00376A8D">
        <w:rPr>
          <w:lang w:val="fr-FR"/>
        </w:rPr>
        <w:t>.</w:t>
      </w:r>
    </w:p>
    <w:p w:rsidR="00E45670" w:rsidRPr="00E45670" w:rsidRDefault="00E45670" w:rsidP="00E45670">
      <w:pPr>
        <w:pStyle w:val="SingleTxtG"/>
        <w:rPr>
          <w:lang w:val="fr-FR"/>
        </w:rPr>
      </w:pPr>
      <w:r w:rsidRPr="00E45670">
        <w:rPr>
          <w:lang w:val="fr-FR"/>
        </w:rPr>
        <w:t>87.</w:t>
      </w:r>
      <w:r w:rsidRPr="00E45670">
        <w:rPr>
          <w:lang w:val="fr-FR"/>
        </w:rPr>
        <w:tab/>
        <w:t>Le Sous-Comité a accepté les corrections proposées par l</w:t>
      </w:r>
      <w:r w:rsidR="00295FAB">
        <w:rPr>
          <w:lang w:val="fr-FR"/>
        </w:rPr>
        <w:t>’</w:t>
      </w:r>
      <w:r w:rsidRPr="00E45670">
        <w:rPr>
          <w:lang w:val="fr-FR"/>
        </w:rPr>
        <w:t>OMI, à l</w:t>
      </w:r>
      <w:r w:rsidR="00295FAB">
        <w:rPr>
          <w:lang w:val="fr-FR"/>
        </w:rPr>
        <w:t>’</w:t>
      </w:r>
      <w:r w:rsidRPr="00E45670">
        <w:rPr>
          <w:lang w:val="fr-FR"/>
        </w:rPr>
        <w:t>exception de la suppression de la référence à la classe 7 dans le 2.0.6.4 du Code IMDG (2.0.5.4 du Règlement type), au sujet de laquelle l</w:t>
      </w:r>
      <w:r w:rsidR="00295FAB">
        <w:rPr>
          <w:lang w:val="fr-FR"/>
        </w:rPr>
        <w:t>’</w:t>
      </w:r>
      <w:r w:rsidRPr="00E45670">
        <w:rPr>
          <w:lang w:val="fr-FR"/>
        </w:rPr>
        <w:t>AIEA devrait être consultée, et de la modification proposée à la deuxième phrase de l</w:t>
      </w:r>
      <w:r w:rsidR="00295FAB">
        <w:rPr>
          <w:lang w:val="fr-FR"/>
        </w:rPr>
        <w:t>’</w:t>
      </w:r>
      <w:r w:rsidRPr="00E45670">
        <w:rPr>
          <w:lang w:val="fr-FR"/>
        </w:rPr>
        <w:t>alinéa</w:t>
      </w:r>
      <w:r w:rsidR="00376A8D">
        <w:rPr>
          <w:lang w:val="fr-FR"/>
        </w:rPr>
        <w:t> </w:t>
      </w:r>
      <w:r w:rsidRPr="00E45670">
        <w:rPr>
          <w:lang w:val="fr-FR"/>
        </w:rPr>
        <w:t>c) de la disposition spéciale 392 (fermeture de toutes les ouvertures plutôt que fermeture du robinet contrôlant toutes les ouvertures), qui devrait être vérifiée.</w:t>
      </w:r>
    </w:p>
    <w:p w:rsidR="00E45670" w:rsidRPr="00E45670" w:rsidRDefault="00376A8D" w:rsidP="00376A8D">
      <w:pPr>
        <w:pStyle w:val="H1G"/>
        <w:rPr>
          <w:lang w:val="fr-FR"/>
        </w:rPr>
      </w:pPr>
      <w:r>
        <w:rPr>
          <w:lang w:val="fr-FR"/>
        </w:rPr>
        <w:tab/>
      </w:r>
      <w:r w:rsidR="00E45670" w:rsidRPr="00E45670">
        <w:rPr>
          <w:lang w:val="fr-FR"/>
        </w:rPr>
        <w:t>D.</w:t>
      </w:r>
      <w:r w:rsidR="00E45670" w:rsidRPr="00E45670">
        <w:rPr>
          <w:lang w:val="fr-FR"/>
        </w:rPr>
        <w:tab/>
        <w:t xml:space="preserve">Affectation de la disposition spéciale 238 aux appareils </w:t>
      </w:r>
      <w:r>
        <w:rPr>
          <w:lang w:val="fr-FR"/>
        </w:rPr>
        <w:br/>
      </w:r>
      <w:r w:rsidR="00E45670" w:rsidRPr="00E45670">
        <w:rPr>
          <w:lang w:val="fr-FR"/>
        </w:rPr>
        <w:t>et véhicules mus par accumulateurs</w:t>
      </w:r>
    </w:p>
    <w:p w:rsidR="00E45670" w:rsidRPr="00E45670" w:rsidRDefault="00E45670" w:rsidP="00885A0C">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INF.21 (IATA)</w:t>
      </w:r>
      <w:r w:rsidR="00376A8D">
        <w:rPr>
          <w:lang w:val="fr-FR"/>
        </w:rPr>
        <w:t>.</w:t>
      </w:r>
    </w:p>
    <w:p w:rsidR="00E45670" w:rsidRPr="00E45670" w:rsidRDefault="00E45670" w:rsidP="00E45670">
      <w:pPr>
        <w:pStyle w:val="SingleTxtG"/>
        <w:rPr>
          <w:lang w:val="fr-FR"/>
        </w:rPr>
      </w:pPr>
      <w:r w:rsidRPr="00E45670">
        <w:rPr>
          <w:lang w:val="fr-FR"/>
        </w:rPr>
        <w:t>88.</w:t>
      </w:r>
      <w:r w:rsidRPr="00E45670">
        <w:rPr>
          <w:lang w:val="fr-FR"/>
        </w:rPr>
        <w:tab/>
        <w:t>Le Sous-Comité a noté que l</w:t>
      </w:r>
      <w:r w:rsidR="00295FAB">
        <w:rPr>
          <w:lang w:val="fr-FR"/>
        </w:rPr>
        <w:t>’</w:t>
      </w:r>
      <w:r w:rsidRPr="00E45670">
        <w:rPr>
          <w:lang w:val="fr-FR"/>
        </w:rPr>
        <w:t xml:space="preserve">OACI avait affecté la disposition spéciale 238, qui </w:t>
      </w:r>
      <w:r w:rsidRPr="00376A8D">
        <w:rPr>
          <w:spacing w:val="-2"/>
          <w:lang w:val="fr-FR"/>
        </w:rPr>
        <w:t xml:space="preserve">définit les conditions de dérogation pour le </w:t>
      </w:r>
      <w:r w:rsidR="00376A8D" w:rsidRPr="00376A8D">
        <w:rPr>
          <w:spacing w:val="-2"/>
          <w:lang w:val="fr-FR"/>
        </w:rPr>
        <w:t>No </w:t>
      </w:r>
      <w:r w:rsidRPr="00376A8D">
        <w:rPr>
          <w:spacing w:val="-2"/>
          <w:lang w:val="fr-FR"/>
        </w:rPr>
        <w:t>ONU</w:t>
      </w:r>
      <w:r w:rsidR="00376A8D" w:rsidRPr="00376A8D">
        <w:rPr>
          <w:spacing w:val="-2"/>
          <w:lang w:val="fr-FR"/>
        </w:rPr>
        <w:t> </w:t>
      </w:r>
      <w:r w:rsidRPr="00376A8D">
        <w:rPr>
          <w:spacing w:val="-2"/>
          <w:lang w:val="fr-FR"/>
        </w:rPr>
        <w:t xml:space="preserve">2800, </w:t>
      </w:r>
      <w:r w:rsidRPr="00E45670">
        <w:rPr>
          <w:lang w:val="fr-FR"/>
        </w:rPr>
        <w:t xml:space="preserve">ACCUMULATEURS électriques </w:t>
      </w:r>
      <w:r w:rsidRPr="00376A8D">
        <w:rPr>
          <w:spacing w:val="-2"/>
          <w:lang w:val="fr-FR"/>
        </w:rPr>
        <w:t>INVERSABLES REMPLIS D</w:t>
      </w:r>
      <w:r w:rsidR="00295FAB" w:rsidRPr="00376A8D">
        <w:rPr>
          <w:spacing w:val="-2"/>
          <w:lang w:val="fr-FR"/>
        </w:rPr>
        <w:t>’</w:t>
      </w:r>
      <w:r w:rsidRPr="00376A8D">
        <w:rPr>
          <w:spacing w:val="-2"/>
          <w:lang w:val="fr-FR"/>
        </w:rPr>
        <w:t>ÉLECTROLYTE LIQUIDE, a</w:t>
      </w:r>
      <w:r w:rsidRPr="00E45670">
        <w:rPr>
          <w:lang w:val="fr-FR"/>
        </w:rPr>
        <w:t xml:space="preserve">u </w:t>
      </w:r>
      <w:r w:rsidR="00376A8D">
        <w:rPr>
          <w:lang w:val="fr-FR"/>
        </w:rPr>
        <w:t>No </w:t>
      </w:r>
      <w:r w:rsidRPr="00E45670">
        <w:rPr>
          <w:lang w:val="fr-FR"/>
        </w:rPr>
        <w:t>ONU</w:t>
      </w:r>
      <w:r w:rsidR="00376A8D">
        <w:rPr>
          <w:lang w:val="fr-FR"/>
        </w:rPr>
        <w:t> </w:t>
      </w:r>
      <w:r w:rsidRPr="00E45670">
        <w:rPr>
          <w:lang w:val="fr-FR"/>
        </w:rPr>
        <w:t>3171, VÉHICULE MÛ PAR ACCUMULATEURS ou APPAREIL MÛ PAR ACCUMULATEURS, au motif que si l</w:t>
      </w:r>
      <w:r w:rsidR="00295FAB">
        <w:rPr>
          <w:lang w:val="fr-FR"/>
        </w:rPr>
        <w:t>’</w:t>
      </w:r>
      <w:r w:rsidRPr="00E45670">
        <w:rPr>
          <w:lang w:val="fr-FR"/>
        </w:rPr>
        <w:t>accumulateur alimentant le véhicule était exempté, le véhicule mû par ledit accumulateur devrait l</w:t>
      </w:r>
      <w:r w:rsidR="00295FAB">
        <w:rPr>
          <w:lang w:val="fr-FR"/>
        </w:rPr>
        <w:t>’</w:t>
      </w:r>
      <w:r w:rsidRPr="00E45670">
        <w:rPr>
          <w:lang w:val="fr-FR"/>
        </w:rPr>
        <w:t>être aussi.</w:t>
      </w:r>
    </w:p>
    <w:p w:rsidR="00E45670" w:rsidRPr="00E45670" w:rsidRDefault="00E45670" w:rsidP="00E45670">
      <w:pPr>
        <w:pStyle w:val="SingleTxtG"/>
        <w:rPr>
          <w:lang w:val="fr-FR"/>
        </w:rPr>
      </w:pPr>
      <w:r w:rsidRPr="00E45670">
        <w:rPr>
          <w:lang w:val="fr-FR"/>
        </w:rPr>
        <w:t>89.</w:t>
      </w:r>
      <w:r w:rsidRPr="00E45670">
        <w:rPr>
          <w:lang w:val="fr-FR"/>
        </w:rPr>
        <w:tab/>
        <w:t>Le Sous-Comité a estimé que toute modification du Règlement type à cet effet devrait faire l</w:t>
      </w:r>
      <w:r w:rsidR="00295FAB">
        <w:rPr>
          <w:lang w:val="fr-FR"/>
        </w:rPr>
        <w:t>’</w:t>
      </w:r>
      <w:r w:rsidRPr="00E45670">
        <w:rPr>
          <w:lang w:val="fr-FR"/>
        </w:rPr>
        <w:t>objet d</w:t>
      </w:r>
      <w:r w:rsidR="00295FAB">
        <w:rPr>
          <w:lang w:val="fr-FR"/>
        </w:rPr>
        <w:t>’</w:t>
      </w:r>
      <w:r w:rsidRPr="00E45670">
        <w:rPr>
          <w:lang w:val="fr-FR"/>
        </w:rPr>
        <w:t>une proposition officielle afin que les conséquences puissent bien être évaluées.</w:t>
      </w:r>
    </w:p>
    <w:p w:rsidR="00E45670" w:rsidRPr="00E45670" w:rsidRDefault="00376A8D" w:rsidP="00376A8D">
      <w:pPr>
        <w:pStyle w:val="HChG"/>
        <w:rPr>
          <w:lang w:val="fr-FR"/>
        </w:rPr>
      </w:pPr>
      <w:r>
        <w:rPr>
          <w:lang w:val="fr-FR"/>
        </w:rPr>
        <w:tab/>
      </w:r>
      <w:r w:rsidR="00E45670" w:rsidRPr="00E45670">
        <w:rPr>
          <w:lang w:val="fr-FR"/>
        </w:rPr>
        <w:t>IX.</w:t>
      </w:r>
      <w:r w:rsidR="00E45670" w:rsidRPr="00E45670">
        <w:rPr>
          <w:lang w:val="fr-FR"/>
        </w:rPr>
        <w:tab/>
        <w:t>Coopération avec l</w:t>
      </w:r>
      <w:r w:rsidR="00295FAB">
        <w:rPr>
          <w:lang w:val="fr-FR"/>
        </w:rPr>
        <w:t>’</w:t>
      </w:r>
      <w:r w:rsidR="00E45670" w:rsidRPr="00E45670">
        <w:rPr>
          <w:lang w:val="fr-FR"/>
        </w:rPr>
        <w:t>Agence internationale de l</w:t>
      </w:r>
      <w:r w:rsidR="00295FAB">
        <w:rPr>
          <w:lang w:val="fr-FR"/>
        </w:rPr>
        <w:t>’</w:t>
      </w:r>
      <w:r w:rsidR="00E45670" w:rsidRPr="00E45670">
        <w:rPr>
          <w:lang w:val="fr-FR"/>
        </w:rPr>
        <w:t>énergie atomique (point 8 de l</w:t>
      </w:r>
      <w:r w:rsidR="00295FAB">
        <w:rPr>
          <w:lang w:val="fr-FR"/>
        </w:rPr>
        <w:t>’</w:t>
      </w:r>
      <w:r w:rsidR="00E45670" w:rsidRPr="00E45670">
        <w:rPr>
          <w:lang w:val="fr-FR"/>
        </w:rPr>
        <w:t>ordre du jour)</w:t>
      </w:r>
    </w:p>
    <w:p w:rsidR="00E45670" w:rsidRPr="00E45670" w:rsidRDefault="00E45670" w:rsidP="00E45670">
      <w:pPr>
        <w:pStyle w:val="SingleTxtG"/>
        <w:rPr>
          <w:lang w:val="fr-FR"/>
        </w:rPr>
      </w:pPr>
      <w:r w:rsidRPr="00E45670">
        <w:rPr>
          <w:lang w:val="fr-FR"/>
        </w:rPr>
        <w:t>90.</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376A8D" w:rsidP="00376A8D">
      <w:pPr>
        <w:pStyle w:val="HChG"/>
        <w:rPr>
          <w:lang w:val="fr-FR"/>
        </w:rPr>
      </w:pPr>
      <w:r>
        <w:rPr>
          <w:lang w:val="fr-FR"/>
        </w:rPr>
        <w:tab/>
      </w:r>
      <w:r w:rsidR="00E45670" w:rsidRPr="00E45670">
        <w:rPr>
          <w:lang w:val="fr-FR"/>
        </w:rPr>
        <w:t>X.</w:t>
      </w:r>
      <w:r w:rsidR="00E45670" w:rsidRPr="00E45670">
        <w:rPr>
          <w:lang w:val="fr-FR"/>
        </w:rPr>
        <w:tab/>
        <w:t xml:space="preserve">Principes directeurs du Règlement type </w:t>
      </w:r>
      <w:r>
        <w:rPr>
          <w:lang w:val="fr-FR"/>
        </w:rPr>
        <w:br/>
      </w:r>
      <w:r w:rsidR="00E45670" w:rsidRPr="00E45670">
        <w:rPr>
          <w:lang w:val="fr-FR"/>
        </w:rPr>
        <w:t>(point 9 de l</w:t>
      </w:r>
      <w:r w:rsidR="00295FAB">
        <w:rPr>
          <w:lang w:val="fr-FR"/>
        </w:rPr>
        <w:t>’</w:t>
      </w:r>
      <w:r w:rsidR="00E45670" w:rsidRPr="00E45670">
        <w:rPr>
          <w:lang w:val="fr-FR"/>
        </w:rPr>
        <w:t>ordre du jour)</w:t>
      </w:r>
    </w:p>
    <w:p w:rsidR="00E45670" w:rsidRPr="00E45670" w:rsidRDefault="00E45670" w:rsidP="00E45670">
      <w:pPr>
        <w:pStyle w:val="SingleTxtG"/>
        <w:rPr>
          <w:lang w:val="fr-FR"/>
        </w:rPr>
      </w:pPr>
      <w:r w:rsidRPr="00E45670">
        <w:rPr>
          <w:lang w:val="fr-FR"/>
        </w:rPr>
        <w:t>91.</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376A8D" w:rsidP="00376A8D">
      <w:pPr>
        <w:pStyle w:val="HChG"/>
        <w:rPr>
          <w:lang w:val="fr-FR"/>
        </w:rPr>
      </w:pPr>
      <w:r>
        <w:rPr>
          <w:lang w:val="fr-FR"/>
        </w:rPr>
        <w:tab/>
      </w:r>
      <w:r w:rsidR="00E45670" w:rsidRPr="00E45670">
        <w:rPr>
          <w:lang w:val="fr-FR"/>
        </w:rPr>
        <w:t>XI.</w:t>
      </w:r>
      <w:r w:rsidR="00E45670" w:rsidRPr="00E45670">
        <w:rPr>
          <w:lang w:val="fr-FR"/>
        </w:rPr>
        <w:tab/>
        <w:t xml:space="preserve">Questions relatives au Système général harmonisé de </w:t>
      </w:r>
      <w:r>
        <w:rPr>
          <w:lang w:val="fr-FR"/>
        </w:rPr>
        <w:br/>
      </w:r>
      <w:r w:rsidR="00E45670" w:rsidRPr="00E45670">
        <w:rPr>
          <w:lang w:val="fr-FR"/>
        </w:rPr>
        <w:t>classification et d</w:t>
      </w:r>
      <w:r w:rsidR="00295FAB">
        <w:rPr>
          <w:lang w:val="fr-FR"/>
        </w:rPr>
        <w:t>’</w:t>
      </w:r>
      <w:r w:rsidR="00E45670" w:rsidRPr="00E45670">
        <w:rPr>
          <w:lang w:val="fr-FR"/>
        </w:rPr>
        <w:t xml:space="preserve">étiquetage des produits chimiques </w:t>
      </w:r>
      <w:r>
        <w:rPr>
          <w:lang w:val="fr-FR"/>
        </w:rPr>
        <w:br/>
      </w:r>
      <w:r w:rsidR="00E45670" w:rsidRPr="00E45670">
        <w:rPr>
          <w:lang w:val="fr-FR"/>
        </w:rPr>
        <w:t>(point 10 de l</w:t>
      </w:r>
      <w:r w:rsidR="00295FAB">
        <w:rPr>
          <w:lang w:val="fr-FR"/>
        </w:rPr>
        <w:t>’</w:t>
      </w:r>
      <w:r w:rsidR="00E45670" w:rsidRPr="00E45670">
        <w:rPr>
          <w:lang w:val="fr-FR"/>
        </w:rPr>
        <w:t xml:space="preserve">ordre du jour) </w:t>
      </w:r>
    </w:p>
    <w:p w:rsidR="00E45670" w:rsidRPr="00E45670" w:rsidRDefault="00376A8D" w:rsidP="00376A8D">
      <w:pPr>
        <w:pStyle w:val="H1G"/>
        <w:rPr>
          <w:lang w:val="fr-FR"/>
        </w:rPr>
      </w:pPr>
      <w:r>
        <w:rPr>
          <w:lang w:val="fr-FR"/>
        </w:rPr>
        <w:tab/>
      </w:r>
      <w:r w:rsidR="00E45670" w:rsidRPr="00E45670">
        <w:rPr>
          <w:lang w:val="fr-FR"/>
        </w:rPr>
        <w:t>A.</w:t>
      </w:r>
      <w:r w:rsidR="00E45670" w:rsidRPr="00E45670">
        <w:rPr>
          <w:lang w:val="fr-FR"/>
        </w:rPr>
        <w:tab/>
        <w:t>Critères relatifs à l</w:t>
      </w:r>
      <w:r w:rsidR="00295FAB">
        <w:rPr>
          <w:lang w:val="fr-FR"/>
        </w:rPr>
        <w:t>’</w:t>
      </w:r>
      <w:r w:rsidR="00E45670" w:rsidRPr="00E45670">
        <w:rPr>
          <w:lang w:val="fr-FR"/>
        </w:rPr>
        <w:t>hydroréactivité</w:t>
      </w:r>
    </w:p>
    <w:p w:rsidR="00E45670" w:rsidRPr="00E45670" w:rsidRDefault="00E45670" w:rsidP="00E45670">
      <w:pPr>
        <w:pStyle w:val="SingleTxtG"/>
        <w:rPr>
          <w:lang w:val="fr-FR"/>
        </w:rPr>
      </w:pPr>
      <w:r w:rsidRPr="00E45670">
        <w:rPr>
          <w:lang w:val="fr-FR"/>
        </w:rPr>
        <w:t>92.</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376A8D" w:rsidP="00376A8D">
      <w:pPr>
        <w:pStyle w:val="H1G"/>
        <w:rPr>
          <w:lang w:val="fr-FR"/>
        </w:rPr>
      </w:pPr>
      <w:r>
        <w:rPr>
          <w:lang w:val="fr-FR"/>
        </w:rPr>
        <w:tab/>
      </w:r>
      <w:r w:rsidR="00E45670" w:rsidRPr="00E45670">
        <w:rPr>
          <w:lang w:val="fr-FR"/>
        </w:rPr>
        <w:t>B.</w:t>
      </w:r>
      <w:r w:rsidR="00E45670" w:rsidRPr="00E45670">
        <w:rPr>
          <w:lang w:val="fr-FR"/>
        </w:rPr>
        <w:tab/>
        <w:t>Épreuves relatives aux matières comburantes</w:t>
      </w:r>
    </w:p>
    <w:p w:rsidR="00E45670" w:rsidRPr="00E45670" w:rsidRDefault="00E45670" w:rsidP="00295FAB">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ST/SG/AC.10/C.3/2017/28 (France)</w:t>
      </w:r>
      <w:r w:rsidR="00376A8D">
        <w:rPr>
          <w:lang w:val="fr-FR"/>
        </w:rPr>
        <w:t>.</w:t>
      </w:r>
    </w:p>
    <w:p w:rsidR="00E45670" w:rsidRPr="00E45670" w:rsidRDefault="00E45670" w:rsidP="00295FAB">
      <w:pPr>
        <w:pStyle w:val="SingleTxtG"/>
        <w:ind w:left="3119" w:hanging="1985"/>
        <w:rPr>
          <w:lang w:val="fr-FR"/>
        </w:rPr>
      </w:pPr>
      <w:r w:rsidRPr="00295FAB">
        <w:rPr>
          <w:i/>
          <w:lang w:val="fr-FR"/>
        </w:rPr>
        <w:t>Document informel</w:t>
      </w:r>
      <w:r w:rsidR="00295FAB">
        <w:rPr>
          <w:lang w:val="fr-FR"/>
        </w:rPr>
        <w:t> </w:t>
      </w:r>
      <w:r w:rsidRPr="00E45670">
        <w:rPr>
          <w:lang w:val="fr-FR"/>
        </w:rPr>
        <w:t>:</w:t>
      </w:r>
      <w:r w:rsidRPr="00E45670">
        <w:rPr>
          <w:lang w:val="fr-FR"/>
        </w:rPr>
        <w:tab/>
        <w:t>INF.12 (France)</w:t>
      </w:r>
      <w:r w:rsidR="00376A8D">
        <w:rPr>
          <w:lang w:val="fr-FR"/>
        </w:rPr>
        <w:t>.</w:t>
      </w:r>
    </w:p>
    <w:p w:rsidR="00E45670" w:rsidRPr="00E45670" w:rsidRDefault="00E45670" w:rsidP="00E45670">
      <w:pPr>
        <w:pStyle w:val="SingleTxtG"/>
        <w:rPr>
          <w:lang w:val="fr-FR"/>
        </w:rPr>
      </w:pPr>
      <w:r w:rsidRPr="00E45670">
        <w:rPr>
          <w:lang w:val="fr-FR"/>
        </w:rPr>
        <w:t>93.</w:t>
      </w:r>
      <w:r w:rsidRPr="00E45670">
        <w:rPr>
          <w:lang w:val="fr-FR"/>
        </w:rPr>
        <w:tab/>
        <w:t>Le Sous-Comité a remercié l</w:t>
      </w:r>
      <w:r w:rsidR="00295FAB">
        <w:rPr>
          <w:lang w:val="fr-FR"/>
        </w:rPr>
        <w:t>’</w:t>
      </w:r>
      <w:r w:rsidRPr="00E45670">
        <w:rPr>
          <w:lang w:val="fr-FR"/>
        </w:rPr>
        <w:t>expert de la France pour son rapport sur les travaux en cours visant à régler les questions soulevées par le remplacement de la cellulose utilisée comme matière de référence pour les épreuves relatives aux matières comburantes, comme indiqué dans le document INF.12. L</w:t>
      </w:r>
      <w:r w:rsidR="00295FAB">
        <w:rPr>
          <w:lang w:val="fr-FR"/>
        </w:rPr>
        <w:t>’</w:t>
      </w:r>
      <w:r w:rsidRPr="00E45670">
        <w:rPr>
          <w:lang w:val="fr-FR"/>
        </w:rPr>
        <w:t>expert de la France a invité les experts et laboratoires intéressés à formuler des observations sur le sujet.</w:t>
      </w:r>
    </w:p>
    <w:p w:rsidR="00E45670" w:rsidRPr="00E45670" w:rsidRDefault="00376A8D" w:rsidP="00376A8D">
      <w:pPr>
        <w:pStyle w:val="H1G"/>
        <w:rPr>
          <w:lang w:val="fr-FR"/>
        </w:rPr>
      </w:pPr>
      <w:r>
        <w:rPr>
          <w:lang w:val="fr-FR"/>
        </w:rPr>
        <w:tab/>
      </w:r>
      <w:r w:rsidR="00E45670" w:rsidRPr="00E45670">
        <w:rPr>
          <w:lang w:val="fr-FR"/>
        </w:rPr>
        <w:t>C.</w:t>
      </w:r>
      <w:r w:rsidR="00E45670" w:rsidRPr="00E45670">
        <w:rPr>
          <w:lang w:val="fr-FR"/>
        </w:rPr>
        <w:tab/>
        <w:t>Mise à jour des références aux directives de l</w:t>
      </w:r>
      <w:r w:rsidR="00295FAB">
        <w:rPr>
          <w:lang w:val="fr-FR"/>
        </w:rPr>
        <w:t>’</w:t>
      </w:r>
      <w:r w:rsidR="00E45670" w:rsidRPr="00E45670">
        <w:rPr>
          <w:lang w:val="fr-FR"/>
        </w:rPr>
        <w:t>OCDE</w:t>
      </w:r>
    </w:p>
    <w:p w:rsidR="00E45670" w:rsidRPr="00E45670" w:rsidRDefault="00E45670" w:rsidP="00E45670">
      <w:pPr>
        <w:pStyle w:val="SingleTxtG"/>
        <w:rPr>
          <w:lang w:val="fr-FR"/>
        </w:rPr>
      </w:pPr>
      <w:r w:rsidRPr="00E45670">
        <w:rPr>
          <w:lang w:val="fr-FR"/>
        </w:rPr>
        <w:t>94.</w:t>
      </w:r>
      <w:r w:rsidRPr="00E45670">
        <w:rPr>
          <w:lang w:val="fr-FR"/>
        </w:rPr>
        <w:tab/>
        <w:t>Aucun document n</w:t>
      </w:r>
      <w:r w:rsidR="00295FAB">
        <w:rPr>
          <w:lang w:val="fr-FR"/>
        </w:rPr>
        <w:t>’</w:t>
      </w:r>
      <w:r w:rsidRPr="00E45670">
        <w:rPr>
          <w:lang w:val="fr-FR"/>
        </w:rPr>
        <w:t>ayant été soumis au titre de ce point de l</w:t>
      </w:r>
      <w:r w:rsidR="00295FAB">
        <w:rPr>
          <w:lang w:val="fr-FR"/>
        </w:rPr>
        <w:t>’</w:t>
      </w:r>
      <w:r w:rsidRPr="00E45670">
        <w:rPr>
          <w:lang w:val="fr-FR"/>
        </w:rPr>
        <w:t>ordre du jour, cette question n</w:t>
      </w:r>
      <w:r w:rsidR="00295FAB">
        <w:rPr>
          <w:lang w:val="fr-FR"/>
        </w:rPr>
        <w:t>’</w:t>
      </w:r>
      <w:r w:rsidRPr="00E45670">
        <w:rPr>
          <w:lang w:val="fr-FR"/>
        </w:rPr>
        <w:t>a pas été examinée.</w:t>
      </w:r>
    </w:p>
    <w:p w:rsidR="00E45670" w:rsidRPr="00E45670" w:rsidRDefault="00376A8D" w:rsidP="00376A8D">
      <w:pPr>
        <w:pStyle w:val="H1G"/>
        <w:rPr>
          <w:lang w:val="fr-FR"/>
        </w:rPr>
      </w:pPr>
      <w:r>
        <w:rPr>
          <w:lang w:val="fr-FR"/>
        </w:rPr>
        <w:tab/>
      </w:r>
      <w:r w:rsidR="00E45670" w:rsidRPr="00E45670">
        <w:rPr>
          <w:lang w:val="fr-FR"/>
        </w:rPr>
        <w:t>D.</w:t>
      </w:r>
      <w:r w:rsidR="00E45670" w:rsidRPr="00E45670">
        <w:rPr>
          <w:lang w:val="fr-FR"/>
        </w:rPr>
        <w:tab/>
        <w:t>Utilisation du Manuel d</w:t>
      </w:r>
      <w:r w:rsidR="00295FAB">
        <w:rPr>
          <w:lang w:val="fr-FR"/>
        </w:rPr>
        <w:t>’</w:t>
      </w:r>
      <w:r w:rsidR="00E45670" w:rsidRPr="00E45670">
        <w:rPr>
          <w:lang w:val="fr-FR"/>
        </w:rPr>
        <w:t xml:space="preserve">épreuves et de critères </w:t>
      </w:r>
      <w:r>
        <w:rPr>
          <w:lang w:val="fr-FR"/>
        </w:rPr>
        <w:br/>
      </w:r>
      <w:r w:rsidR="00E45670" w:rsidRPr="00E45670">
        <w:rPr>
          <w:lang w:val="fr-FR"/>
        </w:rPr>
        <w:t>dans le contexte du SGH</w:t>
      </w:r>
    </w:p>
    <w:p w:rsidR="00E45670" w:rsidRPr="00E45670" w:rsidRDefault="00E45670" w:rsidP="00376A8D">
      <w:pPr>
        <w:pStyle w:val="SingleTxtG"/>
        <w:ind w:left="3119" w:hanging="1985"/>
        <w:jc w:val="left"/>
        <w:rPr>
          <w:lang w:val="fr-FR"/>
        </w:rPr>
      </w:pPr>
      <w:r w:rsidRPr="00295FAB">
        <w:rPr>
          <w:i/>
          <w:lang w:val="fr-FR"/>
        </w:rPr>
        <w:t>Documents informels</w:t>
      </w:r>
      <w:r w:rsidR="00295FAB">
        <w:rPr>
          <w:lang w:val="fr-FR"/>
        </w:rPr>
        <w:t> </w:t>
      </w:r>
      <w:r w:rsidRPr="00E45670">
        <w:rPr>
          <w:lang w:val="fr-FR"/>
        </w:rPr>
        <w:t xml:space="preserve">: </w:t>
      </w:r>
      <w:r w:rsidRPr="00E45670">
        <w:rPr>
          <w:lang w:val="fr-FR"/>
        </w:rPr>
        <w:tab/>
        <w:t>INF.7 et Add.1 e</w:t>
      </w:r>
      <w:r w:rsidR="00376A8D">
        <w:rPr>
          <w:lang w:val="fr-FR"/>
        </w:rPr>
        <w:t>t 2</w:t>
      </w:r>
      <w:r w:rsidR="00376A8D">
        <w:rPr>
          <w:lang w:val="fr-FR"/>
        </w:rPr>
        <w:br/>
      </w:r>
      <w:r w:rsidRPr="00E45670">
        <w:rPr>
          <w:lang w:val="fr-FR"/>
        </w:rPr>
        <w:t>INF.38 (Rapport du Groupe de travail des explosifs)</w:t>
      </w:r>
      <w:r w:rsidR="00376A8D">
        <w:rPr>
          <w:lang w:val="fr-FR"/>
        </w:rPr>
        <w:t>.</w:t>
      </w:r>
    </w:p>
    <w:p w:rsidR="00E45670" w:rsidRPr="00E45670" w:rsidRDefault="00E45670" w:rsidP="00E45670">
      <w:pPr>
        <w:pStyle w:val="SingleTxtG"/>
        <w:rPr>
          <w:lang w:val="fr-FR"/>
        </w:rPr>
      </w:pPr>
      <w:r w:rsidRPr="00E45670">
        <w:rPr>
          <w:lang w:val="fr-FR"/>
        </w:rPr>
        <w:t>95.</w:t>
      </w:r>
      <w:r w:rsidRPr="00E45670">
        <w:rPr>
          <w:lang w:val="fr-FR"/>
        </w:rPr>
        <w:tab/>
        <w:t>Le Sous-Comité a noté que le Groupe de travail avait passé en revue les modifications qu</w:t>
      </w:r>
      <w:r w:rsidR="00295FAB">
        <w:rPr>
          <w:lang w:val="fr-FR"/>
        </w:rPr>
        <w:t>’</w:t>
      </w:r>
      <w:r w:rsidRPr="00E45670">
        <w:rPr>
          <w:lang w:val="fr-FR"/>
        </w:rPr>
        <w:t>il était proposé d</w:t>
      </w:r>
      <w:r w:rsidR="00295FAB">
        <w:rPr>
          <w:lang w:val="fr-FR"/>
        </w:rPr>
        <w:t>’</w:t>
      </w:r>
      <w:r w:rsidRPr="00E45670">
        <w:rPr>
          <w:lang w:val="fr-FR"/>
        </w:rPr>
        <w:t>apporter à la table des matières et à la section 1 (INF.7) ainsi qu</w:t>
      </w:r>
      <w:r w:rsidR="00295FAB">
        <w:rPr>
          <w:lang w:val="fr-FR"/>
        </w:rPr>
        <w:t>’</w:t>
      </w:r>
      <w:r w:rsidRPr="00E45670">
        <w:rPr>
          <w:lang w:val="fr-FR"/>
        </w:rPr>
        <w:t>à la section 10 (INF.7/Add.1) du Manuel.</w:t>
      </w:r>
    </w:p>
    <w:p w:rsidR="00E45670" w:rsidRDefault="00E45670" w:rsidP="00E45670">
      <w:pPr>
        <w:pStyle w:val="SingleTxtG"/>
        <w:rPr>
          <w:lang w:val="fr-FR"/>
        </w:rPr>
      </w:pPr>
      <w:r w:rsidRPr="00E45670">
        <w:rPr>
          <w:lang w:val="fr-FR"/>
        </w:rPr>
        <w:t>96.</w:t>
      </w:r>
      <w:r w:rsidRPr="00E45670">
        <w:rPr>
          <w:lang w:val="fr-FR"/>
        </w:rPr>
        <w:tab/>
        <w:t>Le Sous-Comité a également noté que le Président du Groupe de travail établirait de nouveaux documents de travail faisant la synthèse des observations et suggestions formulées, qu</w:t>
      </w:r>
      <w:r w:rsidR="00295FAB">
        <w:rPr>
          <w:lang w:val="fr-FR"/>
        </w:rPr>
        <w:t>’</w:t>
      </w:r>
      <w:r w:rsidRPr="00E45670">
        <w:rPr>
          <w:lang w:val="fr-FR"/>
        </w:rPr>
        <w:t>il ferait distribuer aux membres du Groupe de travail pour vérification et examen complémentaire.</w:t>
      </w:r>
    </w:p>
    <w:p w:rsidR="00E45670" w:rsidRPr="00E45670" w:rsidRDefault="00E45670" w:rsidP="00E45670">
      <w:pPr>
        <w:pStyle w:val="SingleTxtG"/>
        <w:rPr>
          <w:lang w:val="fr-FR"/>
        </w:rPr>
      </w:pPr>
      <w:r w:rsidRPr="00E45670">
        <w:rPr>
          <w:lang w:val="fr-FR"/>
        </w:rPr>
        <w:t>97.</w:t>
      </w:r>
      <w:r w:rsidRPr="00E45670">
        <w:rPr>
          <w:lang w:val="fr-FR"/>
        </w:rPr>
        <w:tab/>
        <w:t>Le Sous-Comité a noté en outre que le Groupe de travail avait exprimé les vues suivantes</w:t>
      </w:r>
      <w:r w:rsidR="00295FAB">
        <w:rPr>
          <w:lang w:val="fr-FR"/>
        </w:rPr>
        <w:t> </w:t>
      </w:r>
      <w:r w:rsidRPr="00E45670">
        <w:rPr>
          <w:lang w:val="fr-FR"/>
        </w:rPr>
        <w:t>:</w:t>
      </w:r>
    </w:p>
    <w:p w:rsidR="00E45670" w:rsidRPr="00E45670" w:rsidRDefault="00E45670" w:rsidP="0020037E">
      <w:pPr>
        <w:pStyle w:val="SingleTxtG"/>
        <w:ind w:firstLine="567"/>
        <w:rPr>
          <w:lang w:val="fr-FR"/>
        </w:rPr>
      </w:pPr>
      <w:r w:rsidRPr="00E45670">
        <w:rPr>
          <w:lang w:val="fr-FR"/>
        </w:rPr>
        <w:t>a)</w:t>
      </w:r>
      <w:r w:rsidRPr="00E45670">
        <w:rPr>
          <w:lang w:val="fr-FR"/>
        </w:rPr>
        <w:tab/>
        <w:t>Des éclaircissements étaient nécessaires pour expliquer, aux endroits appropriés, que les épreuves des séries 4 et 6 devaient uniquement être réalisées sur les marchandises telles que présentées au transport. De même, des éclaircissements étaient nécessaires pour expliquer que, dans certains cas, les résultats des épreuves de la série 1, bien que n</w:t>
      </w:r>
      <w:r w:rsidR="00295FAB">
        <w:rPr>
          <w:lang w:val="fr-FR"/>
        </w:rPr>
        <w:t>’</w:t>
      </w:r>
      <w:r w:rsidRPr="00E45670">
        <w:rPr>
          <w:lang w:val="fr-FR"/>
        </w:rPr>
        <w:t>étant pas indispensables au classement des marchandises, pouvaient être nécessaires pour l</w:t>
      </w:r>
      <w:r w:rsidR="00295FAB">
        <w:rPr>
          <w:lang w:val="fr-FR"/>
        </w:rPr>
        <w:t>’</w:t>
      </w:r>
      <w:r w:rsidRPr="00E45670">
        <w:rPr>
          <w:lang w:val="fr-FR"/>
        </w:rPr>
        <w:t>évaluation des risques et la communication des dangers</w:t>
      </w:r>
      <w:r w:rsidR="00295FAB">
        <w:rPr>
          <w:lang w:val="fr-FR"/>
        </w:rPr>
        <w:t> ;</w:t>
      </w:r>
    </w:p>
    <w:p w:rsidR="00E45670" w:rsidRPr="00E45670" w:rsidRDefault="00E45670" w:rsidP="0020037E">
      <w:pPr>
        <w:pStyle w:val="SingleTxtG"/>
        <w:ind w:firstLine="567"/>
        <w:rPr>
          <w:lang w:val="fr-FR"/>
        </w:rPr>
      </w:pPr>
      <w:r w:rsidRPr="00E45670">
        <w:rPr>
          <w:lang w:val="fr-FR"/>
        </w:rPr>
        <w:t>b)</w:t>
      </w:r>
      <w:r w:rsidRPr="00E45670">
        <w:rPr>
          <w:lang w:val="fr-FR"/>
        </w:rPr>
        <w:tab/>
        <w:t>Certains passages du Manuel, que le Groupe recommandait de réviser, figuraient également dans le Règlement type et le SGH. Le Groupe de travail se demandait si, dans l</w:t>
      </w:r>
      <w:r w:rsidR="00295FAB">
        <w:rPr>
          <w:lang w:val="fr-FR"/>
        </w:rPr>
        <w:t>’</w:t>
      </w:r>
      <w:r w:rsidRPr="00E45670">
        <w:rPr>
          <w:lang w:val="fr-FR"/>
        </w:rPr>
        <w:t>éventualité où les modifications à apporter au Manuel étaient approuvées, les mêmes modifications devraient être apportées au Règlement type et au SGH. Le Sous-Comité était invité à donner son avis sur la manière dont cette question devrait être abordée</w:t>
      </w:r>
      <w:r w:rsidR="00295FAB">
        <w:rPr>
          <w:lang w:val="fr-FR"/>
        </w:rPr>
        <w:t> ;</w:t>
      </w:r>
      <w:r w:rsidRPr="00E45670">
        <w:rPr>
          <w:lang w:val="fr-FR"/>
        </w:rPr>
        <w:t xml:space="preserve"> et</w:t>
      </w:r>
    </w:p>
    <w:p w:rsidR="00E45670" w:rsidRPr="00E45670" w:rsidRDefault="00E45670" w:rsidP="0020037E">
      <w:pPr>
        <w:pStyle w:val="SingleTxtG"/>
        <w:ind w:firstLine="567"/>
        <w:rPr>
          <w:lang w:val="fr-FR"/>
        </w:rPr>
      </w:pPr>
      <w:r w:rsidRPr="00E45670">
        <w:rPr>
          <w:lang w:val="fr-FR"/>
        </w:rPr>
        <w:t>c)</w:t>
      </w:r>
      <w:r w:rsidRPr="00E45670">
        <w:rPr>
          <w:lang w:val="fr-FR"/>
        </w:rPr>
        <w:tab/>
        <w:t xml:space="preserve">Le Groupe de travail avait constaté que le terme </w:t>
      </w:r>
      <w:r w:rsidR="00295FAB">
        <w:rPr>
          <w:lang w:val="fr-FR"/>
        </w:rPr>
        <w:t>« </w:t>
      </w:r>
      <w:r w:rsidRPr="00E45670">
        <w:rPr>
          <w:lang w:val="fr-FR"/>
        </w:rPr>
        <w:t>produit</w:t>
      </w:r>
      <w:r w:rsidR="00295FAB">
        <w:rPr>
          <w:lang w:val="fr-FR"/>
        </w:rPr>
        <w:t> »</w:t>
      </w:r>
      <w:r w:rsidRPr="00E45670">
        <w:rPr>
          <w:lang w:val="fr-FR"/>
        </w:rPr>
        <w:t xml:space="preserve"> était utilisé à de nombreuses reprises dans le Règlement type et le Manuel. Toutefois, en raison du grand nombre de révisions qui seraient nécessaires et du risque de conséquences imprévues, le Groupe de travail ne recommandait pas de remplacer ces occurrences par </w:t>
      </w:r>
      <w:r w:rsidR="00295FAB">
        <w:rPr>
          <w:lang w:val="fr-FR"/>
        </w:rPr>
        <w:t>« </w:t>
      </w:r>
      <w:r w:rsidRPr="00E45670">
        <w:rPr>
          <w:lang w:val="fr-FR"/>
        </w:rPr>
        <w:t>matière ou objet</w:t>
      </w:r>
      <w:r w:rsidR="00295FAB">
        <w:rPr>
          <w:lang w:val="fr-FR"/>
        </w:rPr>
        <w:t> »</w:t>
      </w:r>
      <w:r w:rsidRPr="00E45670">
        <w:rPr>
          <w:lang w:val="fr-FR"/>
        </w:rPr>
        <w:t>. L</w:t>
      </w:r>
      <w:r w:rsidR="00295FAB">
        <w:rPr>
          <w:lang w:val="fr-FR"/>
        </w:rPr>
        <w:t>’</w:t>
      </w:r>
      <w:r w:rsidRPr="00E45670">
        <w:rPr>
          <w:lang w:val="fr-FR"/>
        </w:rPr>
        <w:t>examen des sections 20 à 28 (INF.</w:t>
      </w:r>
      <w:r w:rsidR="000873CB">
        <w:rPr>
          <w:lang w:val="fr-FR"/>
        </w:rPr>
        <w:t>7</w:t>
      </w:r>
      <w:r w:rsidRPr="00E45670">
        <w:rPr>
          <w:lang w:val="fr-FR"/>
        </w:rPr>
        <w:t>/Add.2) aurait lieu lors d</w:t>
      </w:r>
      <w:r w:rsidR="00295FAB">
        <w:rPr>
          <w:lang w:val="fr-FR"/>
        </w:rPr>
        <w:t>’</w:t>
      </w:r>
      <w:r w:rsidRPr="00E45670">
        <w:rPr>
          <w:lang w:val="fr-FR"/>
        </w:rPr>
        <w:t xml:space="preserve">une session ultérieure. </w:t>
      </w:r>
    </w:p>
    <w:p w:rsidR="00E45670" w:rsidRPr="00E45670" w:rsidRDefault="000A0557" w:rsidP="000A0557">
      <w:pPr>
        <w:pStyle w:val="H1G"/>
        <w:rPr>
          <w:lang w:val="fr-FR"/>
        </w:rPr>
      </w:pPr>
      <w:r>
        <w:rPr>
          <w:lang w:val="fr-FR"/>
        </w:rPr>
        <w:tab/>
      </w:r>
      <w:r w:rsidR="00E45670" w:rsidRPr="00E45670">
        <w:rPr>
          <w:lang w:val="fr-FR"/>
        </w:rPr>
        <w:t>E.</w:t>
      </w:r>
      <w:r w:rsidR="00E45670" w:rsidRPr="00E45670">
        <w:rPr>
          <w:lang w:val="fr-FR"/>
        </w:rPr>
        <w:tab/>
        <w:t>Divers</w:t>
      </w:r>
    </w:p>
    <w:p w:rsidR="00E45670" w:rsidRPr="00E45670" w:rsidRDefault="00E45670" w:rsidP="000A0557">
      <w:pPr>
        <w:pStyle w:val="H23G"/>
        <w:rPr>
          <w:lang w:val="fr-FR"/>
        </w:rPr>
      </w:pPr>
      <w:r w:rsidRPr="00E45670">
        <w:rPr>
          <w:lang w:val="fr-FR"/>
        </w:rPr>
        <w:tab/>
      </w:r>
      <w:r w:rsidRPr="00E45670">
        <w:rPr>
          <w:lang w:val="fr-FR"/>
        </w:rPr>
        <w:tab/>
        <w:t>Évaluation de la possibilité d</w:t>
      </w:r>
      <w:r w:rsidR="00295FAB">
        <w:rPr>
          <w:lang w:val="fr-FR"/>
        </w:rPr>
        <w:t>’</w:t>
      </w:r>
      <w:r w:rsidRPr="00E45670">
        <w:rPr>
          <w:lang w:val="fr-FR"/>
        </w:rPr>
        <w:t>élaborer une liste mondiale des produits chimiques classés conformément au SGH</w:t>
      </w:r>
    </w:p>
    <w:p w:rsidR="00E45670" w:rsidRPr="00E45670" w:rsidRDefault="00E45670" w:rsidP="00295FAB">
      <w:pPr>
        <w:pStyle w:val="SingleTxtG"/>
        <w:ind w:left="3119" w:hanging="1985"/>
        <w:rPr>
          <w:lang w:val="fr-FR"/>
        </w:rPr>
      </w:pPr>
      <w:r w:rsidRPr="00295FAB">
        <w:rPr>
          <w:i/>
          <w:lang w:val="fr-FR"/>
        </w:rPr>
        <w:t>Document</w:t>
      </w:r>
      <w:r w:rsidR="00295FAB">
        <w:rPr>
          <w:lang w:val="fr-FR"/>
        </w:rPr>
        <w:t> </w:t>
      </w:r>
      <w:r w:rsidRPr="00E45670">
        <w:rPr>
          <w:lang w:val="fr-FR"/>
        </w:rPr>
        <w:t>:</w:t>
      </w:r>
      <w:r w:rsidRPr="00E45670">
        <w:rPr>
          <w:lang w:val="fr-FR"/>
        </w:rPr>
        <w:tab/>
        <w:t>ST/SG/AC.10/C.3/2017/7 (États-Unis d</w:t>
      </w:r>
      <w:r w:rsidR="00295FAB">
        <w:rPr>
          <w:lang w:val="fr-FR"/>
        </w:rPr>
        <w:t>’</w:t>
      </w:r>
      <w:r w:rsidRPr="00E45670">
        <w:rPr>
          <w:lang w:val="fr-FR"/>
        </w:rPr>
        <w:t>Amérique)</w:t>
      </w:r>
      <w:r w:rsidR="000A0557">
        <w:rPr>
          <w:lang w:val="fr-FR"/>
        </w:rPr>
        <w:t>.</w:t>
      </w:r>
    </w:p>
    <w:p w:rsidR="00E45670" w:rsidRPr="00E45670" w:rsidRDefault="00E45670" w:rsidP="00E45670">
      <w:pPr>
        <w:pStyle w:val="SingleTxtG"/>
        <w:rPr>
          <w:lang w:val="fr-FR"/>
        </w:rPr>
      </w:pPr>
      <w:r w:rsidRPr="00E45670">
        <w:rPr>
          <w:lang w:val="fr-FR"/>
        </w:rPr>
        <w:t>98.</w:t>
      </w:r>
      <w:r w:rsidRPr="00E45670">
        <w:rPr>
          <w:lang w:val="fr-FR"/>
        </w:rPr>
        <w:tab/>
        <w:t>Le Sous-Comité a exprimé sa gratitude pour le travail accompli jusqu</w:t>
      </w:r>
      <w:r w:rsidR="00295FAB">
        <w:rPr>
          <w:lang w:val="fr-FR"/>
        </w:rPr>
        <w:t>’</w:t>
      </w:r>
      <w:r w:rsidRPr="00E45670">
        <w:rPr>
          <w:lang w:val="fr-FR"/>
        </w:rPr>
        <w:t>à présent ainsi que son soutien à la poursuite des travaux dans ce domaine. Il a recommandé de s</w:t>
      </w:r>
      <w:r w:rsidR="00295FAB">
        <w:rPr>
          <w:lang w:val="fr-FR"/>
        </w:rPr>
        <w:t>’</w:t>
      </w:r>
      <w:r w:rsidRPr="00E45670">
        <w:rPr>
          <w:lang w:val="fr-FR"/>
        </w:rPr>
        <w:t>employer à établir des classifications harmonisées, sachant qu</w:t>
      </w:r>
      <w:r w:rsidR="00295FAB">
        <w:rPr>
          <w:lang w:val="fr-FR"/>
        </w:rPr>
        <w:t>’</w:t>
      </w:r>
      <w:r w:rsidRPr="00E45670">
        <w:rPr>
          <w:lang w:val="fr-FR"/>
        </w:rPr>
        <w:t>il existait de nombreuses listes applicables aux différents secteurs dans le monde entier, avec des classements contradictoires dans certains cas. Il a reconnu que cela nécessiterait des ressources importantes et suggéré que l</w:t>
      </w:r>
      <w:r w:rsidR="00295FAB">
        <w:rPr>
          <w:lang w:val="fr-FR"/>
        </w:rPr>
        <w:t>’</w:t>
      </w:r>
      <w:r w:rsidRPr="00E45670">
        <w:rPr>
          <w:lang w:val="fr-FR"/>
        </w:rPr>
        <w:t>on commence par comparer les résultats de classement afin de recenser les divergences. Le Sous-Comité a souligné qu</w:t>
      </w:r>
      <w:r w:rsidR="00295FAB">
        <w:rPr>
          <w:lang w:val="fr-FR"/>
        </w:rPr>
        <w:t>’</w:t>
      </w:r>
      <w:r w:rsidRPr="00E45670">
        <w:rPr>
          <w:lang w:val="fr-FR"/>
        </w:rPr>
        <w:t>il disposait d</w:t>
      </w:r>
      <w:r w:rsidR="00295FAB">
        <w:rPr>
          <w:lang w:val="fr-FR"/>
        </w:rPr>
        <w:t>’</w:t>
      </w:r>
      <w:r w:rsidRPr="00E45670">
        <w:rPr>
          <w:lang w:val="fr-FR"/>
        </w:rPr>
        <w:t>une procédure pour la mise à jour de la classification fondée sur les données disponibles.</w:t>
      </w:r>
    </w:p>
    <w:p w:rsidR="00E45670" w:rsidRPr="00E45670" w:rsidRDefault="000A0557" w:rsidP="000A0557">
      <w:pPr>
        <w:pStyle w:val="HChG"/>
        <w:rPr>
          <w:lang w:val="fr-FR"/>
        </w:rPr>
      </w:pPr>
      <w:r>
        <w:rPr>
          <w:lang w:val="fr-FR"/>
        </w:rPr>
        <w:tab/>
      </w:r>
      <w:r w:rsidR="00E45670" w:rsidRPr="00E45670">
        <w:rPr>
          <w:lang w:val="fr-FR"/>
        </w:rPr>
        <w:t>XII.</w:t>
      </w:r>
      <w:r w:rsidR="00E45670" w:rsidRPr="00E45670">
        <w:rPr>
          <w:lang w:val="fr-FR"/>
        </w:rPr>
        <w:tab/>
        <w:t>Questions diverses (point 11 de l</w:t>
      </w:r>
      <w:r w:rsidR="00295FAB">
        <w:rPr>
          <w:lang w:val="fr-FR"/>
        </w:rPr>
        <w:t>’</w:t>
      </w:r>
      <w:r w:rsidR="00E45670" w:rsidRPr="00E45670">
        <w:rPr>
          <w:lang w:val="fr-FR"/>
        </w:rPr>
        <w:t>ordre du jour)</w:t>
      </w:r>
    </w:p>
    <w:p w:rsidR="00E45670" w:rsidRPr="00E45670" w:rsidRDefault="00E45670" w:rsidP="000A0557">
      <w:pPr>
        <w:pStyle w:val="H1G"/>
        <w:rPr>
          <w:lang w:val="fr-FR"/>
        </w:rPr>
      </w:pPr>
      <w:r w:rsidRPr="00E45670">
        <w:rPr>
          <w:lang w:val="fr-FR"/>
        </w:rPr>
        <w:tab/>
      </w:r>
      <w:r w:rsidRPr="00E45670">
        <w:rPr>
          <w:lang w:val="fr-FR"/>
        </w:rPr>
        <w:tab/>
        <w:t>Changements au sein du secrétariat</w:t>
      </w:r>
    </w:p>
    <w:p w:rsidR="00E45670" w:rsidRPr="00E45670" w:rsidRDefault="00E45670" w:rsidP="00E45670">
      <w:pPr>
        <w:pStyle w:val="SingleTxtG"/>
        <w:rPr>
          <w:lang w:val="fr-FR"/>
        </w:rPr>
      </w:pPr>
      <w:r w:rsidRPr="00E45670">
        <w:rPr>
          <w:lang w:val="fr-FR"/>
        </w:rPr>
        <w:t>99.</w:t>
      </w:r>
      <w:r w:rsidRPr="00E45670">
        <w:rPr>
          <w:lang w:val="fr-FR"/>
        </w:rPr>
        <w:tab/>
        <w:t xml:space="preserve">Le Sous-Comité a noté que </w:t>
      </w:r>
      <w:r w:rsidR="000A0557" w:rsidRPr="000A0557">
        <w:rPr>
          <w:lang w:val="fr-FR"/>
        </w:rPr>
        <w:t>M</w:t>
      </w:r>
      <w:r w:rsidR="000A0557" w:rsidRPr="000A0557">
        <w:rPr>
          <w:vertAlign w:val="superscript"/>
          <w:lang w:val="fr-FR"/>
        </w:rPr>
        <w:t>me</w:t>
      </w:r>
      <w:r w:rsidR="000A0557" w:rsidRPr="000A0557">
        <w:rPr>
          <w:lang w:val="fr-FR"/>
        </w:rPr>
        <w:t> </w:t>
      </w:r>
      <w:r w:rsidRPr="00E45670">
        <w:rPr>
          <w:lang w:val="fr-FR"/>
        </w:rPr>
        <w:t>Olga Algayerova (Slovaquie) avait été nommée Secrétaire exécutive de la Commission économique pour l</w:t>
      </w:r>
      <w:r w:rsidR="00295FAB">
        <w:rPr>
          <w:lang w:val="fr-FR"/>
        </w:rPr>
        <w:t>’</w:t>
      </w:r>
      <w:r w:rsidRPr="00E45670">
        <w:rPr>
          <w:lang w:val="fr-FR"/>
        </w:rPr>
        <w:t>Europe par le Secrétaire général, et qu</w:t>
      </w:r>
      <w:r w:rsidR="00295FAB">
        <w:rPr>
          <w:lang w:val="fr-FR"/>
        </w:rPr>
        <w:t>’</w:t>
      </w:r>
      <w:r w:rsidRPr="00E45670">
        <w:rPr>
          <w:lang w:val="fr-FR"/>
        </w:rPr>
        <w:t>elle avait remplacé M.</w:t>
      </w:r>
      <w:r w:rsidR="000A0557">
        <w:rPr>
          <w:lang w:val="fr-FR"/>
        </w:rPr>
        <w:t> </w:t>
      </w:r>
      <w:r w:rsidRPr="00E45670">
        <w:rPr>
          <w:lang w:val="fr-FR"/>
        </w:rPr>
        <w:t>Christian Friis Bach à compter du 1</w:t>
      </w:r>
      <w:r w:rsidRPr="000A0557">
        <w:rPr>
          <w:vertAlign w:val="superscript"/>
          <w:lang w:val="fr-FR"/>
        </w:rPr>
        <w:t>er</w:t>
      </w:r>
      <w:r w:rsidR="000A0557">
        <w:rPr>
          <w:lang w:val="fr-FR"/>
        </w:rPr>
        <w:t> </w:t>
      </w:r>
      <w:r w:rsidRPr="00E45670">
        <w:rPr>
          <w:lang w:val="fr-FR"/>
        </w:rPr>
        <w:t>juin 2017. Le Sous-Comité leur a adressé ses meilleurs vœux de réussite dans leurs nouvelles activités.</w:t>
      </w:r>
    </w:p>
    <w:p w:rsidR="00E45670" w:rsidRPr="00E45670" w:rsidRDefault="00E45670" w:rsidP="00E45670">
      <w:pPr>
        <w:pStyle w:val="SingleTxtG"/>
        <w:rPr>
          <w:lang w:val="fr-FR"/>
        </w:rPr>
      </w:pPr>
      <w:r w:rsidRPr="00E45670">
        <w:rPr>
          <w:lang w:val="fr-FR"/>
        </w:rPr>
        <w:t>100.</w:t>
      </w:r>
      <w:r w:rsidRPr="00E45670">
        <w:rPr>
          <w:lang w:val="fr-FR"/>
        </w:rPr>
        <w:tab/>
        <w:t xml:space="preserve">La Directrice de la Division des transports durables, </w:t>
      </w:r>
      <w:r w:rsidR="000A0557" w:rsidRPr="000A0557">
        <w:rPr>
          <w:lang w:val="fr-FR"/>
        </w:rPr>
        <w:t>M</w:t>
      </w:r>
      <w:r w:rsidR="000A0557" w:rsidRPr="000A0557">
        <w:rPr>
          <w:vertAlign w:val="superscript"/>
          <w:lang w:val="fr-FR"/>
        </w:rPr>
        <w:t>me</w:t>
      </w:r>
      <w:r w:rsidR="000A0557" w:rsidRPr="000A0557">
        <w:rPr>
          <w:lang w:val="fr-FR"/>
        </w:rPr>
        <w:t> </w:t>
      </w:r>
      <w:r w:rsidRPr="00E45670">
        <w:rPr>
          <w:lang w:val="fr-FR"/>
        </w:rPr>
        <w:t>Eva Molnar, avait pris sa retraite le 30</w:t>
      </w:r>
      <w:r w:rsidR="000A0557">
        <w:rPr>
          <w:lang w:val="fr-FR"/>
        </w:rPr>
        <w:t> </w:t>
      </w:r>
      <w:r w:rsidRPr="00E45670">
        <w:rPr>
          <w:lang w:val="fr-FR"/>
        </w:rPr>
        <w:t xml:space="preserve">juin 2017 et son poste était actuellement vacant en attendant la fin des procédures de remplacement temporaire et de recrutement. Le Sous-Comité a remercié </w:t>
      </w:r>
      <w:r w:rsidR="000A0557" w:rsidRPr="000A0557">
        <w:rPr>
          <w:lang w:val="fr-FR"/>
        </w:rPr>
        <w:t>M</w:t>
      </w:r>
      <w:r w:rsidR="000A0557" w:rsidRPr="000A0557">
        <w:rPr>
          <w:vertAlign w:val="superscript"/>
          <w:lang w:val="fr-FR"/>
        </w:rPr>
        <w:t>me</w:t>
      </w:r>
      <w:r w:rsidR="000A0557" w:rsidRPr="000A0557">
        <w:rPr>
          <w:lang w:val="fr-FR"/>
        </w:rPr>
        <w:t> </w:t>
      </w:r>
      <w:r w:rsidRPr="00E45670">
        <w:rPr>
          <w:lang w:val="fr-FR"/>
        </w:rPr>
        <w:t>Molnar pour son soutien au cours des dix dernières années et lui a souhaité une longue et heureuse retraite.</w:t>
      </w:r>
    </w:p>
    <w:p w:rsidR="00E45670" w:rsidRPr="00E45670" w:rsidRDefault="00E45670" w:rsidP="00E45670">
      <w:pPr>
        <w:pStyle w:val="SingleTxtG"/>
        <w:rPr>
          <w:lang w:val="fr-FR"/>
        </w:rPr>
      </w:pPr>
      <w:r w:rsidRPr="00E45670">
        <w:rPr>
          <w:lang w:val="fr-FR"/>
        </w:rPr>
        <w:t>101.</w:t>
      </w:r>
      <w:r w:rsidRPr="00E45670">
        <w:rPr>
          <w:lang w:val="fr-FR"/>
        </w:rPr>
        <w:tab/>
        <w:t>Le Sous-Comité a également noté que son Secrétaire atteindrait l</w:t>
      </w:r>
      <w:r w:rsidR="00295FAB">
        <w:rPr>
          <w:lang w:val="fr-FR"/>
        </w:rPr>
        <w:t>’</w:t>
      </w:r>
      <w:r w:rsidRPr="00E45670">
        <w:rPr>
          <w:lang w:val="fr-FR"/>
        </w:rPr>
        <w:t>âge de départ obligatoire à la retraite (62</w:t>
      </w:r>
      <w:r w:rsidR="000A0557">
        <w:rPr>
          <w:lang w:val="fr-FR"/>
        </w:rPr>
        <w:t> </w:t>
      </w:r>
      <w:r w:rsidRPr="00E45670">
        <w:rPr>
          <w:lang w:val="fr-FR"/>
        </w:rPr>
        <w:t>ans) en novembre 2017 et que la décision de l</w:t>
      </w:r>
      <w:r w:rsidR="00295FAB">
        <w:rPr>
          <w:lang w:val="fr-FR"/>
        </w:rPr>
        <w:t>’</w:t>
      </w:r>
      <w:r w:rsidRPr="00E45670">
        <w:rPr>
          <w:lang w:val="fr-FR"/>
        </w:rPr>
        <w:t>Assemblée générale d</w:t>
      </w:r>
      <w:r w:rsidR="00295FAB">
        <w:rPr>
          <w:lang w:val="fr-FR"/>
        </w:rPr>
        <w:t>’</w:t>
      </w:r>
      <w:r w:rsidRPr="00E45670">
        <w:rPr>
          <w:lang w:val="fr-FR"/>
        </w:rPr>
        <w:t>autoriser le personnel à demander de partir à la retraite à 65</w:t>
      </w:r>
      <w:r w:rsidR="000A0557">
        <w:rPr>
          <w:lang w:val="fr-FR"/>
        </w:rPr>
        <w:t> </w:t>
      </w:r>
      <w:r w:rsidRPr="00E45670">
        <w:rPr>
          <w:lang w:val="fr-FR"/>
        </w:rPr>
        <w:t>ans ne serait sans doute pas appliquée avant le 1</w:t>
      </w:r>
      <w:r w:rsidRPr="000A0557">
        <w:rPr>
          <w:vertAlign w:val="superscript"/>
          <w:lang w:val="fr-FR"/>
        </w:rPr>
        <w:t>er</w:t>
      </w:r>
      <w:r w:rsidR="000A0557">
        <w:rPr>
          <w:lang w:val="fr-FR"/>
        </w:rPr>
        <w:t> </w:t>
      </w:r>
      <w:r w:rsidRPr="00E45670">
        <w:rPr>
          <w:lang w:val="fr-FR"/>
        </w:rPr>
        <w:t>janvier 2018. L</w:t>
      </w:r>
      <w:r w:rsidR="00295FAB">
        <w:rPr>
          <w:lang w:val="fr-FR"/>
        </w:rPr>
        <w:t>’</w:t>
      </w:r>
      <w:r w:rsidRPr="00E45670">
        <w:rPr>
          <w:lang w:val="fr-FR"/>
        </w:rPr>
        <w:t>intéressé prendrait donc probablement sa retraite le 30</w:t>
      </w:r>
      <w:r w:rsidR="000A0557">
        <w:rPr>
          <w:lang w:val="fr-FR"/>
        </w:rPr>
        <w:t> </w:t>
      </w:r>
      <w:r w:rsidRPr="00E45670">
        <w:rPr>
          <w:lang w:val="fr-FR"/>
        </w:rPr>
        <w:t>novembre 2017. Le secrétariat avait fait le nécessaire, en mai 2017, pour engager une procédure de recrutement en vue de le remplacer.</w:t>
      </w:r>
    </w:p>
    <w:p w:rsidR="00E45670" w:rsidRPr="00E45670" w:rsidRDefault="00E45670" w:rsidP="00E45670">
      <w:pPr>
        <w:pStyle w:val="SingleTxtG"/>
        <w:rPr>
          <w:lang w:val="fr-FR"/>
        </w:rPr>
      </w:pPr>
      <w:r w:rsidRPr="00E45670">
        <w:rPr>
          <w:lang w:val="fr-FR"/>
        </w:rPr>
        <w:t>102.</w:t>
      </w:r>
      <w:r w:rsidRPr="00E45670">
        <w:rPr>
          <w:lang w:val="fr-FR"/>
        </w:rPr>
        <w:tab/>
        <w:t>Le Sous-Comité a exprimé le souhait que toutes les mesures nécessaires soient prises pour éviter que ces changements viennent perturber les services assurés par le secrétariat et les travaux de la Section des marchandises dangereuses et cargaisons spéciales.</w:t>
      </w:r>
    </w:p>
    <w:p w:rsidR="00E45670" w:rsidRPr="00E45670" w:rsidRDefault="000A0557" w:rsidP="000A0557">
      <w:pPr>
        <w:pStyle w:val="HChG"/>
        <w:rPr>
          <w:lang w:val="fr-FR"/>
        </w:rPr>
      </w:pPr>
      <w:r>
        <w:rPr>
          <w:lang w:val="fr-FR"/>
        </w:rPr>
        <w:tab/>
      </w:r>
      <w:r w:rsidR="00E45670" w:rsidRPr="00E45670">
        <w:rPr>
          <w:lang w:val="fr-FR"/>
        </w:rPr>
        <w:t>XIII.</w:t>
      </w:r>
      <w:r w:rsidR="00E45670" w:rsidRPr="00E45670">
        <w:rPr>
          <w:lang w:val="fr-FR"/>
        </w:rPr>
        <w:tab/>
        <w:t>Adoption du rapport (point 12 de l</w:t>
      </w:r>
      <w:r w:rsidR="00295FAB">
        <w:rPr>
          <w:lang w:val="fr-FR"/>
        </w:rPr>
        <w:t>’</w:t>
      </w:r>
      <w:r w:rsidR="00E45670" w:rsidRPr="00E45670">
        <w:rPr>
          <w:lang w:val="fr-FR"/>
        </w:rPr>
        <w:t>ordre du jour)</w:t>
      </w:r>
    </w:p>
    <w:p w:rsidR="000A0557" w:rsidRDefault="00E45670" w:rsidP="00E45670">
      <w:pPr>
        <w:pStyle w:val="SingleTxtG"/>
        <w:rPr>
          <w:lang w:val="fr-FR"/>
        </w:rPr>
      </w:pPr>
      <w:r w:rsidRPr="00E45670">
        <w:rPr>
          <w:lang w:val="fr-FR"/>
        </w:rPr>
        <w:t>103.</w:t>
      </w:r>
      <w:r w:rsidRPr="00E45670">
        <w:rPr>
          <w:lang w:val="fr-FR"/>
        </w:rPr>
        <w:tab/>
        <w:t>Le Sous-Comité a adopté le rapport de sa cinquante et unième session et ses annexes en se fondant sur un projet établi par le secrétariat.</w:t>
      </w:r>
    </w:p>
    <w:p w:rsidR="00E45670" w:rsidRPr="00E45670" w:rsidRDefault="000A0557" w:rsidP="000A0557">
      <w:pPr>
        <w:pStyle w:val="HChG"/>
        <w:rPr>
          <w:lang w:val="fr-FR"/>
        </w:rPr>
      </w:pPr>
      <w:r>
        <w:rPr>
          <w:lang w:val="fr-FR"/>
        </w:rPr>
        <w:br w:type="page"/>
      </w:r>
      <w:r w:rsidR="00E45670" w:rsidRPr="00E45670">
        <w:rPr>
          <w:lang w:val="fr-FR"/>
        </w:rPr>
        <w:t>Annexe I</w:t>
      </w:r>
    </w:p>
    <w:p w:rsidR="00E45670" w:rsidRPr="00E45670" w:rsidRDefault="00D27049" w:rsidP="00D27049">
      <w:pPr>
        <w:pStyle w:val="H1G"/>
        <w:rPr>
          <w:lang w:val="fr-FR"/>
        </w:rPr>
      </w:pPr>
      <w:r>
        <w:rPr>
          <w:lang w:val="fr-FR"/>
        </w:rPr>
        <w:tab/>
      </w:r>
      <w:r>
        <w:rPr>
          <w:lang w:val="fr-FR"/>
        </w:rPr>
        <w:tab/>
      </w:r>
      <w:r w:rsidR="00E45670" w:rsidRPr="00E45670">
        <w:rPr>
          <w:lang w:val="fr-FR"/>
        </w:rPr>
        <w:t xml:space="preserve">Corrections à la vingtième édition révisée des Recommandations relatives au transport des marchandises dangereuses, </w:t>
      </w:r>
      <w:r>
        <w:rPr>
          <w:lang w:val="fr-FR"/>
        </w:rPr>
        <w:br/>
      </w:r>
      <w:r w:rsidR="00E45670" w:rsidRPr="00E45670">
        <w:rPr>
          <w:lang w:val="fr-FR"/>
        </w:rPr>
        <w:t>Règlement type (ST/SG/AC.10/1/Rev.20)</w:t>
      </w:r>
    </w:p>
    <w:p w:rsidR="00E45670" w:rsidRPr="00E45670" w:rsidRDefault="00E45670" w:rsidP="00D27049">
      <w:pPr>
        <w:pStyle w:val="H1G"/>
        <w:rPr>
          <w:lang w:val="fr-FR"/>
        </w:rPr>
      </w:pPr>
      <w:r w:rsidRPr="00E45670">
        <w:rPr>
          <w:lang w:val="fr-FR"/>
        </w:rPr>
        <w:tab/>
      </w:r>
      <w:r w:rsidRPr="00E45670">
        <w:rPr>
          <w:lang w:val="fr-FR"/>
        </w:rPr>
        <w:tab/>
        <w:t>(Voir le document ST/SG/AC.10/C.3/102/Add.1)</w:t>
      </w:r>
    </w:p>
    <w:p w:rsidR="00E45670" w:rsidRPr="00E45670" w:rsidRDefault="00E45670" w:rsidP="00D27049">
      <w:pPr>
        <w:pStyle w:val="HChG"/>
        <w:rPr>
          <w:lang w:val="fr-FR"/>
        </w:rPr>
      </w:pPr>
      <w:r w:rsidRPr="00E45670">
        <w:rPr>
          <w:lang w:val="fr-FR"/>
        </w:rPr>
        <w:t>Annexe II</w:t>
      </w:r>
    </w:p>
    <w:p w:rsidR="00E45670" w:rsidRPr="00E45670" w:rsidRDefault="00E45670" w:rsidP="00D27049">
      <w:pPr>
        <w:pStyle w:val="H1G"/>
        <w:rPr>
          <w:lang w:val="fr-FR"/>
        </w:rPr>
      </w:pPr>
      <w:r w:rsidRPr="00E45670">
        <w:rPr>
          <w:lang w:val="fr-FR"/>
        </w:rPr>
        <w:tab/>
      </w:r>
      <w:r w:rsidRPr="00E45670">
        <w:rPr>
          <w:lang w:val="fr-FR"/>
        </w:rPr>
        <w:tab/>
      </w:r>
      <w:r w:rsidRPr="00D27049">
        <w:rPr>
          <w:rFonts w:ascii="Times New Roman Gras" w:hAnsi="Times New Roman Gras"/>
          <w:spacing w:val="2"/>
          <w:lang w:val="fr-FR"/>
        </w:rPr>
        <w:t>Projet d</w:t>
      </w:r>
      <w:r w:rsidR="00295FAB" w:rsidRPr="00D27049">
        <w:rPr>
          <w:rFonts w:ascii="Times New Roman Gras" w:hAnsi="Times New Roman Gras"/>
          <w:spacing w:val="2"/>
          <w:lang w:val="fr-FR"/>
        </w:rPr>
        <w:t>’</w:t>
      </w:r>
      <w:r w:rsidRPr="00D27049">
        <w:rPr>
          <w:rFonts w:ascii="Times New Roman Gras" w:hAnsi="Times New Roman Gras"/>
          <w:spacing w:val="2"/>
          <w:lang w:val="fr-FR"/>
        </w:rPr>
        <w:t>amendements à la vingtième édition révisée des</w:t>
      </w:r>
      <w:r w:rsidRPr="00E45670">
        <w:rPr>
          <w:lang w:val="fr-FR"/>
        </w:rPr>
        <w:t xml:space="preserve"> </w:t>
      </w:r>
      <w:r w:rsidRPr="00D27049">
        <w:rPr>
          <w:rFonts w:ascii="Times New Roman Gras" w:hAnsi="Times New Roman Gras"/>
          <w:spacing w:val="-2"/>
          <w:lang w:val="fr-FR"/>
        </w:rPr>
        <w:t>Recommandations relatives au transport des marchandises</w:t>
      </w:r>
      <w:r w:rsidRPr="00E45670">
        <w:rPr>
          <w:lang w:val="fr-FR"/>
        </w:rPr>
        <w:t xml:space="preserve"> </w:t>
      </w:r>
      <w:r w:rsidR="00D27049">
        <w:rPr>
          <w:lang w:val="fr-FR"/>
        </w:rPr>
        <w:br/>
      </w:r>
      <w:r w:rsidRPr="00E45670">
        <w:rPr>
          <w:lang w:val="fr-FR"/>
        </w:rPr>
        <w:t>dangereuses, Règlement type (ST/SG/AC.10/1/Rev.20)</w:t>
      </w:r>
    </w:p>
    <w:p w:rsidR="00E45670" w:rsidRPr="00E45670" w:rsidRDefault="00E45670" w:rsidP="00D27049">
      <w:pPr>
        <w:pStyle w:val="H1G"/>
        <w:rPr>
          <w:lang w:val="fr-FR"/>
        </w:rPr>
      </w:pPr>
      <w:r w:rsidRPr="00E45670">
        <w:rPr>
          <w:lang w:val="fr-FR"/>
        </w:rPr>
        <w:tab/>
      </w:r>
      <w:r w:rsidRPr="00E45670">
        <w:rPr>
          <w:lang w:val="fr-FR"/>
        </w:rPr>
        <w:tab/>
        <w:t>(Voir le document ST/SG/AC.10/C.3/102/Add.1)</w:t>
      </w:r>
    </w:p>
    <w:p w:rsidR="00E45670" w:rsidRPr="00E45670" w:rsidRDefault="00E45670" w:rsidP="00D27049">
      <w:pPr>
        <w:pStyle w:val="HChG"/>
        <w:rPr>
          <w:lang w:val="fr-FR"/>
        </w:rPr>
      </w:pPr>
      <w:r w:rsidRPr="00E45670">
        <w:rPr>
          <w:lang w:val="fr-FR"/>
        </w:rPr>
        <w:t>Annexe III</w:t>
      </w:r>
    </w:p>
    <w:p w:rsidR="00E45670" w:rsidRPr="00E45670" w:rsidRDefault="00E45670" w:rsidP="00D27049">
      <w:pPr>
        <w:pStyle w:val="H1G"/>
        <w:rPr>
          <w:lang w:val="fr-FR"/>
        </w:rPr>
      </w:pPr>
      <w:r w:rsidRPr="00E45670">
        <w:rPr>
          <w:lang w:val="fr-FR"/>
        </w:rPr>
        <w:tab/>
      </w:r>
      <w:r w:rsidRPr="00E45670">
        <w:rPr>
          <w:lang w:val="fr-FR"/>
        </w:rPr>
        <w:tab/>
      </w:r>
      <w:r w:rsidRPr="00D27049">
        <w:rPr>
          <w:rFonts w:ascii="Times New Roman Gras" w:hAnsi="Times New Roman Gras"/>
          <w:spacing w:val="2"/>
          <w:lang w:val="fr-FR"/>
        </w:rPr>
        <w:t>Projets d</w:t>
      </w:r>
      <w:r w:rsidR="00295FAB" w:rsidRPr="00D27049">
        <w:rPr>
          <w:rFonts w:ascii="Times New Roman Gras" w:hAnsi="Times New Roman Gras"/>
          <w:spacing w:val="2"/>
          <w:lang w:val="fr-FR"/>
        </w:rPr>
        <w:t>’</w:t>
      </w:r>
      <w:r w:rsidRPr="00D27049">
        <w:rPr>
          <w:rFonts w:ascii="Times New Roman Gras" w:hAnsi="Times New Roman Gras"/>
          <w:spacing w:val="2"/>
          <w:lang w:val="fr-FR"/>
        </w:rPr>
        <w:t>amendements à la sixième édition révisée des</w:t>
      </w:r>
      <w:r w:rsidRPr="00E45670">
        <w:rPr>
          <w:lang w:val="fr-FR"/>
        </w:rPr>
        <w:t xml:space="preserve"> </w:t>
      </w:r>
      <w:r w:rsidRPr="00D27049">
        <w:rPr>
          <w:rFonts w:ascii="Times New Roman Gras" w:hAnsi="Times New Roman Gras"/>
          <w:spacing w:val="-2"/>
          <w:lang w:val="fr-FR"/>
        </w:rPr>
        <w:t>Recommandations relatives au transport des marchandises</w:t>
      </w:r>
      <w:r w:rsidRPr="00E45670">
        <w:rPr>
          <w:lang w:val="fr-FR"/>
        </w:rPr>
        <w:t xml:space="preserve"> </w:t>
      </w:r>
      <w:r w:rsidR="00D27049">
        <w:rPr>
          <w:lang w:val="fr-FR"/>
        </w:rPr>
        <w:br/>
      </w:r>
      <w:r w:rsidRPr="00E45670">
        <w:rPr>
          <w:lang w:val="fr-FR"/>
        </w:rPr>
        <w:t>dangereuses, Manuel d</w:t>
      </w:r>
      <w:r w:rsidR="00295FAB">
        <w:rPr>
          <w:lang w:val="fr-FR"/>
        </w:rPr>
        <w:t>’</w:t>
      </w:r>
      <w:r w:rsidRPr="00E45670">
        <w:rPr>
          <w:lang w:val="fr-FR"/>
        </w:rPr>
        <w:t>épreuves et de critères (ST/SG/</w:t>
      </w:r>
      <w:r w:rsidR="00D27049">
        <w:rPr>
          <w:lang w:val="fr-FR"/>
        </w:rPr>
        <w:br/>
      </w:r>
      <w:r w:rsidRPr="00E45670">
        <w:rPr>
          <w:lang w:val="fr-FR"/>
        </w:rPr>
        <w:t xml:space="preserve">AC.10/11/Rev.6) (telle que modifiée conformément </w:t>
      </w:r>
      <w:r w:rsidR="00D27049">
        <w:rPr>
          <w:lang w:val="fr-FR"/>
        </w:rPr>
        <w:br/>
      </w:r>
      <w:r w:rsidRPr="00E45670">
        <w:rPr>
          <w:lang w:val="fr-FR"/>
        </w:rPr>
        <w:t>au document ST/SG/AC.10/44/Add.2)</w:t>
      </w:r>
    </w:p>
    <w:p w:rsidR="00E45670" w:rsidRDefault="00E45670" w:rsidP="00D27049">
      <w:pPr>
        <w:pStyle w:val="H1G"/>
        <w:rPr>
          <w:lang w:val="fr-FR"/>
        </w:rPr>
      </w:pPr>
      <w:r w:rsidRPr="00E45670">
        <w:rPr>
          <w:lang w:val="fr-FR"/>
        </w:rPr>
        <w:tab/>
      </w:r>
      <w:r w:rsidRPr="00E45670">
        <w:rPr>
          <w:lang w:val="fr-FR"/>
        </w:rPr>
        <w:tab/>
        <w:t>(Voir le document ST/SG/AC.10/C.3/102/Add.1)</w:t>
      </w:r>
    </w:p>
    <w:p w:rsidR="00D27049" w:rsidRPr="00D27049" w:rsidRDefault="00D27049" w:rsidP="00D2704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27049" w:rsidRPr="00D27049" w:rsidSect="00D77CF7">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8D" w:rsidRDefault="00376A8D" w:rsidP="00F95C08">
      <w:pPr>
        <w:spacing w:line="240" w:lineRule="auto"/>
      </w:pPr>
    </w:p>
  </w:endnote>
  <w:endnote w:type="continuationSeparator" w:id="0">
    <w:p w:rsidR="00376A8D" w:rsidRPr="00AC3823" w:rsidRDefault="00376A8D" w:rsidP="00AC3823">
      <w:pPr>
        <w:pStyle w:val="Footer"/>
      </w:pPr>
    </w:p>
  </w:endnote>
  <w:endnote w:type="continuationNotice" w:id="1">
    <w:p w:rsidR="00376A8D" w:rsidRDefault="00376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D" w:rsidRPr="009A4804" w:rsidRDefault="00376A8D" w:rsidP="009A4804">
    <w:pPr>
      <w:pStyle w:val="Footer"/>
      <w:tabs>
        <w:tab w:val="right" w:pos="9638"/>
      </w:tabs>
    </w:pPr>
    <w:r w:rsidRPr="009A4804">
      <w:rPr>
        <w:b/>
        <w:sz w:val="18"/>
      </w:rPr>
      <w:fldChar w:fldCharType="begin"/>
    </w:r>
    <w:r w:rsidRPr="009A4804">
      <w:rPr>
        <w:b/>
        <w:sz w:val="18"/>
      </w:rPr>
      <w:instrText xml:space="preserve"> PAGE  \* MERGEFORMAT </w:instrText>
    </w:r>
    <w:r w:rsidRPr="009A4804">
      <w:rPr>
        <w:b/>
        <w:sz w:val="18"/>
      </w:rPr>
      <w:fldChar w:fldCharType="separate"/>
    </w:r>
    <w:r w:rsidR="00F23B64">
      <w:rPr>
        <w:b/>
        <w:noProof/>
        <w:sz w:val="18"/>
      </w:rPr>
      <w:t>20</w:t>
    </w:r>
    <w:r w:rsidRPr="009A4804">
      <w:rPr>
        <w:b/>
        <w:sz w:val="18"/>
      </w:rPr>
      <w:fldChar w:fldCharType="end"/>
    </w:r>
    <w:r>
      <w:rPr>
        <w:b/>
        <w:sz w:val="18"/>
      </w:rPr>
      <w:tab/>
    </w:r>
    <w:r>
      <w:t>GE.17-12124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D" w:rsidRPr="009A4804" w:rsidRDefault="00376A8D" w:rsidP="009A4804">
    <w:pPr>
      <w:pStyle w:val="Footer"/>
      <w:tabs>
        <w:tab w:val="right" w:pos="9638"/>
      </w:tabs>
      <w:rPr>
        <w:b/>
        <w:sz w:val="18"/>
      </w:rPr>
    </w:pPr>
    <w:r>
      <w:t>GE.17-12124</w:t>
    </w:r>
    <w:r>
      <w:tab/>
    </w:r>
    <w:r w:rsidRPr="009A4804">
      <w:rPr>
        <w:b/>
        <w:sz w:val="18"/>
      </w:rPr>
      <w:fldChar w:fldCharType="begin"/>
    </w:r>
    <w:r w:rsidRPr="009A4804">
      <w:rPr>
        <w:b/>
        <w:sz w:val="18"/>
      </w:rPr>
      <w:instrText xml:space="preserve"> PAGE  \* MERGEFORMAT </w:instrText>
    </w:r>
    <w:r w:rsidRPr="009A4804">
      <w:rPr>
        <w:b/>
        <w:sz w:val="18"/>
      </w:rPr>
      <w:fldChar w:fldCharType="separate"/>
    </w:r>
    <w:r w:rsidR="00F23B64">
      <w:rPr>
        <w:b/>
        <w:noProof/>
        <w:sz w:val="18"/>
      </w:rPr>
      <w:t>19</w:t>
    </w:r>
    <w:r w:rsidRPr="009A48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D" w:rsidRPr="009A4804" w:rsidRDefault="00376A8D" w:rsidP="009A4804">
    <w:pPr>
      <w:pStyle w:val="Footer"/>
      <w:spacing w:before="120"/>
      <w:rPr>
        <w:sz w:val="20"/>
      </w:rPr>
    </w:pPr>
    <w:r>
      <w:rPr>
        <w:sz w:val="20"/>
      </w:rPr>
      <w:t>GE.</w:t>
    </w:r>
    <w:r>
      <w:rPr>
        <w:noProof/>
        <w:lang w:val="en-GB" w:eastAsia="en-GB"/>
      </w:rPr>
      <w:drawing>
        <wp:anchor distT="0" distB="0" distL="114300" distR="114300" simplePos="0" relativeHeight="251656192"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17-12124 (F)</w:t>
    </w:r>
    <w:r w:rsidR="00832A35">
      <w:rPr>
        <w:sz w:val="20"/>
      </w:rPr>
      <w:t xml:space="preserve">    110917    120917</w:t>
    </w:r>
    <w:r>
      <w:rPr>
        <w:sz w:val="20"/>
      </w:rPr>
      <w:br/>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sidRPr="009A4804">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7" name="Image 1" descr="https://undocs.org/m2/QRCode.ashx?DS=ST/SG/AC.10/C.3/1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8D" w:rsidRPr="00AC3823" w:rsidRDefault="00376A8D" w:rsidP="00AC3823">
      <w:pPr>
        <w:pStyle w:val="Footer"/>
        <w:tabs>
          <w:tab w:val="right" w:pos="2155"/>
        </w:tabs>
        <w:spacing w:after="80" w:line="240" w:lineRule="atLeast"/>
        <w:ind w:left="680"/>
        <w:rPr>
          <w:u w:val="single"/>
        </w:rPr>
      </w:pPr>
      <w:r>
        <w:rPr>
          <w:u w:val="single"/>
        </w:rPr>
        <w:tab/>
      </w:r>
    </w:p>
  </w:footnote>
  <w:footnote w:type="continuationSeparator" w:id="0">
    <w:p w:rsidR="00376A8D" w:rsidRPr="00AC3823" w:rsidRDefault="00376A8D" w:rsidP="00AC3823">
      <w:pPr>
        <w:pStyle w:val="Footer"/>
        <w:tabs>
          <w:tab w:val="right" w:pos="2155"/>
        </w:tabs>
        <w:spacing w:after="80" w:line="240" w:lineRule="atLeast"/>
        <w:ind w:left="680"/>
        <w:rPr>
          <w:u w:val="single"/>
        </w:rPr>
      </w:pPr>
      <w:r>
        <w:rPr>
          <w:u w:val="single"/>
        </w:rPr>
        <w:tab/>
      </w:r>
    </w:p>
  </w:footnote>
  <w:footnote w:type="continuationNotice" w:id="1">
    <w:p w:rsidR="00376A8D" w:rsidRPr="00AC3823" w:rsidRDefault="00376A8D">
      <w:pPr>
        <w:spacing w:line="240" w:lineRule="auto"/>
        <w:rPr>
          <w:sz w:val="2"/>
          <w:szCs w:val="2"/>
        </w:rPr>
      </w:pPr>
    </w:p>
  </w:footnote>
  <w:footnote w:id="2">
    <w:p w:rsidR="00FF77AB" w:rsidRPr="00FF77AB" w:rsidRDefault="00FF77AB">
      <w:pPr>
        <w:pStyle w:val="FootnoteText"/>
      </w:pPr>
      <w:r>
        <w:rPr>
          <w:rStyle w:val="FootnoteReference"/>
        </w:rPr>
        <w:tab/>
      </w:r>
      <w:r w:rsidRPr="00FF77AB">
        <w:rPr>
          <w:rStyle w:val="FootnoteReference"/>
          <w:sz w:val="20"/>
          <w:vertAlign w:val="baseline"/>
        </w:rPr>
        <w:t>*</w:t>
      </w:r>
      <w:r>
        <w:rPr>
          <w:rStyle w:val="FootnoteReference"/>
          <w:sz w:val="20"/>
          <w:vertAlign w:val="baseline"/>
        </w:rPr>
        <w:tab/>
      </w:r>
      <w:r>
        <w:rPr>
          <w:lang w:val="fr-FR"/>
        </w:rPr>
        <w:t>Pour des raisons pratiques, cette annexe est publiée sous forme d’additif au présent rapport (ST/SG/AC.10/C.3/102/Add.1).</w:t>
      </w:r>
    </w:p>
  </w:footnote>
  <w:footnote w:id="3">
    <w:p w:rsidR="00376A8D" w:rsidRDefault="00376A8D">
      <w:pPr>
        <w:pStyle w:val="FootnoteText"/>
      </w:pPr>
      <w:r>
        <w:tab/>
      </w:r>
      <w:r>
        <w:rPr>
          <w:rStyle w:val="FootnoteReference"/>
        </w:rPr>
        <w:footnoteRef/>
      </w:r>
      <w:r>
        <w:tab/>
      </w:r>
      <w:r>
        <w:rPr>
          <w:lang w:val="fr-FR"/>
        </w:rPr>
        <w:t>Document informel INF.73 (trente-septième session), par.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D" w:rsidRPr="009A4804" w:rsidRDefault="00F23B64">
    <w:pPr>
      <w:pStyle w:val="Header"/>
    </w:pPr>
    <w:r>
      <w:fldChar w:fldCharType="begin"/>
    </w:r>
    <w:r>
      <w:instrText xml:space="preserve"> TITLE  \* MERGEFORMAT </w:instrText>
    </w:r>
    <w:r>
      <w:fldChar w:fldCharType="separate"/>
    </w:r>
    <w:r>
      <w:t>ST/SG/AC.10/C.3/102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D" w:rsidRPr="009A4804" w:rsidRDefault="00F23B64" w:rsidP="009A4804">
    <w:pPr>
      <w:pStyle w:val="Header"/>
      <w:jc w:val="right"/>
    </w:pPr>
    <w:r>
      <w:fldChar w:fldCharType="begin"/>
    </w:r>
    <w:r>
      <w:instrText xml:space="preserve"> TITLE  \* MERGEFORMAT </w:instrText>
    </w:r>
    <w:r>
      <w:fldChar w:fldCharType="separate"/>
    </w:r>
    <w:r>
      <w:t>ST/SG/AC.10/C.3/102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65C2473"/>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9160482"/>
    <w:multiLevelType w:val="hybridMultilevel"/>
    <w:tmpl w:val="16922ACC"/>
    <w:lvl w:ilvl="0" w:tplc="1E727752">
      <w:start w:val="1"/>
      <w:numFmt w:val="upperLetter"/>
      <w:lvlText w:val="%1."/>
      <w:lvlJc w:val="left"/>
      <w:pPr>
        <w:ind w:left="1860" w:hanging="525"/>
      </w:pPr>
      <w:rPr>
        <w:rFonts w:hint="default"/>
      </w:rPr>
    </w:lvl>
    <w:lvl w:ilvl="1" w:tplc="040C0019">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4"/>
    <w:lvlOverride w:ilvl="0">
      <w:lvl w:ilvl="0" w:tplc="1E727752">
        <w:start w:val="1"/>
        <w:numFmt w:val="upperLetter"/>
        <w:lvlText w:val="%1."/>
        <w:lvlJc w:val="left"/>
        <w:pPr>
          <w:ind w:left="1860" w:hanging="525"/>
        </w:pPr>
        <w:rPr>
          <w:rFonts w:hint="default"/>
        </w:rPr>
      </w:lvl>
    </w:lvlOverride>
  </w:num>
  <w:num w:numId="18">
    <w:abstractNumId w:val="10"/>
    <w:lvlOverride w:ilvl="0">
      <w:lvl w:ilvl="0" w:tplc="1E727752">
        <w:start w:val="1"/>
        <w:numFmt w:val="upperLetter"/>
        <w:lvlText w:val="%1."/>
        <w:lvlJc w:val="left"/>
        <w:pPr>
          <w:ind w:left="1376" w:hanging="5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83"/>
    <w:rsid w:val="00006831"/>
    <w:rsid w:val="00017F94"/>
    <w:rsid w:val="00023842"/>
    <w:rsid w:val="000305D3"/>
    <w:rsid w:val="000334F9"/>
    <w:rsid w:val="0007796D"/>
    <w:rsid w:val="000873CB"/>
    <w:rsid w:val="000A0557"/>
    <w:rsid w:val="000B4EE4"/>
    <w:rsid w:val="000B7790"/>
    <w:rsid w:val="00111F2F"/>
    <w:rsid w:val="00132EA9"/>
    <w:rsid w:val="0014365E"/>
    <w:rsid w:val="00176178"/>
    <w:rsid w:val="001B61AD"/>
    <w:rsid w:val="001E42C1"/>
    <w:rsid w:val="001F525A"/>
    <w:rsid w:val="0020037E"/>
    <w:rsid w:val="00223272"/>
    <w:rsid w:val="0024779E"/>
    <w:rsid w:val="00283190"/>
    <w:rsid w:val="002832AC"/>
    <w:rsid w:val="00283A4C"/>
    <w:rsid w:val="00295FAB"/>
    <w:rsid w:val="002D73D5"/>
    <w:rsid w:val="002D7C93"/>
    <w:rsid w:val="00376A8D"/>
    <w:rsid w:val="00441C3B"/>
    <w:rsid w:val="00446FE5"/>
    <w:rsid w:val="00452396"/>
    <w:rsid w:val="004B6483"/>
    <w:rsid w:val="004E468C"/>
    <w:rsid w:val="005505B7"/>
    <w:rsid w:val="005636D6"/>
    <w:rsid w:val="00573BE5"/>
    <w:rsid w:val="005762CB"/>
    <w:rsid w:val="00584DC4"/>
    <w:rsid w:val="00586ED3"/>
    <w:rsid w:val="00596AA9"/>
    <w:rsid w:val="005C4993"/>
    <w:rsid w:val="005F6092"/>
    <w:rsid w:val="00603CE4"/>
    <w:rsid w:val="0068456F"/>
    <w:rsid w:val="0071601D"/>
    <w:rsid w:val="007A62E6"/>
    <w:rsid w:val="007D3D76"/>
    <w:rsid w:val="007E03F5"/>
    <w:rsid w:val="0080684C"/>
    <w:rsid w:val="00832A35"/>
    <w:rsid w:val="0083756D"/>
    <w:rsid w:val="00871C75"/>
    <w:rsid w:val="008776DC"/>
    <w:rsid w:val="00885A0C"/>
    <w:rsid w:val="008B40CD"/>
    <w:rsid w:val="008E5FDD"/>
    <w:rsid w:val="008F4877"/>
    <w:rsid w:val="009705C8"/>
    <w:rsid w:val="00991BC5"/>
    <w:rsid w:val="009A4804"/>
    <w:rsid w:val="009C1CF4"/>
    <w:rsid w:val="00A30353"/>
    <w:rsid w:val="00AC3823"/>
    <w:rsid w:val="00AE323C"/>
    <w:rsid w:val="00AF7EBD"/>
    <w:rsid w:val="00B00181"/>
    <w:rsid w:val="00B00B0D"/>
    <w:rsid w:val="00B643AF"/>
    <w:rsid w:val="00B66B90"/>
    <w:rsid w:val="00B765F7"/>
    <w:rsid w:val="00BA0CA9"/>
    <w:rsid w:val="00BF2839"/>
    <w:rsid w:val="00C02897"/>
    <w:rsid w:val="00C1051B"/>
    <w:rsid w:val="00C11027"/>
    <w:rsid w:val="00C82F0E"/>
    <w:rsid w:val="00CC2357"/>
    <w:rsid w:val="00D14EC2"/>
    <w:rsid w:val="00D27049"/>
    <w:rsid w:val="00D3394A"/>
    <w:rsid w:val="00D3439C"/>
    <w:rsid w:val="00D44C84"/>
    <w:rsid w:val="00D77CF7"/>
    <w:rsid w:val="00D82D55"/>
    <w:rsid w:val="00DB1831"/>
    <w:rsid w:val="00DD3BFD"/>
    <w:rsid w:val="00DF6678"/>
    <w:rsid w:val="00E33B28"/>
    <w:rsid w:val="00E45670"/>
    <w:rsid w:val="00EB2C24"/>
    <w:rsid w:val="00ED348F"/>
    <w:rsid w:val="00EF2E22"/>
    <w:rsid w:val="00F01738"/>
    <w:rsid w:val="00F034D8"/>
    <w:rsid w:val="00F23B64"/>
    <w:rsid w:val="00F638A0"/>
    <w:rsid w:val="00F660DF"/>
    <w:rsid w:val="00F730C8"/>
    <w:rsid w:val="00F74FEA"/>
    <w:rsid w:val="00F95C08"/>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77CF7"/>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77CF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4BFE-DF48-4967-B290-568638EF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8422</Words>
  <Characters>48009</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ST/SG/AC.10/C.3/102</vt:lpstr>
      <vt:lpstr>ST/SG/AC.10/C.3/102</vt:lpstr>
    </vt:vector>
  </TitlesOfParts>
  <Company>DCM</Company>
  <LinksUpToDate>false</LinksUpToDate>
  <CharactersWithSpaces>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ST/SG/AC.10/C.3/102</dc:title>
  <dc:creator>Fabienne CRELIER</dc:creator>
  <cp:lastModifiedBy>Laurence Berthet</cp:lastModifiedBy>
  <cp:revision>3</cp:revision>
  <cp:lastPrinted>2017-09-21T09:17:00Z</cp:lastPrinted>
  <dcterms:created xsi:type="dcterms:W3CDTF">2017-09-21T09:17:00Z</dcterms:created>
  <dcterms:modified xsi:type="dcterms:W3CDTF">2017-09-21T09:17:00Z</dcterms:modified>
</cp:coreProperties>
</file>