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5573AE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5573AE" w:rsidP="005573AE">
            <w:pPr>
              <w:jc w:val="right"/>
            </w:pPr>
            <w:r w:rsidRPr="005573AE">
              <w:rPr>
                <w:sz w:val="40"/>
              </w:rPr>
              <w:t>ECE</w:t>
            </w:r>
            <w:r>
              <w:t>/TRANS/WP.29/GRSG/2016/26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5573AE" w:rsidP="00892A2F">
            <w:pPr>
              <w:spacing w:before="240"/>
            </w:pPr>
            <w:r>
              <w:t>Distr. générale</w:t>
            </w:r>
          </w:p>
          <w:p w:rsidR="005573AE" w:rsidRDefault="005573AE" w:rsidP="005573AE">
            <w:pPr>
              <w:spacing w:line="240" w:lineRule="exact"/>
            </w:pPr>
            <w:r>
              <w:t>25 juillet 2016</w:t>
            </w:r>
          </w:p>
          <w:p w:rsidR="005573AE" w:rsidRDefault="005573AE" w:rsidP="005573AE">
            <w:pPr>
              <w:spacing w:line="240" w:lineRule="exact"/>
            </w:pPr>
            <w:r>
              <w:t>Français</w:t>
            </w:r>
          </w:p>
          <w:p w:rsidR="005573AE" w:rsidRPr="00DB58B5" w:rsidRDefault="005573AE" w:rsidP="005573AE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DA7A86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501B41" w:rsidRDefault="00501B41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DA7A86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501B41" w:rsidRDefault="00501B41" w:rsidP="00257168">
      <w:pPr>
        <w:spacing w:before="120" w:after="120" w:line="240" w:lineRule="exact"/>
        <w:rPr>
          <w:b/>
        </w:rPr>
      </w:pPr>
      <w:r>
        <w:rPr>
          <w:b/>
        </w:rPr>
        <w:t>Groupe de travail des dispositions générales de sécurité</w:t>
      </w:r>
    </w:p>
    <w:p w:rsidR="00501B41" w:rsidRDefault="00501B41" w:rsidP="00257168">
      <w:pPr>
        <w:spacing w:before="120" w:line="240" w:lineRule="exact"/>
        <w:rPr>
          <w:b/>
        </w:rPr>
      </w:pPr>
      <w:r>
        <w:rPr>
          <w:b/>
        </w:rPr>
        <w:t>111</w:t>
      </w:r>
      <w:r w:rsidRPr="00501B41">
        <w:rPr>
          <w:b/>
          <w:vertAlign w:val="superscript"/>
        </w:rPr>
        <w:t>e</w:t>
      </w:r>
      <w:r>
        <w:rPr>
          <w:b/>
        </w:rPr>
        <w:t> session</w:t>
      </w:r>
    </w:p>
    <w:p w:rsidR="00501B41" w:rsidRPr="00A01495" w:rsidRDefault="00501B41" w:rsidP="00501B41">
      <w:pPr>
        <w:rPr>
          <w:lang w:val="fr-FR"/>
        </w:rPr>
      </w:pPr>
      <w:r>
        <w:t xml:space="preserve">Genève, </w:t>
      </w:r>
      <w:r w:rsidRPr="00A01495">
        <w:rPr>
          <w:lang w:val="fr-FR"/>
        </w:rPr>
        <w:t>11</w:t>
      </w:r>
      <w:r>
        <w:rPr>
          <w:lang w:val="fr-FR"/>
        </w:rPr>
        <w:t>-</w:t>
      </w:r>
      <w:r w:rsidRPr="00A01495">
        <w:rPr>
          <w:lang w:val="fr-FR"/>
        </w:rPr>
        <w:t xml:space="preserve">14 </w:t>
      </w:r>
      <w:r>
        <w:rPr>
          <w:lang w:val="fr-FR"/>
        </w:rPr>
        <w:t>octobre</w:t>
      </w:r>
      <w:r w:rsidRPr="00A01495">
        <w:rPr>
          <w:lang w:val="fr-FR"/>
        </w:rPr>
        <w:t xml:space="preserve"> 2016</w:t>
      </w:r>
    </w:p>
    <w:p w:rsidR="00501B41" w:rsidRPr="00A01495" w:rsidRDefault="00501B41" w:rsidP="00501B41">
      <w:pPr>
        <w:rPr>
          <w:lang w:val="fr-FR"/>
        </w:rPr>
      </w:pPr>
      <w:r>
        <w:rPr>
          <w:lang w:val="fr-FR"/>
        </w:rPr>
        <w:t>Point</w:t>
      </w:r>
      <w:r w:rsidRPr="00A01495">
        <w:rPr>
          <w:lang w:val="fr-FR"/>
        </w:rPr>
        <w:t xml:space="preserve"> 12 </w:t>
      </w:r>
      <w:r w:rsidRPr="00EC6EA2">
        <w:rPr>
          <w:lang w:val="fr-FR"/>
        </w:rPr>
        <w:t>de l</w:t>
      </w:r>
      <w:r w:rsidR="00DA7A86">
        <w:rPr>
          <w:lang w:val="fr-FR"/>
        </w:rPr>
        <w:t>’</w:t>
      </w:r>
      <w:r w:rsidRPr="00EC6EA2">
        <w:rPr>
          <w:lang w:val="fr-FR"/>
        </w:rPr>
        <w:t>ordre du jour provisoire</w:t>
      </w:r>
    </w:p>
    <w:p w:rsidR="00F9573C" w:rsidRDefault="00501B41" w:rsidP="00501B41">
      <w:pPr>
        <w:spacing w:line="240" w:lineRule="exact"/>
        <w:rPr>
          <w:b/>
          <w:lang w:val="fr-FR"/>
        </w:rPr>
      </w:pPr>
      <w:r w:rsidRPr="00C3233E">
        <w:rPr>
          <w:b/>
          <w:lang w:val="fr-FR"/>
        </w:rPr>
        <w:t xml:space="preserve">Règlement </w:t>
      </w:r>
      <w:r w:rsidR="00DA7A86" w:rsidRPr="00DA7A86">
        <w:rPr>
          <w:rFonts w:eastAsia="MS Mincho"/>
          <w:b/>
          <w:szCs w:val="22"/>
          <w:lang w:val="fr-FR"/>
        </w:rPr>
        <w:t>n</w:t>
      </w:r>
      <w:r w:rsidR="00DA7A86" w:rsidRPr="00DA7A86">
        <w:rPr>
          <w:rFonts w:eastAsia="MS Mincho"/>
          <w:b/>
          <w:szCs w:val="22"/>
          <w:vertAlign w:val="superscript"/>
          <w:lang w:val="fr-FR"/>
        </w:rPr>
        <w:t>o</w:t>
      </w:r>
      <w:r w:rsidR="00DA7A86">
        <w:rPr>
          <w:rFonts w:eastAsia="MS Mincho"/>
          <w:b/>
          <w:szCs w:val="22"/>
          <w:lang w:val="fr-FR"/>
        </w:rPr>
        <w:t> </w:t>
      </w:r>
      <w:r w:rsidRPr="00C3233E">
        <w:rPr>
          <w:b/>
          <w:lang w:val="fr-FR"/>
        </w:rPr>
        <w:t xml:space="preserve">121 (Identification des commandes manuelles, </w:t>
      </w:r>
      <w:r>
        <w:rPr>
          <w:b/>
          <w:lang w:val="fr-FR"/>
        </w:rPr>
        <w:br/>
      </w:r>
      <w:r w:rsidRPr="00C3233E">
        <w:rPr>
          <w:b/>
          <w:lang w:val="fr-FR"/>
        </w:rPr>
        <w:t>des témoins et des indicateurs</w:t>
      </w:r>
      <w:r w:rsidRPr="00A01495">
        <w:rPr>
          <w:b/>
          <w:lang w:val="fr-FR"/>
        </w:rPr>
        <w:t>)</w:t>
      </w:r>
    </w:p>
    <w:p w:rsidR="00582F90" w:rsidRPr="00A01495" w:rsidRDefault="00582F90" w:rsidP="00582F90">
      <w:pPr>
        <w:pStyle w:val="HChG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 w:rsidRPr="00C3233E">
        <w:rPr>
          <w:sz w:val="26"/>
          <w:szCs w:val="26"/>
          <w:lang w:val="fr-FR"/>
        </w:rPr>
        <w:t>Proposition de complément</w:t>
      </w:r>
      <w:r>
        <w:rPr>
          <w:sz w:val="26"/>
          <w:szCs w:val="26"/>
          <w:lang w:val="fr-FR"/>
        </w:rPr>
        <w:t> </w:t>
      </w:r>
      <w:r w:rsidRPr="00C3233E">
        <w:rPr>
          <w:sz w:val="26"/>
          <w:szCs w:val="26"/>
          <w:lang w:val="fr-FR"/>
        </w:rPr>
        <w:t>1 à la série</w:t>
      </w:r>
      <w:r>
        <w:rPr>
          <w:sz w:val="26"/>
          <w:szCs w:val="26"/>
          <w:lang w:val="fr-FR"/>
        </w:rPr>
        <w:t> </w:t>
      </w:r>
      <w:r w:rsidRPr="00C3233E">
        <w:rPr>
          <w:sz w:val="26"/>
          <w:szCs w:val="26"/>
          <w:lang w:val="fr-FR"/>
        </w:rPr>
        <w:t>01 d</w:t>
      </w:r>
      <w:r w:rsidR="00DA7A86">
        <w:rPr>
          <w:sz w:val="26"/>
          <w:szCs w:val="26"/>
          <w:lang w:val="fr-FR"/>
        </w:rPr>
        <w:t>’</w:t>
      </w:r>
      <w:r w:rsidRPr="00C3233E">
        <w:rPr>
          <w:sz w:val="26"/>
          <w:szCs w:val="26"/>
          <w:lang w:val="fr-FR"/>
        </w:rPr>
        <w:t>amendements au</w:t>
      </w:r>
      <w:r>
        <w:rPr>
          <w:sz w:val="26"/>
          <w:szCs w:val="26"/>
          <w:lang w:val="fr-FR"/>
        </w:rPr>
        <w:t> R</w:t>
      </w:r>
      <w:r w:rsidRPr="00C3233E">
        <w:rPr>
          <w:sz w:val="26"/>
          <w:szCs w:val="26"/>
          <w:lang w:val="fr-FR"/>
        </w:rPr>
        <w:t xml:space="preserve">èglement </w:t>
      </w:r>
      <w:r>
        <w:rPr>
          <w:sz w:val="26"/>
          <w:szCs w:val="26"/>
          <w:lang w:val="fr-FR"/>
        </w:rPr>
        <w:t>n</w:t>
      </w:r>
      <w:r w:rsidRPr="00C3233E">
        <w:rPr>
          <w:sz w:val="26"/>
          <w:szCs w:val="26"/>
          <w:vertAlign w:val="superscript"/>
          <w:lang w:val="fr-FR"/>
        </w:rPr>
        <w:t>o</w:t>
      </w:r>
      <w:r>
        <w:rPr>
          <w:sz w:val="26"/>
          <w:szCs w:val="26"/>
          <w:lang w:val="fr-FR"/>
        </w:rPr>
        <w:t> </w:t>
      </w:r>
      <w:r w:rsidRPr="00A01495">
        <w:rPr>
          <w:sz w:val="26"/>
          <w:szCs w:val="26"/>
          <w:lang w:val="fr-FR"/>
        </w:rPr>
        <w:t>121 (</w:t>
      </w:r>
      <w:r w:rsidRPr="00C3233E">
        <w:rPr>
          <w:sz w:val="26"/>
          <w:szCs w:val="26"/>
          <w:lang w:val="fr-FR"/>
        </w:rPr>
        <w:t xml:space="preserve">Identification des commandes </w:t>
      </w:r>
      <w:r>
        <w:rPr>
          <w:sz w:val="26"/>
          <w:szCs w:val="26"/>
          <w:lang w:val="fr-FR"/>
        </w:rPr>
        <w:br/>
      </w:r>
      <w:r w:rsidRPr="00C3233E">
        <w:rPr>
          <w:sz w:val="26"/>
          <w:szCs w:val="26"/>
          <w:lang w:val="fr-FR"/>
        </w:rPr>
        <w:t>manuelles, des</w:t>
      </w:r>
      <w:r>
        <w:rPr>
          <w:sz w:val="26"/>
          <w:szCs w:val="26"/>
          <w:lang w:val="fr-FR"/>
        </w:rPr>
        <w:t xml:space="preserve"> </w:t>
      </w:r>
      <w:r w:rsidRPr="00C3233E">
        <w:rPr>
          <w:sz w:val="26"/>
          <w:szCs w:val="26"/>
          <w:lang w:val="fr-FR"/>
        </w:rPr>
        <w:t>témoins et</w:t>
      </w:r>
      <w:r>
        <w:rPr>
          <w:sz w:val="26"/>
          <w:szCs w:val="26"/>
          <w:lang w:val="fr-FR"/>
        </w:rPr>
        <w:t xml:space="preserve"> </w:t>
      </w:r>
      <w:r w:rsidRPr="00C3233E">
        <w:rPr>
          <w:sz w:val="26"/>
          <w:szCs w:val="26"/>
          <w:lang w:val="fr-FR"/>
        </w:rPr>
        <w:t>des indicateurs</w:t>
      </w:r>
      <w:r w:rsidRPr="00A01495">
        <w:rPr>
          <w:sz w:val="26"/>
          <w:szCs w:val="26"/>
          <w:lang w:val="fr-FR"/>
        </w:rPr>
        <w:t>)</w:t>
      </w:r>
    </w:p>
    <w:p w:rsidR="00582F90" w:rsidRDefault="00582F90" w:rsidP="00582F90">
      <w:pPr>
        <w:pStyle w:val="H1G"/>
        <w:tabs>
          <w:tab w:val="clear" w:pos="851"/>
        </w:tabs>
        <w:ind w:firstLine="0"/>
        <w:rPr>
          <w:lang w:val="fr-FR"/>
        </w:rPr>
      </w:pPr>
      <w:r w:rsidRPr="00C3233E">
        <w:rPr>
          <w:lang w:val="fr-FR"/>
        </w:rPr>
        <w:t>Communication de l</w:t>
      </w:r>
      <w:r w:rsidR="00DA7A86">
        <w:rPr>
          <w:lang w:val="fr-FR"/>
        </w:rPr>
        <w:t>’</w:t>
      </w:r>
      <w:r w:rsidRPr="00C3233E">
        <w:rPr>
          <w:lang w:val="fr-FR"/>
        </w:rPr>
        <w:t>expert de l</w:t>
      </w:r>
      <w:r w:rsidR="00DA7A86">
        <w:rPr>
          <w:lang w:val="fr-FR"/>
        </w:rPr>
        <w:t>’</w:t>
      </w:r>
      <w:r w:rsidRPr="00C3233E">
        <w:rPr>
          <w:lang w:val="fr-FR"/>
        </w:rPr>
        <w:t>Organisation internationale des</w:t>
      </w:r>
      <w:r>
        <w:rPr>
          <w:lang w:val="fr-FR"/>
        </w:rPr>
        <w:t> </w:t>
      </w:r>
      <w:r w:rsidRPr="00C3233E">
        <w:rPr>
          <w:lang w:val="fr-FR"/>
        </w:rPr>
        <w:t>constructeurs d</w:t>
      </w:r>
      <w:r w:rsidR="00DA7A86">
        <w:rPr>
          <w:lang w:val="fr-FR"/>
        </w:rPr>
        <w:t>’</w:t>
      </w:r>
      <w:r w:rsidRPr="00C3233E">
        <w:rPr>
          <w:lang w:val="fr-FR"/>
        </w:rPr>
        <w:t>automobiles</w:t>
      </w:r>
      <w:r w:rsidRPr="00706531">
        <w:rPr>
          <w:b w:val="0"/>
          <w:sz w:val="20"/>
          <w:lang w:val="fr-FR"/>
        </w:rPr>
        <w:footnoteReference w:customMarkFollows="1" w:id="2"/>
        <w:t>*</w:t>
      </w:r>
    </w:p>
    <w:p w:rsidR="00582F90" w:rsidRPr="00A01495" w:rsidRDefault="00582F90" w:rsidP="00582F90">
      <w:pPr>
        <w:tabs>
          <w:tab w:val="left" w:pos="1418"/>
        </w:tabs>
        <w:ind w:left="1134" w:right="1134" w:firstLine="567"/>
        <w:jc w:val="both"/>
        <w:rPr>
          <w:lang w:val="fr-FR"/>
        </w:rPr>
      </w:pPr>
      <w:r w:rsidRPr="00182652">
        <w:rPr>
          <w:lang w:val="fr-FR"/>
        </w:rPr>
        <w:t>Le texte reproduit ci-après, qui a été établi par l</w:t>
      </w:r>
      <w:r w:rsidR="00DA7A86">
        <w:rPr>
          <w:lang w:val="fr-FR"/>
        </w:rPr>
        <w:t>’</w:t>
      </w:r>
      <w:r w:rsidRPr="00182652">
        <w:rPr>
          <w:lang w:val="fr-FR"/>
        </w:rPr>
        <w:t>expert de l</w:t>
      </w:r>
      <w:r w:rsidR="00DA7A86">
        <w:rPr>
          <w:lang w:val="fr-FR"/>
        </w:rPr>
        <w:t>’</w:t>
      </w:r>
      <w:r w:rsidRPr="00182652">
        <w:rPr>
          <w:lang w:val="fr-FR"/>
        </w:rPr>
        <w:t>Organisation internationale des constructeurs d</w:t>
      </w:r>
      <w:r w:rsidR="00DA7A86">
        <w:rPr>
          <w:lang w:val="fr-FR"/>
        </w:rPr>
        <w:t>’</w:t>
      </w:r>
      <w:r w:rsidRPr="00182652">
        <w:rPr>
          <w:lang w:val="fr-FR"/>
        </w:rPr>
        <w:t>automobiles (OICA),</w:t>
      </w:r>
      <w:r>
        <w:rPr>
          <w:lang w:val="fr-FR"/>
        </w:rPr>
        <w:t xml:space="preserve"> vise à harmoniser</w:t>
      </w:r>
      <w:r w:rsidRPr="00182652">
        <w:rPr>
          <w:lang w:val="fr-FR"/>
        </w:rPr>
        <w:t xml:space="preserve"> le</w:t>
      </w:r>
      <w:r>
        <w:rPr>
          <w:lang w:val="fr-FR"/>
        </w:rPr>
        <w:t>s dispositions du Règlement n</w:t>
      </w:r>
      <w:r w:rsidRPr="00182652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182652">
        <w:rPr>
          <w:lang w:val="fr-FR"/>
        </w:rPr>
        <w:t>121 de l</w:t>
      </w:r>
      <w:r w:rsidR="00DA7A86">
        <w:rPr>
          <w:lang w:val="fr-FR"/>
        </w:rPr>
        <w:t>’</w:t>
      </w:r>
      <w:r w:rsidRPr="00182652">
        <w:rPr>
          <w:lang w:val="fr-FR"/>
        </w:rPr>
        <w:t xml:space="preserve">ONU </w:t>
      </w:r>
      <w:r>
        <w:rPr>
          <w:lang w:val="fr-FR"/>
        </w:rPr>
        <w:t xml:space="preserve">avec celles </w:t>
      </w:r>
      <w:r w:rsidRPr="00182652">
        <w:rPr>
          <w:lang w:val="fr-FR"/>
        </w:rPr>
        <w:t>de la série 07 d</w:t>
      </w:r>
      <w:r w:rsidR="00DA7A86">
        <w:rPr>
          <w:lang w:val="fr-FR"/>
        </w:rPr>
        <w:t>’</w:t>
      </w:r>
      <w:r w:rsidRPr="00182652">
        <w:rPr>
          <w:lang w:val="fr-FR"/>
        </w:rPr>
        <w:t xml:space="preserve">amendements au </w:t>
      </w:r>
      <w:r>
        <w:rPr>
          <w:lang w:val="fr-FR"/>
        </w:rPr>
        <w:t>Règlement</w:t>
      </w:r>
      <w:r w:rsidR="00F34546">
        <w:rPr>
          <w:lang w:val="fr-FR"/>
        </w:rPr>
        <w:t> </w:t>
      </w:r>
      <w:r>
        <w:rPr>
          <w:lang w:val="fr-FR"/>
        </w:rPr>
        <w:t>n</w:t>
      </w:r>
      <w:r w:rsidRPr="00182652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182652">
        <w:rPr>
          <w:lang w:val="fr-FR"/>
        </w:rPr>
        <w:t>16. Les modifications qu</w:t>
      </w:r>
      <w:r w:rsidR="00DA7A86">
        <w:rPr>
          <w:lang w:val="fr-FR"/>
        </w:rPr>
        <w:t>’</w:t>
      </w:r>
      <w:r w:rsidRPr="00182652">
        <w:rPr>
          <w:lang w:val="fr-FR"/>
        </w:rPr>
        <w:t>il est proposé d</w:t>
      </w:r>
      <w:r w:rsidR="00DA7A86">
        <w:rPr>
          <w:lang w:val="fr-FR"/>
        </w:rPr>
        <w:t>’</w:t>
      </w:r>
      <w:r w:rsidRPr="00182652">
        <w:rPr>
          <w:lang w:val="fr-FR"/>
        </w:rPr>
        <w:t xml:space="preserve">apporter au texte actuel du Règlement sont signalées en </w:t>
      </w:r>
      <w:r w:rsidRPr="00182652">
        <w:rPr>
          <w:b/>
          <w:lang w:val="fr-FR"/>
        </w:rPr>
        <w:t>caractères gras</w:t>
      </w:r>
      <w:r w:rsidRPr="00182652">
        <w:rPr>
          <w:lang w:val="fr-FR"/>
        </w:rPr>
        <w:t xml:space="preserve"> pour les </w:t>
      </w:r>
      <w:r>
        <w:rPr>
          <w:lang w:val="fr-FR"/>
        </w:rPr>
        <w:t xml:space="preserve">ajouts </w:t>
      </w:r>
      <w:r w:rsidRPr="00182652">
        <w:rPr>
          <w:lang w:val="fr-FR"/>
        </w:rPr>
        <w:t xml:space="preserve">ou </w:t>
      </w:r>
      <w:r w:rsidRPr="00182652">
        <w:rPr>
          <w:strike/>
          <w:lang w:val="fr-FR"/>
        </w:rPr>
        <w:t>biffés</w:t>
      </w:r>
      <w:r w:rsidRPr="00182652">
        <w:rPr>
          <w:lang w:val="fr-FR"/>
        </w:rPr>
        <w:t xml:space="preserve"> pour les </w:t>
      </w:r>
      <w:r>
        <w:rPr>
          <w:lang w:val="fr-FR"/>
        </w:rPr>
        <w:t>suppression</w:t>
      </w:r>
      <w:r w:rsidRPr="00182652">
        <w:rPr>
          <w:lang w:val="fr-FR"/>
        </w:rPr>
        <w:t>s</w:t>
      </w:r>
      <w:r w:rsidRPr="00A01495">
        <w:rPr>
          <w:lang w:val="fr-FR"/>
        </w:rPr>
        <w:t>.</w:t>
      </w:r>
    </w:p>
    <w:p w:rsidR="00582F90" w:rsidRPr="00A01495" w:rsidRDefault="00582F90" w:rsidP="00284606">
      <w:pPr>
        <w:pStyle w:val="HChG"/>
        <w:rPr>
          <w:lang w:val="fr-FR"/>
        </w:rPr>
      </w:pPr>
      <w:r w:rsidRPr="00A01495">
        <w:rPr>
          <w:lang w:val="fr-FR"/>
        </w:rPr>
        <w:br w:type="page"/>
      </w:r>
      <w:r w:rsidR="00284606">
        <w:rPr>
          <w:lang w:val="fr-FR"/>
        </w:rPr>
        <w:lastRenderedPageBreak/>
        <w:tab/>
      </w:r>
      <w:r w:rsidR="00284606">
        <w:rPr>
          <w:lang w:val="fr-FR"/>
        </w:rPr>
        <w:tab/>
      </w:r>
      <w:r>
        <w:rPr>
          <w:lang w:val="fr-FR"/>
        </w:rPr>
        <w:t>I.</w:t>
      </w:r>
      <w:r>
        <w:rPr>
          <w:lang w:val="fr-FR"/>
        </w:rPr>
        <w:tab/>
        <w:t>Proposition</w:t>
      </w:r>
    </w:p>
    <w:p w:rsidR="00582F90" w:rsidRPr="001F5AA0" w:rsidRDefault="00582F90" w:rsidP="00833C56">
      <w:pPr>
        <w:tabs>
          <w:tab w:val="left" w:pos="8505"/>
        </w:tabs>
        <w:spacing w:before="120" w:after="120" w:line="240" w:lineRule="auto"/>
        <w:ind w:left="1134" w:right="1134"/>
        <w:jc w:val="both"/>
        <w:rPr>
          <w:spacing w:val="-4"/>
          <w:lang w:val="fr-FR"/>
        </w:rPr>
      </w:pPr>
      <w:r w:rsidRPr="001F5AA0">
        <w:rPr>
          <w:i/>
          <w:iCs/>
          <w:spacing w:val="-4"/>
          <w:lang w:val="fr-FR"/>
        </w:rPr>
        <w:t>Paragraphe 5.5</w:t>
      </w:r>
      <w:r w:rsidRPr="001F5AA0">
        <w:rPr>
          <w:iCs/>
          <w:spacing w:val="-4"/>
          <w:lang w:val="fr-FR"/>
        </w:rPr>
        <w:t>,</w:t>
      </w:r>
      <w:r w:rsidRPr="001F5AA0">
        <w:rPr>
          <w:i/>
          <w:iCs/>
          <w:spacing w:val="-4"/>
          <w:lang w:val="fr-FR"/>
        </w:rPr>
        <w:t xml:space="preserve"> </w:t>
      </w:r>
      <w:proofErr w:type="gramStart"/>
      <w:r w:rsidRPr="001F5AA0">
        <w:rPr>
          <w:iCs/>
          <w:spacing w:val="-4"/>
          <w:lang w:val="fr-FR"/>
        </w:rPr>
        <w:t>modifier</w:t>
      </w:r>
      <w:proofErr w:type="gramEnd"/>
      <w:r w:rsidRPr="001F5AA0">
        <w:rPr>
          <w:iCs/>
          <w:spacing w:val="-4"/>
          <w:lang w:val="fr-FR"/>
        </w:rPr>
        <w:t xml:space="preserve"> comme suit (y</w:t>
      </w:r>
      <w:r w:rsidR="001F5AA0" w:rsidRPr="001F5AA0">
        <w:rPr>
          <w:iCs/>
          <w:spacing w:val="-4"/>
          <w:lang w:val="fr-FR"/>
        </w:rPr>
        <w:t> </w:t>
      </w:r>
      <w:r w:rsidRPr="001F5AA0">
        <w:rPr>
          <w:iCs/>
          <w:spacing w:val="-4"/>
          <w:lang w:val="fr-FR"/>
        </w:rPr>
        <w:t>compris l</w:t>
      </w:r>
      <w:r w:rsidR="00DA7A86">
        <w:rPr>
          <w:iCs/>
          <w:spacing w:val="-4"/>
          <w:lang w:val="fr-FR"/>
        </w:rPr>
        <w:t>’</w:t>
      </w:r>
      <w:r w:rsidRPr="001F5AA0">
        <w:rPr>
          <w:iCs/>
          <w:spacing w:val="-4"/>
          <w:lang w:val="fr-FR"/>
        </w:rPr>
        <w:t>insertion d</w:t>
      </w:r>
      <w:r w:rsidR="00DA7A86">
        <w:rPr>
          <w:iCs/>
          <w:spacing w:val="-4"/>
          <w:lang w:val="fr-FR"/>
        </w:rPr>
        <w:t>’</w:t>
      </w:r>
      <w:r w:rsidRPr="001F5AA0">
        <w:rPr>
          <w:iCs/>
          <w:spacing w:val="-4"/>
          <w:lang w:val="fr-FR"/>
        </w:rPr>
        <w:t>un nouveau paragraphe</w:t>
      </w:r>
      <w:r w:rsidR="001F5AA0" w:rsidRPr="001F5AA0">
        <w:rPr>
          <w:iCs/>
          <w:spacing w:val="-4"/>
          <w:lang w:val="fr-FR"/>
        </w:rPr>
        <w:t> </w:t>
      </w:r>
      <w:r w:rsidRPr="001F5AA0">
        <w:rPr>
          <w:iCs/>
          <w:spacing w:val="-4"/>
          <w:lang w:val="fr-FR"/>
        </w:rPr>
        <w:t>5.5.1.7) :</w:t>
      </w:r>
    </w:p>
    <w:p w:rsidR="00582F90" w:rsidRPr="00A01495" w:rsidRDefault="00582F90" w:rsidP="00833C56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</w:t>
      </w:r>
      <w:r w:rsidR="00833C56">
        <w:rPr>
          <w:lang w:val="fr-FR"/>
        </w:rPr>
        <w:t> </w:t>
      </w:r>
      <w:r w:rsidRPr="00A01495">
        <w:rPr>
          <w:lang w:val="fr-FR"/>
        </w:rPr>
        <w:t>5.5</w:t>
      </w:r>
      <w:r w:rsidRPr="00A01495">
        <w:rPr>
          <w:lang w:val="fr-FR"/>
        </w:rPr>
        <w:tab/>
      </w:r>
      <w:r w:rsidRPr="00A01495">
        <w:rPr>
          <w:lang w:val="fr-FR"/>
        </w:rPr>
        <w:tab/>
      </w:r>
      <w:r>
        <w:rPr>
          <w:lang w:val="fr-FR"/>
        </w:rPr>
        <w:t xml:space="preserve">Emplacement </w:t>
      </w:r>
      <w:r w:rsidRPr="00776B13">
        <w:rPr>
          <w:b/>
          <w:lang w:val="fr-FR"/>
        </w:rPr>
        <w:t>commun d</w:t>
      </w:r>
      <w:r w:rsidR="00DA7A86">
        <w:rPr>
          <w:b/>
          <w:lang w:val="fr-FR"/>
        </w:rPr>
        <w:t>’</w:t>
      </w:r>
      <w:r w:rsidRPr="00776B13">
        <w:rPr>
          <w:b/>
          <w:lang w:val="fr-FR"/>
        </w:rPr>
        <w:t>affichage d</w:t>
      </w:r>
      <w:r w:rsidR="00DA7A86">
        <w:rPr>
          <w:b/>
          <w:lang w:val="fr-FR"/>
        </w:rPr>
        <w:t>’</w:t>
      </w:r>
      <w:r w:rsidRPr="00776B13">
        <w:rPr>
          <w:b/>
          <w:lang w:val="fr-FR"/>
        </w:rPr>
        <w:t>informations multiples</w:t>
      </w:r>
    </w:p>
    <w:p w:rsidR="00582F90" w:rsidRDefault="00833C56" w:rsidP="00833C56">
      <w:pPr>
        <w:pStyle w:val="SingleTxtG"/>
        <w:ind w:left="2268" w:hanging="1134"/>
        <w:rPr>
          <w:lang w:val="fr-FR"/>
        </w:rPr>
      </w:pPr>
      <w:r>
        <w:rPr>
          <w:lang w:val="fr-FR"/>
        </w:rPr>
        <w:t>5.5.1</w:t>
      </w:r>
      <w:r>
        <w:rPr>
          <w:lang w:val="fr-FR"/>
        </w:rPr>
        <w:tab/>
        <w:t>Un emplacement commun</w:t>
      </w:r>
      <w:r w:rsidR="00582F90">
        <w:rPr>
          <w:lang w:val="fr-FR"/>
        </w:rPr>
        <w:t>…</w:t>
      </w:r>
    </w:p>
    <w:p w:rsidR="00582F90" w:rsidRPr="00A01495" w:rsidRDefault="00582F90" w:rsidP="00833C56">
      <w:pPr>
        <w:pStyle w:val="SingleTxtG"/>
        <w:ind w:left="2268"/>
        <w:rPr>
          <w:lang w:val="fr-FR"/>
        </w:rPr>
      </w:pPr>
      <w:r>
        <w:rPr>
          <w:lang w:val="fr-FR"/>
        </w:rPr>
        <w:tab/>
        <w:t>…</w:t>
      </w:r>
    </w:p>
    <w:p w:rsidR="00582F90" w:rsidRPr="00A01495" w:rsidRDefault="00582F90" w:rsidP="00284606">
      <w:pPr>
        <w:pStyle w:val="SingleTxtG"/>
        <w:ind w:left="2268" w:hanging="1134"/>
        <w:rPr>
          <w:lang w:val="fr-FR"/>
        </w:rPr>
      </w:pPr>
      <w:r w:rsidRPr="00A01495">
        <w:rPr>
          <w:lang w:val="fr-FR"/>
        </w:rPr>
        <w:t>5.5.1.3</w:t>
      </w:r>
      <w:r w:rsidRPr="00A01495">
        <w:rPr>
          <w:lang w:val="fr-FR"/>
        </w:rPr>
        <w:tab/>
        <w:t>Les témoins d</w:t>
      </w:r>
      <w:r w:rsidR="00DA7A86">
        <w:rPr>
          <w:lang w:val="fr-FR"/>
        </w:rPr>
        <w:t>’</w:t>
      </w:r>
      <w:r w:rsidRPr="00A01495">
        <w:rPr>
          <w:lang w:val="fr-FR"/>
        </w:rPr>
        <w:t>un mauvais fonctionnement du s</w:t>
      </w:r>
      <w:r>
        <w:rPr>
          <w:lang w:val="fr-FR"/>
        </w:rPr>
        <w:t>ystème de freinage, des feux de</w:t>
      </w:r>
      <w:r w:rsidRPr="00A01495">
        <w:rPr>
          <w:lang w:val="fr-FR"/>
        </w:rPr>
        <w:t xml:space="preserve"> route, des feux indicateurs de direction et des ceintures de sécurité ne doivent pas apparaître sur le même emplacement commun</w:t>
      </w:r>
      <w:r>
        <w:rPr>
          <w:lang w:val="fr-FR"/>
        </w:rPr>
        <w:t> </w:t>
      </w:r>
      <w:r w:rsidRPr="00A01495">
        <w:rPr>
          <w:lang w:val="fr-FR"/>
        </w:rPr>
        <w:t>;</w:t>
      </w:r>
    </w:p>
    <w:p w:rsidR="00582F90" w:rsidRPr="00A01495" w:rsidRDefault="00582F90" w:rsidP="00284606">
      <w:pPr>
        <w:pStyle w:val="SingleTxtG"/>
        <w:ind w:left="2268" w:hanging="1134"/>
        <w:rPr>
          <w:lang w:val="fr-FR"/>
        </w:rPr>
      </w:pPr>
      <w:r w:rsidRPr="00A01495">
        <w:rPr>
          <w:lang w:val="fr-FR"/>
        </w:rPr>
        <w:t>5.5.1.4</w:t>
      </w:r>
      <w:r w:rsidRPr="00A01495">
        <w:rPr>
          <w:lang w:val="fr-FR"/>
        </w:rPr>
        <w:tab/>
        <w:t>Si un témoin d</w:t>
      </w:r>
      <w:r w:rsidR="00DA7A86">
        <w:rPr>
          <w:lang w:val="fr-FR"/>
        </w:rPr>
        <w:t>’</w:t>
      </w:r>
      <w:r w:rsidRPr="00A01495">
        <w:rPr>
          <w:lang w:val="fr-FR"/>
        </w:rPr>
        <w:t>un mauvais fonctionnement du s</w:t>
      </w:r>
      <w:r>
        <w:rPr>
          <w:lang w:val="fr-FR"/>
        </w:rPr>
        <w:t>ystème de freinage, d</w:t>
      </w:r>
      <w:r w:rsidR="00DA7A86">
        <w:rPr>
          <w:lang w:val="fr-FR"/>
        </w:rPr>
        <w:t>’</w:t>
      </w:r>
      <w:r>
        <w:rPr>
          <w:lang w:val="fr-FR"/>
        </w:rPr>
        <w:t>un feu de</w:t>
      </w:r>
      <w:r w:rsidRPr="00A01495">
        <w:rPr>
          <w:lang w:val="fr-FR"/>
        </w:rPr>
        <w:t xml:space="preserve"> route, d</w:t>
      </w:r>
      <w:r w:rsidR="00DA7A86">
        <w:rPr>
          <w:lang w:val="fr-FR"/>
        </w:rPr>
        <w:t>’</w:t>
      </w:r>
      <w:r w:rsidRPr="00A01495">
        <w:rPr>
          <w:lang w:val="fr-FR"/>
        </w:rPr>
        <w:t>un feu indicateur de direction ou des ceintures de sécurité apparaît sur un emplacement commun, il doit remplacer tout autre symbole sur cet emplacement commun s</w:t>
      </w:r>
      <w:r w:rsidR="00DA7A86">
        <w:rPr>
          <w:lang w:val="fr-FR"/>
        </w:rPr>
        <w:t>’</w:t>
      </w:r>
      <w:r w:rsidRPr="00A01495">
        <w:rPr>
          <w:lang w:val="fr-FR"/>
        </w:rPr>
        <w:t>il se produit la situation à l</w:t>
      </w:r>
      <w:r w:rsidR="00DA7A86">
        <w:rPr>
          <w:lang w:val="fr-FR"/>
        </w:rPr>
        <w:t>’</w:t>
      </w:r>
      <w:r w:rsidRPr="00A01495">
        <w:rPr>
          <w:lang w:val="fr-FR"/>
        </w:rPr>
        <w:t xml:space="preserve">origine de son </w:t>
      </w:r>
      <w:r>
        <w:rPr>
          <w:lang w:val="fr-FR"/>
        </w:rPr>
        <w:t>activation </w:t>
      </w:r>
      <w:r w:rsidRPr="00A01495">
        <w:rPr>
          <w:lang w:val="fr-FR"/>
        </w:rPr>
        <w:t>;</w:t>
      </w:r>
    </w:p>
    <w:p w:rsidR="00582F90" w:rsidRPr="00A01495" w:rsidRDefault="00582F90" w:rsidP="00284606">
      <w:pPr>
        <w:pStyle w:val="SingleTxtG"/>
        <w:ind w:left="2268" w:hanging="1134"/>
        <w:rPr>
          <w:lang w:val="fr-FR"/>
        </w:rPr>
      </w:pPr>
      <w:r w:rsidRPr="00A01495">
        <w:rPr>
          <w:lang w:val="fr-FR"/>
        </w:rPr>
        <w:t>5.5.1.5</w:t>
      </w:r>
      <w:r w:rsidRPr="00A01495">
        <w:rPr>
          <w:lang w:val="fr-FR"/>
        </w:rPr>
        <w:tab/>
        <w:t>À l</w:t>
      </w:r>
      <w:r w:rsidR="00DA7A86">
        <w:rPr>
          <w:lang w:val="fr-FR"/>
        </w:rPr>
        <w:t>’</w:t>
      </w:r>
      <w:r w:rsidRPr="00A01495">
        <w:rPr>
          <w:lang w:val="fr-FR"/>
        </w:rPr>
        <w:t>exception des témoins d</w:t>
      </w:r>
      <w:r w:rsidR="00DA7A86">
        <w:rPr>
          <w:lang w:val="fr-FR"/>
        </w:rPr>
        <w:t>’</w:t>
      </w:r>
      <w:r w:rsidRPr="00A01495">
        <w:rPr>
          <w:lang w:val="fr-FR"/>
        </w:rPr>
        <w:t>un mauvais fonctionnement du système de freinage, d</w:t>
      </w:r>
      <w:r w:rsidR="00DA7A86">
        <w:rPr>
          <w:lang w:val="fr-FR"/>
        </w:rPr>
        <w:t>’</w:t>
      </w:r>
      <w:r w:rsidRPr="00A01495">
        <w:rPr>
          <w:lang w:val="fr-FR"/>
        </w:rPr>
        <w:t>un feu de route, d</w:t>
      </w:r>
      <w:r w:rsidR="00DA7A86">
        <w:rPr>
          <w:lang w:val="fr-FR"/>
        </w:rPr>
        <w:t>’</w:t>
      </w:r>
      <w:r w:rsidRPr="00A01495">
        <w:rPr>
          <w:lang w:val="fr-FR"/>
        </w:rPr>
        <w:t>un indicateur de direction ou des ceintures de sécurité, l</w:t>
      </w:r>
      <w:r w:rsidR="00DA7A86">
        <w:rPr>
          <w:lang w:val="fr-FR"/>
        </w:rPr>
        <w:t>’</w:t>
      </w:r>
      <w:r w:rsidRPr="00A01495">
        <w:rPr>
          <w:lang w:val="fr-FR"/>
        </w:rPr>
        <w:t>information peut être supprimée automatiquement ou par le conducteur</w:t>
      </w:r>
      <w:r>
        <w:rPr>
          <w:lang w:val="fr-FR"/>
        </w:rPr>
        <w:t> </w:t>
      </w:r>
      <w:r w:rsidRPr="00A01495">
        <w:rPr>
          <w:lang w:val="fr-FR"/>
        </w:rPr>
        <w:t>;</w:t>
      </w:r>
    </w:p>
    <w:p w:rsidR="00582F90" w:rsidRDefault="00582F90" w:rsidP="00284606">
      <w:pPr>
        <w:pStyle w:val="SingleTxtG"/>
        <w:ind w:left="2268" w:hanging="1134"/>
        <w:rPr>
          <w:lang w:val="fr-FR"/>
        </w:rPr>
      </w:pPr>
      <w:r w:rsidRPr="00A01495">
        <w:rPr>
          <w:lang w:val="fr-FR"/>
        </w:rPr>
        <w:t>5.5.1.6</w:t>
      </w:r>
      <w:r w:rsidRPr="00A01495">
        <w:rPr>
          <w:lang w:val="fr-FR"/>
        </w:rPr>
        <w:tab/>
      </w:r>
      <w:r>
        <w:rPr>
          <w:lang w:val="fr-FR"/>
        </w:rPr>
        <w:t>Sauf mention dans un R</w:t>
      </w:r>
      <w:r w:rsidRPr="00A01495">
        <w:rPr>
          <w:lang w:val="fr-FR"/>
        </w:rPr>
        <w:t>èglement particulier, les prescriptions relatives à la couleur des témoins ne s</w:t>
      </w:r>
      <w:r w:rsidR="00DA7A86">
        <w:rPr>
          <w:lang w:val="fr-FR"/>
        </w:rPr>
        <w:t>’</w:t>
      </w:r>
      <w:r w:rsidRPr="00A01495">
        <w:rPr>
          <w:lang w:val="fr-FR"/>
        </w:rPr>
        <w:t>appliquent pas lorsque ceux-ci apparaissent sur un emplacement commun.</w:t>
      </w:r>
    </w:p>
    <w:p w:rsidR="00582F90" w:rsidRPr="00596024" w:rsidRDefault="00582F90" w:rsidP="00284606">
      <w:pPr>
        <w:pStyle w:val="SingleTxtG"/>
        <w:ind w:left="2268" w:hanging="1134"/>
        <w:rPr>
          <w:lang w:val="fr-FR"/>
        </w:rPr>
      </w:pPr>
      <w:r w:rsidRPr="00596024">
        <w:rPr>
          <w:b/>
          <w:lang w:val="fr-FR"/>
        </w:rPr>
        <w:t>5.5.1.7</w:t>
      </w:r>
      <w:r w:rsidRPr="00596024">
        <w:rPr>
          <w:b/>
          <w:lang w:val="fr-FR"/>
        </w:rPr>
        <w:tab/>
      </w:r>
      <w:r>
        <w:rPr>
          <w:b/>
          <w:lang w:val="fr-FR"/>
        </w:rPr>
        <w:t>Les paragraphes 5.5.1.3 à 5.5.1.5</w:t>
      </w:r>
      <w:r w:rsidRPr="00596024">
        <w:rPr>
          <w:b/>
          <w:lang w:val="fr-FR"/>
        </w:rPr>
        <w:t xml:space="preserve"> ne sont pas applicables </w:t>
      </w:r>
      <w:r>
        <w:rPr>
          <w:b/>
          <w:lang w:val="fr-FR"/>
        </w:rPr>
        <w:t xml:space="preserve">aux </w:t>
      </w:r>
      <w:r w:rsidRPr="00596024">
        <w:rPr>
          <w:b/>
          <w:lang w:val="fr-FR"/>
        </w:rPr>
        <w:t xml:space="preserve">témoins de </w:t>
      </w:r>
      <w:r>
        <w:rPr>
          <w:b/>
          <w:lang w:val="fr-FR"/>
        </w:rPr>
        <w:t>port</w:t>
      </w:r>
      <w:r w:rsidRPr="00596024">
        <w:rPr>
          <w:b/>
          <w:lang w:val="fr-FR"/>
        </w:rPr>
        <w:t xml:space="preserve"> de ceinture de sécurité </w:t>
      </w:r>
      <w:r>
        <w:rPr>
          <w:b/>
          <w:lang w:val="fr-FR"/>
        </w:rPr>
        <w:t>de la ou des</w:t>
      </w:r>
      <w:r w:rsidRPr="00596024">
        <w:rPr>
          <w:b/>
          <w:lang w:val="fr-FR"/>
        </w:rPr>
        <w:t xml:space="preserve"> rangée</w:t>
      </w:r>
      <w:r>
        <w:rPr>
          <w:b/>
          <w:lang w:val="fr-FR"/>
        </w:rPr>
        <w:t>(s) de sièges</w:t>
      </w:r>
      <w:r w:rsidRPr="00596024">
        <w:rPr>
          <w:b/>
          <w:lang w:val="fr-FR"/>
        </w:rPr>
        <w:t xml:space="preserve"> autre</w:t>
      </w:r>
      <w:r>
        <w:rPr>
          <w:b/>
          <w:lang w:val="fr-FR"/>
        </w:rPr>
        <w:t>(s)</w:t>
      </w:r>
      <w:r w:rsidRPr="00596024">
        <w:rPr>
          <w:b/>
          <w:lang w:val="fr-FR"/>
        </w:rPr>
        <w:t xml:space="preserve"> que la rangée</w:t>
      </w:r>
      <w:r>
        <w:rPr>
          <w:b/>
          <w:lang w:val="fr-FR"/>
        </w:rPr>
        <w:t xml:space="preserve"> avant.</w:t>
      </w:r>
      <w:r w:rsidR="00315C89">
        <w:rPr>
          <w:b/>
          <w:lang w:val="fr-FR"/>
        </w:rPr>
        <w:t> </w:t>
      </w:r>
      <w:r>
        <w:rPr>
          <w:lang w:val="fr-FR"/>
        </w:rPr>
        <w:t>».</w:t>
      </w:r>
    </w:p>
    <w:p w:rsidR="00582F90" w:rsidRPr="00A01495" w:rsidRDefault="00582F90" w:rsidP="00284606">
      <w:pPr>
        <w:pStyle w:val="SingleTxtG"/>
        <w:rPr>
          <w:lang w:val="fr-FR"/>
        </w:rPr>
      </w:pPr>
      <w:r w:rsidRPr="00A01495">
        <w:rPr>
          <w:i/>
          <w:lang w:val="fr-FR"/>
        </w:rPr>
        <w:t>Table</w:t>
      </w:r>
      <w:r>
        <w:rPr>
          <w:i/>
          <w:lang w:val="fr-FR"/>
        </w:rPr>
        <w:t>au</w:t>
      </w:r>
      <w:r w:rsidRPr="00A01495">
        <w:rPr>
          <w:i/>
          <w:lang w:val="fr-FR"/>
        </w:rPr>
        <w:t xml:space="preserve"> 1, </w:t>
      </w:r>
      <w:r>
        <w:rPr>
          <w:i/>
          <w:lang w:val="fr-FR"/>
        </w:rPr>
        <w:t>rangée</w:t>
      </w:r>
      <w:r w:rsidRPr="00A01495">
        <w:rPr>
          <w:i/>
          <w:lang w:val="fr-FR"/>
        </w:rPr>
        <w:t xml:space="preserve"> </w:t>
      </w:r>
      <w:r>
        <w:rPr>
          <w:i/>
          <w:lang w:val="fr-FR"/>
        </w:rPr>
        <w:t>n</w:t>
      </w:r>
      <w:r w:rsidRPr="00596024">
        <w:rPr>
          <w:i/>
          <w:vertAlign w:val="superscript"/>
          <w:lang w:val="fr-FR"/>
        </w:rPr>
        <w:t>o</w:t>
      </w:r>
      <w:r>
        <w:rPr>
          <w:i/>
          <w:lang w:val="fr-FR"/>
        </w:rPr>
        <w:t> </w:t>
      </w:r>
      <w:r w:rsidRPr="00A01495">
        <w:rPr>
          <w:i/>
          <w:lang w:val="fr-FR"/>
        </w:rPr>
        <w:t>21</w:t>
      </w:r>
      <w:r w:rsidRPr="00315C89">
        <w:rPr>
          <w:lang w:val="fr-FR"/>
        </w:rPr>
        <w:t xml:space="preserve">, </w:t>
      </w:r>
      <w:proofErr w:type="gramStart"/>
      <w:r>
        <w:rPr>
          <w:lang w:val="fr-FR"/>
        </w:rPr>
        <w:t>modifier</w:t>
      </w:r>
      <w:proofErr w:type="gramEnd"/>
      <w:r>
        <w:rPr>
          <w:lang w:val="fr-FR"/>
        </w:rPr>
        <w:t xml:space="preserve"> comme suit </w:t>
      </w:r>
      <w:r w:rsidRPr="00A01495">
        <w:rPr>
          <w:lang w:val="fr-FR"/>
        </w:rPr>
        <w:t>(</w:t>
      </w:r>
      <w:r>
        <w:rPr>
          <w:lang w:val="fr-FR"/>
        </w:rPr>
        <w:t>y compris l</w:t>
      </w:r>
      <w:r w:rsidR="00DA7A86">
        <w:rPr>
          <w:lang w:val="fr-FR"/>
        </w:rPr>
        <w:t>’</w:t>
      </w:r>
      <w:r w:rsidRPr="00A01495">
        <w:rPr>
          <w:lang w:val="fr-FR"/>
        </w:rPr>
        <w:t xml:space="preserve">insertion </w:t>
      </w:r>
      <w:r>
        <w:rPr>
          <w:lang w:val="fr-FR"/>
        </w:rPr>
        <w:t>d</w:t>
      </w:r>
      <w:r w:rsidR="00DA7A86">
        <w:rPr>
          <w:lang w:val="fr-FR"/>
        </w:rPr>
        <w:t>’</w:t>
      </w:r>
      <w:r>
        <w:rPr>
          <w:lang w:val="fr-FR"/>
        </w:rPr>
        <w:t>une nouvelle n</w:t>
      </w:r>
      <w:r w:rsidRPr="00A01495">
        <w:rPr>
          <w:lang w:val="fr-FR"/>
        </w:rPr>
        <w:t>ote</w:t>
      </w:r>
      <w:r>
        <w:rPr>
          <w:lang w:val="fr-FR"/>
        </w:rPr>
        <w:t xml:space="preserve"> de bas de page</w:t>
      </w:r>
      <w:r w:rsidRPr="00596BD5">
        <w:rPr>
          <w:sz w:val="18"/>
          <w:szCs w:val="18"/>
          <w:vertAlign w:val="superscript"/>
          <w:lang w:val="fr-FR"/>
        </w:rPr>
        <w:t>22</w:t>
      </w:r>
      <w:r w:rsidRPr="00A01495">
        <w:rPr>
          <w:lang w:val="fr-FR"/>
        </w:rPr>
        <w:t>)</w:t>
      </w:r>
      <w:r w:rsidR="00315C89">
        <w:rPr>
          <w:lang w:val="fr-FR"/>
        </w:rPr>
        <w:t> </w:t>
      </w:r>
      <w:r w:rsidRPr="00A01495">
        <w:rPr>
          <w:lang w:val="fr-FR"/>
        </w:rPr>
        <w:t>:</w:t>
      </w:r>
    </w:p>
    <w:p w:rsidR="00582F90" w:rsidRDefault="00315C89" w:rsidP="00284606">
      <w:pPr>
        <w:pStyle w:val="SingleTxtG"/>
        <w:rPr>
          <w:lang w:val="fr-FR"/>
        </w:rPr>
      </w:pPr>
      <w:r>
        <w:rPr>
          <w:lang w:val="fr-FR"/>
        </w:rPr>
        <w:t>« </w:t>
      </w:r>
    </w:p>
    <w:tbl>
      <w:tblPr>
        <w:tblW w:w="7371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368"/>
        <w:gridCol w:w="1667"/>
        <w:gridCol w:w="1207"/>
        <w:gridCol w:w="1402"/>
        <w:gridCol w:w="1167"/>
      </w:tblGrid>
      <w:tr w:rsidR="00315C89" w:rsidRPr="00A01495" w:rsidTr="00D43419">
        <w:trPr>
          <w:trHeight w:val="20"/>
        </w:trPr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</w:tcPr>
          <w:p w:rsidR="00315C89" w:rsidRPr="00182D8F" w:rsidRDefault="000A46C3" w:rsidP="000A46C3">
            <w:pPr>
              <w:spacing w:before="80" w:after="80" w:line="200" w:lineRule="exact"/>
              <w:jc w:val="center"/>
              <w:rPr>
                <w:b/>
                <w:i/>
                <w:szCs w:val="21"/>
                <w:lang w:val="fr-FR"/>
              </w:rPr>
            </w:pPr>
            <w:r w:rsidRPr="00182D8F">
              <w:rPr>
                <w:rFonts w:eastAsia="MS Mincho"/>
                <w:b/>
                <w:i/>
                <w:szCs w:val="22"/>
                <w:lang w:val="fr-FR"/>
              </w:rPr>
              <w:t>N</w:t>
            </w:r>
            <w:r w:rsidRPr="00182D8F">
              <w:rPr>
                <w:rFonts w:eastAsia="MS Mincho"/>
                <w:b/>
                <w:i/>
                <w:szCs w:val="22"/>
                <w:vertAlign w:val="superscript"/>
                <w:lang w:val="fr-FR"/>
              </w:rPr>
              <w:t>o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C89" w:rsidRPr="00FD1520" w:rsidRDefault="00315C89" w:rsidP="00697AA4">
            <w:pPr>
              <w:spacing w:before="80" w:after="80" w:line="200" w:lineRule="exact"/>
              <w:jc w:val="center"/>
              <w:rPr>
                <w:i/>
              </w:rPr>
            </w:pPr>
            <w:r w:rsidRPr="00FD1520">
              <w:rPr>
                <w:i/>
              </w:rPr>
              <w:t>Col</w:t>
            </w:r>
            <w:r>
              <w:rPr>
                <w:i/>
              </w:rPr>
              <w:t>onne</w:t>
            </w:r>
            <w:r w:rsidRPr="00FD1520">
              <w:rPr>
                <w:i/>
              </w:rPr>
              <w:t xml:space="preserve"> 1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C89" w:rsidRPr="00FD1520" w:rsidRDefault="00315C89" w:rsidP="00697AA4">
            <w:pPr>
              <w:pStyle w:val="Heading3"/>
              <w:spacing w:before="80" w:after="80" w:line="200" w:lineRule="exact"/>
              <w:jc w:val="center"/>
              <w:rPr>
                <w:bCs/>
                <w:i/>
              </w:rPr>
            </w:pPr>
            <w:r w:rsidRPr="00FD1520">
              <w:rPr>
                <w:i/>
              </w:rPr>
              <w:t>Col</w:t>
            </w:r>
            <w:r>
              <w:rPr>
                <w:i/>
              </w:rPr>
              <w:t>onne</w:t>
            </w:r>
            <w:r w:rsidRPr="00FD1520">
              <w:rPr>
                <w:bCs/>
                <w:i/>
              </w:rPr>
              <w:t xml:space="preserve"> 2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C89" w:rsidRPr="00FD1520" w:rsidRDefault="00315C89" w:rsidP="00697AA4">
            <w:pPr>
              <w:spacing w:before="80" w:after="80" w:line="200" w:lineRule="exact"/>
              <w:jc w:val="center"/>
              <w:rPr>
                <w:i/>
              </w:rPr>
            </w:pPr>
            <w:r w:rsidRPr="00FD1520">
              <w:rPr>
                <w:i/>
              </w:rPr>
              <w:t>Col</w:t>
            </w:r>
            <w:r>
              <w:rPr>
                <w:i/>
              </w:rPr>
              <w:t>onne</w:t>
            </w:r>
            <w:r w:rsidRPr="00FD1520">
              <w:rPr>
                <w:i/>
              </w:rPr>
              <w:t xml:space="preserve"> 3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C89" w:rsidRPr="00FD1520" w:rsidRDefault="00315C89" w:rsidP="00697AA4">
            <w:pPr>
              <w:spacing w:before="80" w:after="80" w:line="200" w:lineRule="exact"/>
              <w:jc w:val="center"/>
              <w:rPr>
                <w:i/>
              </w:rPr>
            </w:pPr>
            <w:r w:rsidRPr="00FD1520">
              <w:rPr>
                <w:i/>
              </w:rPr>
              <w:t>Col</w:t>
            </w:r>
            <w:r>
              <w:rPr>
                <w:i/>
              </w:rPr>
              <w:t>onne</w:t>
            </w:r>
            <w:r w:rsidRPr="00FD1520">
              <w:rPr>
                <w:i/>
              </w:rPr>
              <w:t xml:space="preserve"> 4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C89" w:rsidRPr="00FD1520" w:rsidRDefault="00315C89" w:rsidP="00697AA4">
            <w:pPr>
              <w:spacing w:before="80" w:after="80" w:line="200" w:lineRule="exact"/>
              <w:jc w:val="center"/>
              <w:rPr>
                <w:i/>
              </w:rPr>
            </w:pPr>
            <w:r w:rsidRPr="00FD1520">
              <w:rPr>
                <w:i/>
              </w:rPr>
              <w:t>Col</w:t>
            </w:r>
            <w:r>
              <w:rPr>
                <w:i/>
              </w:rPr>
              <w:t>onne</w:t>
            </w:r>
            <w:r w:rsidRPr="00FD1520">
              <w:rPr>
                <w:i/>
              </w:rPr>
              <w:t xml:space="preserve"> 5</w:t>
            </w:r>
          </w:p>
        </w:tc>
      </w:tr>
      <w:tr w:rsidR="00315C89" w:rsidRPr="00A01495" w:rsidTr="00D43419">
        <w:trPr>
          <w:trHeight w:val="70"/>
        </w:trPr>
        <w:tc>
          <w:tcPr>
            <w:tcW w:w="573" w:type="dxa"/>
            <w:tcBorders>
              <w:bottom w:val="single" w:sz="12" w:space="0" w:color="auto"/>
            </w:tcBorders>
            <w:shd w:val="clear" w:color="auto" w:fill="auto"/>
          </w:tcPr>
          <w:p w:rsidR="00315C89" w:rsidRPr="00A01495" w:rsidRDefault="00315C89" w:rsidP="00697AA4">
            <w:pPr>
              <w:spacing w:line="200" w:lineRule="exact"/>
              <w:jc w:val="center"/>
              <w:rPr>
                <w:i/>
                <w:szCs w:val="21"/>
                <w:lang w:val="fr-FR"/>
              </w:rPr>
            </w:pPr>
          </w:p>
        </w:tc>
        <w:tc>
          <w:tcPr>
            <w:tcW w:w="1402" w:type="dxa"/>
            <w:tcBorders>
              <w:bottom w:val="single" w:sz="12" w:space="0" w:color="auto"/>
            </w:tcBorders>
            <w:shd w:val="clear" w:color="auto" w:fill="auto"/>
          </w:tcPr>
          <w:p w:rsidR="00315C89" w:rsidRPr="00CF2E10" w:rsidRDefault="00315C89" w:rsidP="00697AA4">
            <w:pPr>
              <w:spacing w:before="80" w:after="80" w:line="200" w:lineRule="exact"/>
              <w:jc w:val="center"/>
              <w:rPr>
                <w:bCs/>
                <w:i/>
              </w:rPr>
            </w:pPr>
            <w:r w:rsidRPr="00CF2E10">
              <w:rPr>
                <w:i/>
              </w:rPr>
              <w:t>É</w:t>
            </w:r>
            <w:r>
              <w:rPr>
                <w:i/>
              </w:rPr>
              <w:t>quipement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auto"/>
          </w:tcPr>
          <w:p w:rsidR="00315C89" w:rsidRPr="00FD1520" w:rsidRDefault="00315C89" w:rsidP="00697AA4">
            <w:pPr>
              <w:spacing w:before="80" w:after="80" w:line="200" w:lineRule="exact"/>
              <w:jc w:val="center"/>
              <w:rPr>
                <w:bCs/>
                <w:i/>
                <w:sz w:val="18"/>
              </w:rPr>
            </w:pPr>
            <w:r w:rsidRPr="001F7AF8">
              <w:rPr>
                <w:bCs/>
                <w:i/>
              </w:rPr>
              <w:t>Symbole</w:t>
            </w:r>
            <w:r w:rsidRPr="001F7AF8">
              <w:rPr>
                <w:rStyle w:val="FootnoteTextChar"/>
                <w:vertAlign w:val="superscript"/>
                <w:lang w:val="fr-FR"/>
              </w:rPr>
              <w:t>2</w:t>
            </w:r>
          </w:p>
        </w:tc>
        <w:tc>
          <w:tcPr>
            <w:tcW w:w="1238" w:type="dxa"/>
            <w:tcBorders>
              <w:bottom w:val="single" w:sz="12" w:space="0" w:color="auto"/>
            </w:tcBorders>
            <w:shd w:val="clear" w:color="auto" w:fill="auto"/>
          </w:tcPr>
          <w:p w:rsidR="00315C89" w:rsidRPr="000A46C3" w:rsidRDefault="00315C89" w:rsidP="00697AA4">
            <w:pPr>
              <w:spacing w:before="80" w:after="80" w:line="200" w:lineRule="exact"/>
              <w:jc w:val="center"/>
              <w:rPr>
                <w:bCs/>
                <w:i/>
              </w:rPr>
            </w:pPr>
            <w:r w:rsidRPr="000A46C3">
              <w:rPr>
                <w:bCs/>
                <w:i/>
              </w:rPr>
              <w:t>Fonction</w:t>
            </w:r>
          </w:p>
        </w:tc>
        <w:tc>
          <w:tcPr>
            <w:tcW w:w="1438" w:type="dxa"/>
            <w:tcBorders>
              <w:bottom w:val="single" w:sz="12" w:space="0" w:color="auto"/>
            </w:tcBorders>
            <w:shd w:val="clear" w:color="auto" w:fill="auto"/>
          </w:tcPr>
          <w:p w:rsidR="00315C89" w:rsidRPr="00293868" w:rsidRDefault="00315C89" w:rsidP="00697AA4">
            <w:pPr>
              <w:pStyle w:val="Heading5"/>
              <w:spacing w:before="80" w:after="80" w:line="200" w:lineRule="exact"/>
              <w:jc w:val="center"/>
              <w:rPr>
                <w:bCs/>
                <w:i/>
              </w:rPr>
            </w:pPr>
            <w:r w:rsidRPr="00293868">
              <w:rPr>
                <w:i/>
              </w:rPr>
              <w:t>É</w:t>
            </w:r>
            <w:r>
              <w:rPr>
                <w:i/>
              </w:rPr>
              <w:t>clairage</w:t>
            </w:r>
          </w:p>
        </w:tc>
        <w:tc>
          <w:tcPr>
            <w:tcW w:w="1197" w:type="dxa"/>
            <w:tcBorders>
              <w:bottom w:val="single" w:sz="12" w:space="0" w:color="auto"/>
            </w:tcBorders>
            <w:shd w:val="clear" w:color="auto" w:fill="auto"/>
          </w:tcPr>
          <w:p w:rsidR="00315C89" w:rsidRPr="001F7AF8" w:rsidRDefault="00315C89" w:rsidP="00697AA4">
            <w:pPr>
              <w:spacing w:before="80" w:after="80" w:line="200" w:lineRule="exact"/>
              <w:jc w:val="center"/>
              <w:rPr>
                <w:bCs/>
                <w:i/>
              </w:rPr>
            </w:pPr>
            <w:r w:rsidRPr="001F7AF8">
              <w:rPr>
                <w:bCs/>
                <w:i/>
              </w:rPr>
              <w:t>Couleur</w:t>
            </w:r>
          </w:p>
        </w:tc>
      </w:tr>
      <w:tr w:rsidR="00315C89" w:rsidRPr="00A01495" w:rsidTr="00D43419">
        <w:trPr>
          <w:trHeight w:val="70"/>
        </w:trPr>
        <w:tc>
          <w:tcPr>
            <w:tcW w:w="573" w:type="dxa"/>
            <w:tcBorders>
              <w:top w:val="single" w:sz="12" w:space="0" w:color="auto"/>
            </w:tcBorders>
            <w:shd w:val="clear" w:color="auto" w:fill="auto"/>
          </w:tcPr>
          <w:p w:rsidR="00315C89" w:rsidRPr="00A01495" w:rsidRDefault="00315C89" w:rsidP="001F7AF8">
            <w:pPr>
              <w:spacing w:before="60" w:after="60"/>
              <w:jc w:val="center"/>
              <w:rPr>
                <w:szCs w:val="21"/>
                <w:lang w:val="fr-FR"/>
              </w:rPr>
            </w:pPr>
            <w:r w:rsidRPr="00A01495">
              <w:rPr>
                <w:szCs w:val="21"/>
                <w:lang w:val="fr-FR"/>
              </w:rPr>
              <w:t>…</w:t>
            </w:r>
          </w:p>
        </w:tc>
        <w:tc>
          <w:tcPr>
            <w:tcW w:w="1402" w:type="dxa"/>
            <w:tcBorders>
              <w:top w:val="single" w:sz="12" w:space="0" w:color="auto"/>
            </w:tcBorders>
            <w:shd w:val="clear" w:color="auto" w:fill="auto"/>
          </w:tcPr>
          <w:p w:rsidR="00315C89" w:rsidRPr="00A01495" w:rsidRDefault="00315C89" w:rsidP="001F7AF8">
            <w:pPr>
              <w:spacing w:before="60" w:after="60"/>
              <w:jc w:val="center"/>
              <w:rPr>
                <w:szCs w:val="21"/>
                <w:lang w:val="fr-FR"/>
              </w:rPr>
            </w:pPr>
            <w:r w:rsidRPr="00A01495">
              <w:rPr>
                <w:szCs w:val="21"/>
                <w:lang w:val="fr-FR"/>
              </w:rPr>
              <w:t>…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auto"/>
          </w:tcPr>
          <w:p w:rsidR="00315C89" w:rsidRPr="00A01495" w:rsidRDefault="00315C89" w:rsidP="001F7AF8">
            <w:pPr>
              <w:spacing w:before="60" w:after="60"/>
              <w:jc w:val="center"/>
              <w:rPr>
                <w:szCs w:val="21"/>
                <w:lang w:val="fr-FR"/>
              </w:rPr>
            </w:pPr>
            <w:r w:rsidRPr="00A01495">
              <w:rPr>
                <w:szCs w:val="21"/>
                <w:lang w:val="fr-FR"/>
              </w:rPr>
              <w:t>…</w:t>
            </w:r>
          </w:p>
        </w:tc>
        <w:tc>
          <w:tcPr>
            <w:tcW w:w="1238" w:type="dxa"/>
            <w:tcBorders>
              <w:top w:val="single" w:sz="12" w:space="0" w:color="auto"/>
            </w:tcBorders>
            <w:shd w:val="clear" w:color="auto" w:fill="auto"/>
          </w:tcPr>
          <w:p w:rsidR="00315C89" w:rsidRPr="00A01495" w:rsidRDefault="00315C89" w:rsidP="001F7AF8">
            <w:pPr>
              <w:spacing w:before="60" w:after="60"/>
              <w:jc w:val="center"/>
              <w:rPr>
                <w:szCs w:val="21"/>
                <w:lang w:val="fr-FR"/>
              </w:rPr>
            </w:pPr>
            <w:r w:rsidRPr="00A01495">
              <w:rPr>
                <w:szCs w:val="21"/>
                <w:lang w:val="fr-FR"/>
              </w:rPr>
              <w:t>…</w:t>
            </w:r>
          </w:p>
        </w:tc>
        <w:tc>
          <w:tcPr>
            <w:tcW w:w="1438" w:type="dxa"/>
            <w:tcBorders>
              <w:top w:val="single" w:sz="12" w:space="0" w:color="auto"/>
            </w:tcBorders>
            <w:shd w:val="clear" w:color="auto" w:fill="auto"/>
          </w:tcPr>
          <w:p w:rsidR="00315C89" w:rsidRPr="00A01495" w:rsidRDefault="00315C89" w:rsidP="001F7AF8">
            <w:pPr>
              <w:spacing w:before="60" w:after="60"/>
              <w:jc w:val="center"/>
              <w:rPr>
                <w:szCs w:val="21"/>
                <w:lang w:val="fr-FR"/>
              </w:rPr>
            </w:pPr>
            <w:r w:rsidRPr="00A01495">
              <w:rPr>
                <w:szCs w:val="21"/>
                <w:lang w:val="fr-FR"/>
              </w:rPr>
              <w:t>…</w:t>
            </w:r>
          </w:p>
        </w:tc>
        <w:tc>
          <w:tcPr>
            <w:tcW w:w="1197" w:type="dxa"/>
            <w:tcBorders>
              <w:top w:val="single" w:sz="12" w:space="0" w:color="auto"/>
            </w:tcBorders>
            <w:shd w:val="clear" w:color="auto" w:fill="auto"/>
          </w:tcPr>
          <w:p w:rsidR="00315C89" w:rsidRPr="00A01495" w:rsidRDefault="00315C89" w:rsidP="001F7AF8">
            <w:pPr>
              <w:spacing w:before="60" w:after="60"/>
              <w:jc w:val="center"/>
              <w:rPr>
                <w:szCs w:val="21"/>
                <w:lang w:val="fr-FR"/>
              </w:rPr>
            </w:pPr>
            <w:r w:rsidRPr="00A01495">
              <w:rPr>
                <w:szCs w:val="21"/>
                <w:lang w:val="fr-FR"/>
              </w:rPr>
              <w:t>…</w:t>
            </w:r>
          </w:p>
        </w:tc>
      </w:tr>
      <w:tr w:rsidR="00315C89" w:rsidRPr="00A01495" w:rsidTr="00D43419">
        <w:trPr>
          <w:trHeight w:val="1696"/>
        </w:trPr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C89" w:rsidRPr="00A01495" w:rsidRDefault="00315C89" w:rsidP="006B0AF7">
            <w:pPr>
              <w:spacing w:before="60" w:after="60"/>
              <w:ind w:left="57" w:right="57"/>
              <w:jc w:val="center"/>
              <w:rPr>
                <w:szCs w:val="21"/>
                <w:lang w:val="fr-FR"/>
              </w:rPr>
            </w:pPr>
            <w:r>
              <w:rPr>
                <w:szCs w:val="21"/>
                <w:lang w:val="fr-FR"/>
              </w:rPr>
              <w:t>21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5093" w:rsidRPr="00A01495" w:rsidRDefault="00315C89" w:rsidP="00697AA4">
            <w:pPr>
              <w:spacing w:before="60" w:after="60"/>
              <w:ind w:left="57" w:right="57"/>
              <w:rPr>
                <w:b/>
                <w:szCs w:val="21"/>
                <w:lang w:val="fr-FR"/>
              </w:rPr>
            </w:pPr>
            <w:r w:rsidRPr="00737DA5">
              <w:t>Ceinture</w:t>
            </w:r>
            <w:r w:rsidR="00F25093">
              <w:br/>
            </w:r>
            <w:r w:rsidRPr="00737DA5">
              <w:t>de sécurité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C89" w:rsidRPr="00A01495" w:rsidRDefault="00315C89" w:rsidP="00697AA4">
            <w:pPr>
              <w:spacing w:before="60" w:after="60"/>
              <w:ind w:left="57" w:right="57"/>
              <w:jc w:val="center"/>
              <w:rPr>
                <w:szCs w:val="21"/>
                <w:lang w:val="fr-FR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B0DFD67" wp14:editId="22BF2D04">
                  <wp:extent cx="245745" cy="300355"/>
                  <wp:effectExtent l="0" t="0" r="1905" b="444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97AA4">
              <w:t xml:space="preserve"> </w:t>
            </w:r>
            <w:r>
              <w:t>ou</w:t>
            </w:r>
            <w:r w:rsidRPr="00FD1520">
              <w:t xml:space="preserve">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1B2EA8B4" wp14:editId="680AC858">
                  <wp:extent cx="252730" cy="30734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5C89" w:rsidRPr="00697AA4" w:rsidRDefault="00315C89" w:rsidP="00697AA4">
            <w:pPr>
              <w:spacing w:before="60" w:after="60"/>
              <w:ind w:left="57" w:right="57"/>
              <w:jc w:val="center"/>
              <w:rPr>
                <w:b/>
                <w:szCs w:val="21"/>
                <w:vertAlign w:val="superscript"/>
                <w:lang w:val="fr-FR"/>
              </w:rPr>
            </w:pPr>
            <w:r w:rsidRPr="00697AA4">
              <w:rPr>
                <w:b/>
                <w:color w:val="000000"/>
                <w:szCs w:val="21"/>
                <w:vertAlign w:val="superscript"/>
                <w:lang w:val="fr-FR"/>
              </w:rPr>
              <w:t>18,</w:t>
            </w:r>
            <w:r w:rsidRPr="00697AA4">
              <w:rPr>
                <w:b/>
                <w:szCs w:val="21"/>
                <w:vertAlign w:val="superscript"/>
                <w:lang w:val="fr-FR"/>
              </w:rPr>
              <w:t xml:space="preserve"> 22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C89" w:rsidRPr="00A01495" w:rsidRDefault="00315C89" w:rsidP="00697AA4">
            <w:pPr>
              <w:spacing w:before="60" w:after="60"/>
              <w:ind w:left="57" w:right="57"/>
              <w:rPr>
                <w:szCs w:val="21"/>
                <w:lang w:val="fr-FR"/>
              </w:rPr>
            </w:pPr>
            <w:r w:rsidRPr="00FD1520">
              <w:t>T</w:t>
            </w:r>
            <w:r>
              <w:t>émoin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C89" w:rsidRPr="00A01495" w:rsidRDefault="00315C89" w:rsidP="00697AA4">
            <w:pPr>
              <w:spacing w:before="60" w:after="60"/>
              <w:ind w:left="57" w:right="57"/>
              <w:rPr>
                <w:szCs w:val="21"/>
                <w:lang w:val="fr-FR"/>
              </w:rPr>
            </w:pPr>
            <w:r>
              <w:rPr>
                <w:szCs w:val="21"/>
                <w:lang w:val="fr-FR"/>
              </w:rPr>
              <w:t>Oui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C89" w:rsidRPr="00A01495" w:rsidRDefault="00315C89" w:rsidP="00697AA4">
            <w:pPr>
              <w:spacing w:before="60" w:after="60"/>
              <w:ind w:left="57" w:right="57"/>
              <w:rPr>
                <w:szCs w:val="21"/>
                <w:lang w:val="fr-FR"/>
              </w:rPr>
            </w:pPr>
            <w:r>
              <w:rPr>
                <w:szCs w:val="21"/>
                <w:lang w:val="fr-FR"/>
              </w:rPr>
              <w:t>Rouge</w:t>
            </w:r>
          </w:p>
        </w:tc>
      </w:tr>
      <w:tr w:rsidR="00315C89" w:rsidRPr="00A01495" w:rsidTr="00D43419">
        <w:trPr>
          <w:trHeight w:val="290"/>
        </w:trPr>
        <w:tc>
          <w:tcPr>
            <w:tcW w:w="573" w:type="dxa"/>
            <w:tcBorders>
              <w:bottom w:val="single" w:sz="12" w:space="0" w:color="auto"/>
            </w:tcBorders>
            <w:shd w:val="clear" w:color="auto" w:fill="auto"/>
          </w:tcPr>
          <w:p w:rsidR="00315C89" w:rsidRPr="00A01495" w:rsidRDefault="00315C89" w:rsidP="00F25093">
            <w:pPr>
              <w:spacing w:before="60" w:after="60"/>
              <w:jc w:val="center"/>
              <w:rPr>
                <w:szCs w:val="21"/>
                <w:lang w:val="fr-FR"/>
              </w:rPr>
            </w:pPr>
            <w:r w:rsidRPr="00A01495">
              <w:rPr>
                <w:szCs w:val="21"/>
                <w:lang w:val="fr-FR"/>
              </w:rPr>
              <w:t>…</w:t>
            </w:r>
          </w:p>
        </w:tc>
        <w:tc>
          <w:tcPr>
            <w:tcW w:w="1402" w:type="dxa"/>
            <w:tcBorders>
              <w:bottom w:val="single" w:sz="12" w:space="0" w:color="auto"/>
            </w:tcBorders>
            <w:shd w:val="clear" w:color="auto" w:fill="auto"/>
          </w:tcPr>
          <w:p w:rsidR="00315C89" w:rsidRPr="00A01495" w:rsidRDefault="00315C89" w:rsidP="00F25093">
            <w:pPr>
              <w:spacing w:before="60" w:after="60"/>
              <w:jc w:val="center"/>
              <w:rPr>
                <w:szCs w:val="21"/>
                <w:lang w:val="fr-FR"/>
              </w:rPr>
            </w:pPr>
            <w:r w:rsidRPr="00A01495">
              <w:rPr>
                <w:szCs w:val="21"/>
                <w:lang w:val="fr-FR"/>
              </w:rPr>
              <w:t>…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auto"/>
          </w:tcPr>
          <w:p w:rsidR="00315C89" w:rsidRPr="00A01495" w:rsidRDefault="00315C89" w:rsidP="00F25093">
            <w:pPr>
              <w:spacing w:before="60" w:after="60"/>
              <w:jc w:val="center"/>
              <w:rPr>
                <w:szCs w:val="21"/>
                <w:lang w:val="fr-FR"/>
              </w:rPr>
            </w:pPr>
            <w:r w:rsidRPr="00A01495">
              <w:rPr>
                <w:szCs w:val="21"/>
                <w:lang w:val="fr-FR"/>
              </w:rPr>
              <w:t>…</w:t>
            </w:r>
          </w:p>
        </w:tc>
        <w:tc>
          <w:tcPr>
            <w:tcW w:w="1238" w:type="dxa"/>
            <w:tcBorders>
              <w:bottom w:val="single" w:sz="12" w:space="0" w:color="auto"/>
            </w:tcBorders>
            <w:shd w:val="clear" w:color="auto" w:fill="auto"/>
          </w:tcPr>
          <w:p w:rsidR="00315C89" w:rsidRPr="00A01495" w:rsidRDefault="00315C89" w:rsidP="00F25093">
            <w:pPr>
              <w:spacing w:before="60" w:after="60"/>
              <w:jc w:val="center"/>
              <w:rPr>
                <w:szCs w:val="21"/>
                <w:lang w:val="fr-FR"/>
              </w:rPr>
            </w:pPr>
            <w:r w:rsidRPr="00A01495">
              <w:rPr>
                <w:szCs w:val="21"/>
                <w:lang w:val="fr-FR"/>
              </w:rPr>
              <w:t>…</w:t>
            </w:r>
          </w:p>
        </w:tc>
        <w:tc>
          <w:tcPr>
            <w:tcW w:w="1438" w:type="dxa"/>
            <w:tcBorders>
              <w:bottom w:val="single" w:sz="12" w:space="0" w:color="auto"/>
            </w:tcBorders>
            <w:shd w:val="clear" w:color="auto" w:fill="auto"/>
          </w:tcPr>
          <w:p w:rsidR="00315C89" w:rsidRPr="00A01495" w:rsidRDefault="00315C89" w:rsidP="00F25093">
            <w:pPr>
              <w:spacing w:before="60" w:after="60"/>
              <w:jc w:val="center"/>
              <w:rPr>
                <w:szCs w:val="21"/>
                <w:lang w:val="fr-FR"/>
              </w:rPr>
            </w:pPr>
            <w:r w:rsidRPr="00A01495">
              <w:rPr>
                <w:szCs w:val="21"/>
                <w:lang w:val="fr-FR"/>
              </w:rPr>
              <w:t>…</w:t>
            </w:r>
          </w:p>
        </w:tc>
        <w:tc>
          <w:tcPr>
            <w:tcW w:w="1197" w:type="dxa"/>
            <w:tcBorders>
              <w:bottom w:val="single" w:sz="12" w:space="0" w:color="auto"/>
            </w:tcBorders>
            <w:shd w:val="clear" w:color="auto" w:fill="auto"/>
          </w:tcPr>
          <w:p w:rsidR="00315C89" w:rsidRPr="00A01495" w:rsidRDefault="00315C89" w:rsidP="00F25093">
            <w:pPr>
              <w:spacing w:before="60" w:after="60"/>
              <w:jc w:val="center"/>
              <w:rPr>
                <w:szCs w:val="21"/>
                <w:lang w:val="fr-FR"/>
              </w:rPr>
            </w:pPr>
            <w:r w:rsidRPr="00A01495">
              <w:rPr>
                <w:szCs w:val="21"/>
                <w:lang w:val="fr-FR"/>
              </w:rPr>
              <w:t>…</w:t>
            </w:r>
          </w:p>
        </w:tc>
      </w:tr>
    </w:tbl>
    <w:p w:rsidR="00315C89" w:rsidRPr="00261634" w:rsidRDefault="00315C89" w:rsidP="00A41EC3">
      <w:pPr>
        <w:pStyle w:val="SingleTxtG"/>
        <w:keepNext/>
        <w:spacing w:before="120" w:after="0"/>
        <w:ind w:firstLine="170"/>
        <w:jc w:val="left"/>
        <w:rPr>
          <w:sz w:val="18"/>
          <w:szCs w:val="18"/>
          <w:lang w:val="fr-FR"/>
        </w:rPr>
      </w:pPr>
      <w:proofErr w:type="gramStart"/>
      <w:r w:rsidRPr="00261634">
        <w:rPr>
          <w:i/>
          <w:sz w:val="18"/>
          <w:szCs w:val="18"/>
          <w:lang w:val="fr-FR"/>
        </w:rPr>
        <w:t>Notes</w:t>
      </w:r>
      <w:proofErr w:type="gramEnd"/>
      <w:r w:rsidR="000A1B61" w:rsidRPr="00261634">
        <w:rPr>
          <w:sz w:val="18"/>
          <w:szCs w:val="18"/>
          <w:lang w:val="fr-FR"/>
        </w:rPr>
        <w:t> </w:t>
      </w:r>
      <w:r w:rsidRPr="00261634">
        <w:rPr>
          <w:sz w:val="18"/>
          <w:szCs w:val="18"/>
          <w:lang w:val="fr-FR"/>
        </w:rPr>
        <w:t>:</w:t>
      </w:r>
    </w:p>
    <w:p w:rsidR="00315C89" w:rsidRDefault="00315C89" w:rsidP="008676B6">
      <w:pPr>
        <w:pStyle w:val="SingleTxtG"/>
        <w:keepNext/>
        <w:ind w:firstLine="170"/>
        <w:jc w:val="left"/>
        <w:rPr>
          <w:lang w:val="fr-FR"/>
        </w:rPr>
      </w:pPr>
      <w:r w:rsidRPr="004F6324">
        <w:rPr>
          <w:lang w:val="fr-FR"/>
        </w:rPr>
        <w:t>…</w:t>
      </w:r>
    </w:p>
    <w:p w:rsidR="00315C89" w:rsidRPr="004F6324" w:rsidRDefault="00315C89" w:rsidP="003E3C60">
      <w:pPr>
        <w:pStyle w:val="SingleTxtG"/>
        <w:spacing w:after="0"/>
        <w:ind w:firstLine="170"/>
        <w:jc w:val="left"/>
        <w:rPr>
          <w:sz w:val="18"/>
          <w:szCs w:val="18"/>
          <w:lang w:val="fr-FR"/>
        </w:rPr>
      </w:pPr>
      <w:r w:rsidRPr="004F6324">
        <w:rPr>
          <w:sz w:val="18"/>
          <w:szCs w:val="18"/>
          <w:vertAlign w:val="superscript"/>
          <w:lang w:val="fr-FR"/>
        </w:rPr>
        <w:t>18</w:t>
      </w:r>
      <w:r w:rsidR="00261634">
        <w:rPr>
          <w:sz w:val="18"/>
          <w:szCs w:val="18"/>
          <w:lang w:val="fr-FR"/>
        </w:rPr>
        <w:t xml:space="preserve">  </w:t>
      </w:r>
      <w:r w:rsidRPr="004F6324">
        <w:rPr>
          <w:sz w:val="18"/>
          <w:szCs w:val="18"/>
          <w:lang w:val="fr-FR"/>
        </w:rPr>
        <w:t>Les symboles peuvent être d</w:t>
      </w:r>
      <w:r w:rsidR="00DA7A86">
        <w:rPr>
          <w:sz w:val="18"/>
          <w:szCs w:val="18"/>
          <w:lang w:val="fr-FR"/>
        </w:rPr>
        <w:t>’</w:t>
      </w:r>
      <w:r w:rsidRPr="004F6324">
        <w:rPr>
          <w:sz w:val="18"/>
          <w:szCs w:val="18"/>
          <w:lang w:val="fr-FR"/>
        </w:rPr>
        <w:t>une autre couleur pour indiquer un changement de signification, conformément au code figurant au paragraphe</w:t>
      </w:r>
      <w:r w:rsidR="005E2C34">
        <w:rPr>
          <w:sz w:val="18"/>
          <w:szCs w:val="18"/>
          <w:lang w:val="fr-FR"/>
        </w:rPr>
        <w:t> </w:t>
      </w:r>
      <w:r w:rsidRPr="004F6324">
        <w:rPr>
          <w:sz w:val="18"/>
          <w:szCs w:val="18"/>
          <w:lang w:val="fr-FR"/>
        </w:rPr>
        <w:t>5 de la norme ISO</w:t>
      </w:r>
      <w:r w:rsidR="00AB4C7D">
        <w:rPr>
          <w:sz w:val="18"/>
          <w:szCs w:val="18"/>
          <w:lang w:val="fr-FR"/>
        </w:rPr>
        <w:t xml:space="preserve"> 2575-2004</w:t>
      </w:r>
      <w:r w:rsidRPr="004F6324">
        <w:rPr>
          <w:sz w:val="18"/>
          <w:szCs w:val="18"/>
          <w:lang w:val="fr-FR"/>
        </w:rPr>
        <w:t>.</w:t>
      </w:r>
    </w:p>
    <w:p w:rsidR="00315C89" w:rsidRPr="004F6324" w:rsidRDefault="00315C89" w:rsidP="003E3C60">
      <w:pPr>
        <w:pStyle w:val="SingleTxtG"/>
        <w:spacing w:after="0"/>
        <w:rPr>
          <w:lang w:val="fr-FR"/>
        </w:rPr>
      </w:pPr>
      <w:r w:rsidRPr="004F6324">
        <w:rPr>
          <w:lang w:val="fr-FR"/>
        </w:rPr>
        <w:lastRenderedPageBreak/>
        <w:t>…</w:t>
      </w:r>
    </w:p>
    <w:p w:rsidR="00315C89" w:rsidRPr="004F6324" w:rsidRDefault="00315C89" w:rsidP="003E3C60">
      <w:pPr>
        <w:pStyle w:val="SingleTxtG"/>
        <w:spacing w:after="0"/>
        <w:ind w:firstLine="170"/>
        <w:jc w:val="left"/>
        <w:rPr>
          <w:bCs/>
          <w:sz w:val="18"/>
          <w:szCs w:val="18"/>
          <w:lang w:val="fr-FR"/>
        </w:rPr>
      </w:pPr>
      <w:r w:rsidRPr="004F6324">
        <w:rPr>
          <w:b/>
          <w:bCs/>
          <w:sz w:val="18"/>
          <w:szCs w:val="18"/>
          <w:vertAlign w:val="superscript"/>
          <w:lang w:val="fr-FR"/>
        </w:rPr>
        <w:t>22</w:t>
      </w:r>
      <w:r w:rsidR="003E3C60" w:rsidRPr="00D61A2E">
        <w:rPr>
          <w:bCs/>
          <w:sz w:val="18"/>
          <w:szCs w:val="18"/>
          <w:lang w:val="fr-FR"/>
        </w:rPr>
        <w:t xml:space="preserve">  </w:t>
      </w:r>
      <w:r w:rsidRPr="004F6324">
        <w:rPr>
          <w:b/>
          <w:bCs/>
          <w:sz w:val="18"/>
          <w:szCs w:val="18"/>
          <w:lang w:val="fr-FR"/>
        </w:rPr>
        <w:t>Un symbole différent peut être utilisé pour la ou les rangée(s) de sièges autre(s) que la rangée avant.</w:t>
      </w:r>
      <w:r w:rsidR="005E2C34">
        <w:rPr>
          <w:b/>
          <w:bCs/>
          <w:sz w:val="18"/>
          <w:szCs w:val="18"/>
          <w:lang w:val="fr-FR"/>
        </w:rPr>
        <w:t> </w:t>
      </w:r>
      <w:r w:rsidRPr="004F6324">
        <w:rPr>
          <w:bCs/>
          <w:sz w:val="18"/>
          <w:szCs w:val="18"/>
          <w:lang w:val="fr-FR"/>
        </w:rPr>
        <w:t>».</w:t>
      </w:r>
    </w:p>
    <w:p w:rsidR="00315C89" w:rsidRPr="00284606" w:rsidRDefault="00315C89" w:rsidP="003E3C60">
      <w:pPr>
        <w:pStyle w:val="HChG"/>
      </w:pPr>
      <w:r w:rsidRPr="00A01495">
        <w:rPr>
          <w:lang w:val="fr-FR"/>
        </w:rPr>
        <w:tab/>
        <w:t>II.</w:t>
      </w:r>
      <w:r w:rsidRPr="00A01495">
        <w:rPr>
          <w:lang w:val="fr-FR"/>
        </w:rPr>
        <w:tab/>
      </w:r>
      <w:r w:rsidRPr="003E3C60">
        <w:rPr>
          <w:lang w:val="fr-FR"/>
        </w:rPr>
        <w:t>Justification</w:t>
      </w:r>
    </w:p>
    <w:p w:rsidR="00315C89" w:rsidRPr="004E0C04" w:rsidRDefault="00315C89" w:rsidP="00AE5D1A">
      <w:pPr>
        <w:pStyle w:val="SingleTxtG"/>
        <w:rPr>
          <w:lang w:val="fr-FR" w:eastAsia="ar-SA"/>
        </w:rPr>
      </w:pPr>
      <w:r w:rsidRPr="00A01495">
        <w:rPr>
          <w:lang w:val="fr-FR" w:eastAsia="ar-SA"/>
        </w:rPr>
        <w:t>1.</w:t>
      </w:r>
      <w:r w:rsidRPr="00A01495">
        <w:rPr>
          <w:lang w:val="fr-FR" w:eastAsia="ar-SA"/>
        </w:rPr>
        <w:tab/>
      </w:r>
      <w:r w:rsidRPr="004E0C04">
        <w:rPr>
          <w:lang w:val="fr-FR" w:eastAsia="ar-SA"/>
        </w:rPr>
        <w:t xml:space="preserve">À sa cinquante-neuvième session, le Groupe de travail </w:t>
      </w:r>
      <w:r>
        <w:rPr>
          <w:lang w:val="fr-FR" w:eastAsia="ar-SA"/>
        </w:rPr>
        <w:t>de</w:t>
      </w:r>
      <w:r w:rsidRPr="004E0C04">
        <w:rPr>
          <w:lang w:val="fr-FR" w:eastAsia="ar-SA"/>
        </w:rPr>
        <w:t xml:space="preserve"> la sécurité passive (GRSP) a approuvé la proposition de série 0</w:t>
      </w:r>
      <w:r>
        <w:rPr>
          <w:lang w:val="fr-FR" w:eastAsia="ar-SA"/>
        </w:rPr>
        <w:t>7 d</w:t>
      </w:r>
      <w:r w:rsidR="00DA7A86">
        <w:rPr>
          <w:lang w:val="fr-FR" w:eastAsia="ar-SA"/>
        </w:rPr>
        <w:t>’</w:t>
      </w:r>
      <w:r>
        <w:rPr>
          <w:lang w:val="fr-FR" w:eastAsia="ar-SA"/>
        </w:rPr>
        <w:t>amendements au Règlement n</w:t>
      </w:r>
      <w:r w:rsidRPr="004E0C04">
        <w:rPr>
          <w:vertAlign w:val="superscript"/>
          <w:lang w:val="fr-FR" w:eastAsia="ar-SA"/>
        </w:rPr>
        <w:t>o</w:t>
      </w:r>
      <w:r>
        <w:rPr>
          <w:lang w:val="fr-FR" w:eastAsia="ar-SA"/>
        </w:rPr>
        <w:t> </w:t>
      </w:r>
      <w:r w:rsidRPr="004E0C04">
        <w:rPr>
          <w:lang w:val="fr-FR" w:eastAsia="ar-SA"/>
        </w:rPr>
        <w:t xml:space="preserve">16 </w:t>
      </w:r>
      <w:r>
        <w:rPr>
          <w:lang w:val="fr-FR" w:eastAsia="ar-SA"/>
        </w:rPr>
        <w:t>de l</w:t>
      </w:r>
      <w:r w:rsidR="00DA7A86">
        <w:rPr>
          <w:lang w:val="fr-FR" w:eastAsia="ar-SA"/>
        </w:rPr>
        <w:t>’</w:t>
      </w:r>
      <w:r>
        <w:rPr>
          <w:lang w:val="fr-FR" w:eastAsia="ar-SA"/>
        </w:rPr>
        <w:t>ONU</w:t>
      </w:r>
      <w:r w:rsidRPr="004E0C04">
        <w:rPr>
          <w:lang w:val="fr-FR" w:eastAsia="ar-SA"/>
        </w:rPr>
        <w:t xml:space="preserve"> </w:t>
      </w:r>
      <w:r>
        <w:rPr>
          <w:lang w:val="fr-FR" w:eastAsia="ar-SA"/>
        </w:rPr>
        <w:t xml:space="preserve">visant à rendre obligatoires des témoins de port </w:t>
      </w:r>
      <w:r w:rsidRPr="004E0C04">
        <w:rPr>
          <w:lang w:val="fr-FR" w:eastAsia="ar-SA"/>
        </w:rPr>
        <w:t>de ceinture de sécurité pour tous les sièges de</w:t>
      </w:r>
      <w:r>
        <w:rPr>
          <w:lang w:val="fr-FR" w:eastAsia="ar-SA"/>
        </w:rPr>
        <w:t>s</w:t>
      </w:r>
      <w:r w:rsidRPr="004E0C04">
        <w:rPr>
          <w:lang w:val="fr-FR" w:eastAsia="ar-SA"/>
        </w:rPr>
        <w:t xml:space="preserve"> véhicules.</w:t>
      </w:r>
    </w:p>
    <w:p w:rsidR="00315C89" w:rsidRPr="00A01495" w:rsidRDefault="00315C89" w:rsidP="00AE5D1A">
      <w:pPr>
        <w:pStyle w:val="SingleTxtG"/>
        <w:rPr>
          <w:lang w:val="fr-FR" w:eastAsia="ar-SA"/>
        </w:rPr>
      </w:pPr>
      <w:r>
        <w:rPr>
          <w:lang w:val="fr-FR" w:eastAsia="ar-SA"/>
        </w:rPr>
        <w:t>2.</w:t>
      </w:r>
      <w:r>
        <w:rPr>
          <w:lang w:val="fr-FR" w:eastAsia="ar-SA"/>
        </w:rPr>
        <w:tab/>
      </w:r>
      <w:r w:rsidRPr="004E0C04">
        <w:rPr>
          <w:lang w:val="fr-FR" w:eastAsia="ar-SA"/>
        </w:rPr>
        <w:t xml:space="preserve">Pour </w:t>
      </w:r>
      <w:r>
        <w:rPr>
          <w:lang w:val="fr-FR" w:eastAsia="ar-SA"/>
        </w:rPr>
        <w:t>harmoniser le libellé du Règlement n</w:t>
      </w:r>
      <w:r w:rsidRPr="004E0C04">
        <w:rPr>
          <w:vertAlign w:val="superscript"/>
          <w:lang w:val="fr-FR" w:eastAsia="ar-SA"/>
        </w:rPr>
        <w:t>o</w:t>
      </w:r>
      <w:r>
        <w:rPr>
          <w:lang w:val="fr-FR" w:eastAsia="ar-SA"/>
        </w:rPr>
        <w:t> </w:t>
      </w:r>
      <w:r w:rsidRPr="004E0C04">
        <w:rPr>
          <w:lang w:val="fr-FR" w:eastAsia="ar-SA"/>
        </w:rPr>
        <w:t>121 de l</w:t>
      </w:r>
      <w:r w:rsidR="00DA7A86">
        <w:rPr>
          <w:lang w:val="fr-FR" w:eastAsia="ar-SA"/>
        </w:rPr>
        <w:t>’</w:t>
      </w:r>
      <w:r w:rsidRPr="004E0C04">
        <w:rPr>
          <w:lang w:val="fr-FR" w:eastAsia="ar-SA"/>
        </w:rPr>
        <w:t xml:space="preserve">ONU avec les nouvelles dispositions du </w:t>
      </w:r>
      <w:r>
        <w:rPr>
          <w:lang w:val="fr-FR" w:eastAsia="ar-SA"/>
        </w:rPr>
        <w:t>Règlement n</w:t>
      </w:r>
      <w:r w:rsidRPr="004E0C04">
        <w:rPr>
          <w:vertAlign w:val="superscript"/>
          <w:lang w:val="fr-FR" w:eastAsia="ar-SA"/>
        </w:rPr>
        <w:t>o</w:t>
      </w:r>
      <w:r>
        <w:rPr>
          <w:lang w:val="fr-FR" w:eastAsia="ar-SA"/>
        </w:rPr>
        <w:t> </w:t>
      </w:r>
      <w:r w:rsidRPr="004E0C04">
        <w:rPr>
          <w:lang w:val="fr-FR" w:eastAsia="ar-SA"/>
        </w:rPr>
        <w:t>16 de l</w:t>
      </w:r>
      <w:r w:rsidR="00DA7A86">
        <w:rPr>
          <w:lang w:val="fr-FR" w:eastAsia="ar-SA"/>
        </w:rPr>
        <w:t>’</w:t>
      </w:r>
      <w:r w:rsidRPr="004E0C04">
        <w:rPr>
          <w:lang w:val="fr-FR" w:eastAsia="ar-SA"/>
        </w:rPr>
        <w:t>ONU, les modifications suivantes sont nécessaires</w:t>
      </w:r>
      <w:r>
        <w:rPr>
          <w:lang w:val="fr-FR" w:eastAsia="ar-SA"/>
        </w:rPr>
        <w:t> </w:t>
      </w:r>
      <w:r w:rsidRPr="00A01495">
        <w:rPr>
          <w:lang w:val="fr-FR" w:eastAsia="ar-SA"/>
        </w:rPr>
        <w:t>:</w:t>
      </w:r>
    </w:p>
    <w:p w:rsidR="00315C89" w:rsidRPr="00A01495" w:rsidRDefault="00315C89" w:rsidP="00AE5D1A">
      <w:pPr>
        <w:pStyle w:val="SingleTxtG"/>
        <w:ind w:firstLine="567"/>
        <w:rPr>
          <w:lang w:val="fr-FR" w:eastAsia="ar-SA"/>
        </w:rPr>
      </w:pPr>
      <w:r w:rsidRPr="00A01495">
        <w:rPr>
          <w:lang w:val="fr-FR" w:eastAsia="ar-SA"/>
        </w:rPr>
        <w:t>a)</w:t>
      </w:r>
      <w:r w:rsidRPr="00A01495">
        <w:rPr>
          <w:lang w:val="fr-FR" w:eastAsia="ar-SA"/>
        </w:rPr>
        <w:tab/>
      </w:r>
      <w:r w:rsidRPr="004E0C04">
        <w:rPr>
          <w:i/>
          <w:lang w:val="fr-FR" w:eastAsia="ar-SA"/>
        </w:rPr>
        <w:t>(</w:t>
      </w:r>
      <w:r>
        <w:rPr>
          <w:i/>
          <w:lang w:val="fr-FR" w:eastAsia="ar-SA"/>
        </w:rPr>
        <w:t>S</w:t>
      </w:r>
      <w:r w:rsidRPr="004E0C04">
        <w:rPr>
          <w:i/>
          <w:lang w:val="fr-FR" w:eastAsia="ar-SA"/>
        </w:rPr>
        <w:t>ans objet en français) </w:t>
      </w:r>
      <w:r>
        <w:rPr>
          <w:lang w:val="fr-FR" w:eastAsia="ar-SA"/>
        </w:rPr>
        <w:t>;</w:t>
      </w:r>
    </w:p>
    <w:p w:rsidR="00315C89" w:rsidRPr="008143DF" w:rsidRDefault="00315C89" w:rsidP="00AE5D1A">
      <w:pPr>
        <w:pStyle w:val="SingleTxtG"/>
        <w:ind w:firstLine="567"/>
        <w:rPr>
          <w:lang w:val="fr-FR" w:eastAsia="ar-SA"/>
        </w:rPr>
      </w:pPr>
      <w:r w:rsidRPr="00A01495">
        <w:rPr>
          <w:lang w:val="fr-FR" w:eastAsia="ar-SA"/>
        </w:rPr>
        <w:t>b)</w:t>
      </w:r>
      <w:r w:rsidRPr="00A01495">
        <w:rPr>
          <w:lang w:val="fr-FR" w:eastAsia="ar-SA"/>
        </w:rPr>
        <w:tab/>
      </w:r>
      <w:r>
        <w:rPr>
          <w:lang w:val="fr-FR" w:eastAsia="ar-SA"/>
        </w:rPr>
        <w:t>L</w:t>
      </w:r>
      <w:r w:rsidRPr="008143DF">
        <w:rPr>
          <w:lang w:val="fr-FR" w:eastAsia="ar-SA"/>
        </w:rPr>
        <w:t>e symbole de la ceinture de sécurité,</w:t>
      </w:r>
      <w:r>
        <w:rPr>
          <w:lang w:val="fr-FR" w:eastAsia="ar-SA"/>
        </w:rPr>
        <w:t xml:space="preserve"> tel que défini</w:t>
      </w:r>
      <w:r w:rsidRPr="008143DF">
        <w:rPr>
          <w:lang w:val="fr-FR" w:eastAsia="ar-SA"/>
        </w:rPr>
        <w:t xml:space="preserve"> </w:t>
      </w:r>
      <w:r>
        <w:rPr>
          <w:lang w:val="fr-FR" w:eastAsia="ar-SA"/>
        </w:rPr>
        <w:t>au point 21 du tableau 1 du R</w:t>
      </w:r>
      <w:r w:rsidRPr="008143DF">
        <w:rPr>
          <w:lang w:val="fr-FR" w:eastAsia="ar-SA"/>
        </w:rPr>
        <w:t>èglement, peut être affiché dans des couleurs différentes pour transmettre des significations différentes. Par conséquent, la note</w:t>
      </w:r>
      <w:r>
        <w:rPr>
          <w:lang w:val="fr-FR" w:eastAsia="ar-SA"/>
        </w:rPr>
        <w:t> </w:t>
      </w:r>
      <w:r w:rsidRPr="008143DF">
        <w:rPr>
          <w:lang w:val="fr-FR" w:eastAsia="ar-SA"/>
        </w:rPr>
        <w:t>18 existante a été ajouté</w:t>
      </w:r>
      <w:r>
        <w:rPr>
          <w:lang w:val="fr-FR" w:eastAsia="ar-SA"/>
        </w:rPr>
        <w:t>e</w:t>
      </w:r>
      <w:r w:rsidRPr="008143DF">
        <w:rPr>
          <w:lang w:val="fr-FR" w:eastAsia="ar-SA"/>
        </w:rPr>
        <w:t xml:space="preserve"> </w:t>
      </w:r>
      <w:r>
        <w:rPr>
          <w:lang w:val="fr-FR" w:eastAsia="ar-SA"/>
        </w:rPr>
        <w:t>au point 21 ;</w:t>
      </w:r>
      <w:r w:rsidRPr="008143DF">
        <w:rPr>
          <w:lang w:val="fr-FR" w:eastAsia="ar-SA"/>
        </w:rPr>
        <w:t xml:space="preserve"> et</w:t>
      </w:r>
    </w:p>
    <w:p w:rsidR="00315C89" w:rsidRPr="00A01495" w:rsidRDefault="00315C89" w:rsidP="00AE5D1A">
      <w:pPr>
        <w:pStyle w:val="SingleTxtG"/>
        <w:ind w:firstLine="567"/>
        <w:rPr>
          <w:lang w:val="fr-FR" w:eastAsia="ar-SA"/>
        </w:rPr>
      </w:pPr>
      <w:r>
        <w:rPr>
          <w:lang w:val="fr-FR" w:eastAsia="ar-SA"/>
        </w:rPr>
        <w:t>c)</w:t>
      </w:r>
      <w:r>
        <w:rPr>
          <w:lang w:val="fr-FR" w:eastAsia="ar-SA"/>
        </w:rPr>
        <w:tab/>
        <w:t>C</w:t>
      </w:r>
      <w:r w:rsidRPr="008143DF">
        <w:rPr>
          <w:lang w:val="fr-FR" w:eastAsia="ar-SA"/>
        </w:rPr>
        <w:t>e symbole peut être remplacé par des symboles différents pour les sièges autres que ceux de la rangée</w:t>
      </w:r>
      <w:r>
        <w:rPr>
          <w:lang w:val="fr-FR" w:eastAsia="ar-SA"/>
        </w:rPr>
        <w:t xml:space="preserve"> avant</w:t>
      </w:r>
      <w:r w:rsidRPr="008143DF">
        <w:rPr>
          <w:lang w:val="fr-FR" w:eastAsia="ar-SA"/>
        </w:rPr>
        <w:t>. Par conséquent, une nouvelle note</w:t>
      </w:r>
      <w:r>
        <w:rPr>
          <w:lang w:val="fr-FR" w:eastAsia="ar-SA"/>
        </w:rPr>
        <w:t> </w:t>
      </w:r>
      <w:r w:rsidRPr="008143DF">
        <w:rPr>
          <w:lang w:val="fr-FR" w:eastAsia="ar-SA"/>
        </w:rPr>
        <w:t>22 a été ajouté</w:t>
      </w:r>
      <w:r>
        <w:rPr>
          <w:lang w:val="fr-FR" w:eastAsia="ar-SA"/>
        </w:rPr>
        <w:t>e au</w:t>
      </w:r>
      <w:r w:rsidRPr="008143DF">
        <w:rPr>
          <w:lang w:val="fr-FR" w:eastAsia="ar-SA"/>
        </w:rPr>
        <w:t xml:space="preserve"> </w:t>
      </w:r>
      <w:r>
        <w:rPr>
          <w:lang w:val="fr-FR" w:eastAsia="ar-SA"/>
        </w:rPr>
        <w:t>point </w:t>
      </w:r>
      <w:r w:rsidRPr="008143DF">
        <w:rPr>
          <w:lang w:val="fr-FR" w:eastAsia="ar-SA"/>
        </w:rPr>
        <w:t>21</w:t>
      </w:r>
      <w:r w:rsidRPr="00A01495">
        <w:rPr>
          <w:lang w:val="fr-FR" w:eastAsia="ar-SA"/>
        </w:rPr>
        <w:t>.</w:t>
      </w:r>
    </w:p>
    <w:p w:rsidR="00315C89" w:rsidRDefault="00315C89" w:rsidP="00AE5D1A">
      <w:pPr>
        <w:pStyle w:val="SingleTxtG"/>
        <w:rPr>
          <w:lang w:val="fr-FR" w:eastAsia="ar-SA"/>
        </w:rPr>
      </w:pPr>
      <w:r w:rsidRPr="00A01495">
        <w:rPr>
          <w:lang w:val="fr-FR" w:eastAsia="ar-SA"/>
        </w:rPr>
        <w:t>3.</w:t>
      </w:r>
      <w:r w:rsidRPr="00A01495">
        <w:rPr>
          <w:lang w:val="fr-FR" w:eastAsia="ar-SA"/>
        </w:rPr>
        <w:tab/>
      </w:r>
      <w:r w:rsidRPr="00A15604">
        <w:rPr>
          <w:lang w:val="fr-FR" w:eastAsia="ar-SA"/>
        </w:rPr>
        <w:t xml:space="preserve">Les modifications proposées ne changent </w:t>
      </w:r>
      <w:r>
        <w:rPr>
          <w:lang w:val="fr-FR" w:eastAsia="ar-SA"/>
        </w:rPr>
        <w:t>auc</w:t>
      </w:r>
      <w:r w:rsidRPr="00A15604">
        <w:rPr>
          <w:lang w:val="fr-FR" w:eastAsia="ar-SA"/>
        </w:rPr>
        <w:t xml:space="preserve">une des </w:t>
      </w:r>
      <w:r>
        <w:rPr>
          <w:lang w:val="fr-FR" w:eastAsia="ar-SA"/>
        </w:rPr>
        <w:t>prescriptions</w:t>
      </w:r>
      <w:r w:rsidRPr="00A15604">
        <w:rPr>
          <w:lang w:val="fr-FR" w:eastAsia="ar-SA"/>
        </w:rPr>
        <w:t xml:space="preserve"> tech</w:t>
      </w:r>
      <w:r>
        <w:rPr>
          <w:lang w:val="fr-FR" w:eastAsia="ar-SA"/>
        </w:rPr>
        <w:t>niques du Règlement n</w:t>
      </w:r>
      <w:r w:rsidRPr="00A15604">
        <w:rPr>
          <w:vertAlign w:val="superscript"/>
          <w:lang w:val="fr-FR" w:eastAsia="ar-SA"/>
        </w:rPr>
        <w:t>o</w:t>
      </w:r>
      <w:r>
        <w:rPr>
          <w:lang w:val="fr-FR" w:eastAsia="ar-SA"/>
        </w:rPr>
        <w:t> </w:t>
      </w:r>
      <w:r w:rsidRPr="00A15604">
        <w:rPr>
          <w:lang w:val="fr-FR" w:eastAsia="ar-SA"/>
        </w:rPr>
        <w:t xml:space="preserve">121. Par conséquent, </w:t>
      </w:r>
      <w:r>
        <w:rPr>
          <w:lang w:val="fr-FR" w:eastAsia="ar-SA"/>
        </w:rPr>
        <w:t>la présente</w:t>
      </w:r>
      <w:r w:rsidRPr="00A15604">
        <w:rPr>
          <w:lang w:val="fr-FR" w:eastAsia="ar-SA"/>
        </w:rPr>
        <w:t xml:space="preserve"> proposition ne </w:t>
      </w:r>
      <w:r>
        <w:rPr>
          <w:lang w:val="fr-FR" w:eastAsia="ar-SA"/>
        </w:rPr>
        <w:t>prévoit</w:t>
      </w:r>
      <w:r w:rsidRPr="00A15604">
        <w:rPr>
          <w:lang w:val="fr-FR" w:eastAsia="ar-SA"/>
        </w:rPr>
        <w:t xml:space="preserve"> pas de dispositions transitoires</w:t>
      </w:r>
      <w:r w:rsidRPr="00A01495">
        <w:rPr>
          <w:lang w:val="fr-FR" w:eastAsia="ar-SA"/>
        </w:rPr>
        <w:t>.</w:t>
      </w:r>
    </w:p>
    <w:p w:rsidR="00315C89" w:rsidRPr="00315C89" w:rsidRDefault="00315C89" w:rsidP="00315C89">
      <w:pPr>
        <w:pStyle w:val="SingleTxtG"/>
        <w:spacing w:before="240" w:after="0"/>
        <w:jc w:val="center"/>
        <w:rPr>
          <w:u w:val="single"/>
          <w:lang w:val="fr-FR" w:eastAsia="ar-SA"/>
        </w:rPr>
      </w:pPr>
      <w:r>
        <w:rPr>
          <w:u w:val="single"/>
          <w:lang w:val="fr-FR" w:eastAsia="ar-SA"/>
        </w:rPr>
        <w:tab/>
      </w:r>
      <w:r>
        <w:rPr>
          <w:u w:val="single"/>
          <w:lang w:val="fr-FR" w:eastAsia="ar-SA"/>
        </w:rPr>
        <w:tab/>
      </w:r>
      <w:r>
        <w:rPr>
          <w:u w:val="single"/>
          <w:lang w:val="fr-FR" w:eastAsia="ar-SA"/>
        </w:rPr>
        <w:tab/>
      </w:r>
    </w:p>
    <w:sectPr w:rsidR="00315C89" w:rsidRPr="00315C89" w:rsidSect="005573AE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678" w:rsidRDefault="00774678" w:rsidP="00F95C08">
      <w:pPr>
        <w:spacing w:line="240" w:lineRule="auto"/>
      </w:pPr>
    </w:p>
  </w:endnote>
  <w:endnote w:type="continuationSeparator" w:id="0">
    <w:p w:rsidR="00774678" w:rsidRPr="00AC3823" w:rsidRDefault="00774678" w:rsidP="00AC3823">
      <w:pPr>
        <w:pStyle w:val="Footer"/>
      </w:pPr>
    </w:p>
  </w:endnote>
  <w:endnote w:type="continuationNotice" w:id="1">
    <w:p w:rsidR="00774678" w:rsidRDefault="0077467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3AE" w:rsidRPr="005573AE" w:rsidRDefault="005573AE" w:rsidP="005573AE">
    <w:pPr>
      <w:pStyle w:val="Footer"/>
      <w:tabs>
        <w:tab w:val="right" w:pos="9638"/>
      </w:tabs>
    </w:pPr>
    <w:r w:rsidRPr="005573AE">
      <w:rPr>
        <w:b/>
        <w:sz w:val="18"/>
      </w:rPr>
      <w:fldChar w:fldCharType="begin"/>
    </w:r>
    <w:r w:rsidRPr="005573AE">
      <w:rPr>
        <w:b/>
        <w:sz w:val="18"/>
      </w:rPr>
      <w:instrText xml:space="preserve"> PAGE  \* MERGEFORMAT </w:instrText>
    </w:r>
    <w:r w:rsidRPr="005573AE">
      <w:rPr>
        <w:b/>
        <w:sz w:val="18"/>
      </w:rPr>
      <w:fldChar w:fldCharType="separate"/>
    </w:r>
    <w:r w:rsidR="00C95DA9">
      <w:rPr>
        <w:b/>
        <w:noProof/>
        <w:sz w:val="18"/>
      </w:rPr>
      <w:t>2</w:t>
    </w:r>
    <w:r w:rsidRPr="005573AE">
      <w:rPr>
        <w:b/>
        <w:sz w:val="18"/>
      </w:rPr>
      <w:fldChar w:fldCharType="end"/>
    </w:r>
    <w:r>
      <w:rPr>
        <w:b/>
        <w:sz w:val="18"/>
      </w:rPr>
      <w:tab/>
    </w:r>
    <w:r>
      <w:t>GE.16-12849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3AE" w:rsidRPr="005573AE" w:rsidRDefault="005573AE" w:rsidP="005573AE">
    <w:pPr>
      <w:pStyle w:val="Footer"/>
      <w:tabs>
        <w:tab w:val="right" w:pos="9638"/>
      </w:tabs>
      <w:rPr>
        <w:b/>
        <w:sz w:val="18"/>
      </w:rPr>
    </w:pPr>
    <w:r>
      <w:t>GE.16-12849</w:t>
    </w:r>
    <w:r>
      <w:tab/>
    </w:r>
    <w:r w:rsidRPr="005573AE">
      <w:rPr>
        <w:b/>
        <w:sz w:val="18"/>
      </w:rPr>
      <w:fldChar w:fldCharType="begin"/>
    </w:r>
    <w:r w:rsidRPr="005573AE">
      <w:rPr>
        <w:b/>
        <w:sz w:val="18"/>
      </w:rPr>
      <w:instrText xml:space="preserve"> PAGE  \* MERGEFORMAT </w:instrText>
    </w:r>
    <w:r w:rsidRPr="005573AE">
      <w:rPr>
        <w:b/>
        <w:sz w:val="18"/>
      </w:rPr>
      <w:fldChar w:fldCharType="separate"/>
    </w:r>
    <w:r w:rsidR="00C95DA9">
      <w:rPr>
        <w:b/>
        <w:noProof/>
        <w:sz w:val="18"/>
      </w:rPr>
      <w:t>3</w:t>
    </w:r>
    <w:r w:rsidRPr="005573A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5573AE" w:rsidRDefault="005573AE" w:rsidP="005573AE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2F786BA6" wp14:editId="39C68597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16-12849  (F)</w:t>
    </w:r>
    <w:r w:rsidR="00706531">
      <w:rPr>
        <w:sz w:val="20"/>
      </w:rPr>
      <w:t xml:space="preserve">    170816    290816</w:t>
    </w:r>
    <w:r>
      <w:rPr>
        <w:sz w:val="20"/>
      </w:rPr>
      <w:br/>
    </w:r>
    <w:r w:rsidRPr="005573AE">
      <w:rPr>
        <w:rFonts w:ascii="C39T30Lfz" w:hAnsi="C39T30Lfz"/>
        <w:sz w:val="56"/>
      </w:rPr>
      <w:t></w:t>
    </w:r>
    <w:r w:rsidRPr="005573AE">
      <w:rPr>
        <w:rFonts w:ascii="C39T30Lfz" w:hAnsi="C39T30Lfz"/>
        <w:sz w:val="56"/>
      </w:rPr>
      <w:t></w:t>
    </w:r>
    <w:r w:rsidRPr="005573AE">
      <w:rPr>
        <w:rFonts w:ascii="C39T30Lfz" w:hAnsi="C39T30Lfz"/>
        <w:sz w:val="56"/>
      </w:rPr>
      <w:t></w:t>
    </w:r>
    <w:r w:rsidRPr="005573AE">
      <w:rPr>
        <w:rFonts w:ascii="C39T30Lfz" w:hAnsi="C39T30Lfz"/>
        <w:sz w:val="56"/>
      </w:rPr>
      <w:t></w:t>
    </w:r>
    <w:r w:rsidRPr="005573AE">
      <w:rPr>
        <w:rFonts w:ascii="C39T30Lfz" w:hAnsi="C39T30Lfz"/>
        <w:sz w:val="56"/>
      </w:rPr>
      <w:t></w:t>
    </w:r>
    <w:r w:rsidRPr="005573AE">
      <w:rPr>
        <w:rFonts w:ascii="C39T30Lfz" w:hAnsi="C39T30Lfz"/>
        <w:sz w:val="56"/>
      </w:rPr>
      <w:t></w:t>
    </w:r>
    <w:r w:rsidRPr="005573AE">
      <w:rPr>
        <w:rFonts w:ascii="C39T30Lfz" w:hAnsi="C39T30Lfz"/>
        <w:sz w:val="56"/>
      </w:rPr>
      <w:t></w:t>
    </w:r>
    <w:r w:rsidRPr="005573AE">
      <w:rPr>
        <w:rFonts w:ascii="C39T30Lfz" w:hAnsi="C39T30Lfz"/>
        <w:sz w:val="56"/>
      </w:rPr>
      <w:t></w:t>
    </w:r>
    <w:r w:rsidRPr="005573AE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0FFFB3DF" wp14:editId="5FA42676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GRSG/2016/2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SG/2016/2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678" w:rsidRPr="00AC3823" w:rsidRDefault="0077467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74678" w:rsidRPr="00AC3823" w:rsidRDefault="0077467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74678" w:rsidRPr="00AC3823" w:rsidRDefault="00774678">
      <w:pPr>
        <w:spacing w:line="240" w:lineRule="auto"/>
        <w:rPr>
          <w:sz w:val="2"/>
          <w:szCs w:val="2"/>
        </w:rPr>
      </w:pPr>
    </w:p>
  </w:footnote>
  <w:footnote w:id="2">
    <w:p w:rsidR="00582F90" w:rsidRPr="00AD71B5" w:rsidRDefault="00582F90" w:rsidP="00582F90">
      <w:pPr>
        <w:pStyle w:val="FootnoteText"/>
        <w:tabs>
          <w:tab w:val="clear" w:pos="1021"/>
          <w:tab w:val="left" w:pos="1701"/>
        </w:tabs>
        <w:ind w:hanging="283"/>
        <w:rPr>
          <w:rFonts w:eastAsia="Calibri"/>
          <w:lang w:val="fr-FR"/>
        </w:rPr>
      </w:pPr>
      <w:r w:rsidRPr="00706531">
        <w:rPr>
          <w:rStyle w:val="FootnoteReference"/>
          <w:sz w:val="20"/>
          <w:vertAlign w:val="baseline"/>
          <w:lang w:val="fr-FR"/>
        </w:rPr>
        <w:t>*</w:t>
      </w:r>
      <w:r w:rsidRPr="00AD71B5">
        <w:rPr>
          <w:lang w:val="fr-FR"/>
        </w:rPr>
        <w:tab/>
      </w:r>
      <w:r w:rsidRPr="00AD71B5">
        <w:rPr>
          <w:szCs w:val="18"/>
          <w:lang w:val="fr-FR"/>
        </w:rPr>
        <w:t>Conformément au programme de travail du Comité des transports intérieurs pour la période 2016-2017 (ECE/TRANS/254, par.</w:t>
      </w:r>
      <w:r w:rsidR="00833C56">
        <w:rPr>
          <w:szCs w:val="18"/>
          <w:lang w:val="fr-FR"/>
        </w:rPr>
        <w:t> </w:t>
      </w:r>
      <w:r w:rsidRPr="00AD71B5">
        <w:rPr>
          <w:szCs w:val="18"/>
          <w:lang w:val="fr-FR"/>
        </w:rPr>
        <w:t>159, et ECE/TRANS/2016/28/Add.1, activité 3.1), le Forum mondial a pour mission d</w:t>
      </w:r>
      <w:r>
        <w:rPr>
          <w:szCs w:val="18"/>
          <w:lang w:val="fr-FR"/>
        </w:rPr>
        <w:t>’</w:t>
      </w:r>
      <w:r w:rsidRPr="00AD71B5">
        <w:rPr>
          <w:szCs w:val="18"/>
          <w:lang w:val="fr-FR"/>
        </w:rPr>
        <w:t>élaborer, d</w:t>
      </w:r>
      <w:r>
        <w:rPr>
          <w:szCs w:val="18"/>
          <w:lang w:val="fr-FR"/>
        </w:rPr>
        <w:t>’</w:t>
      </w:r>
      <w:r w:rsidRPr="00AD71B5">
        <w:rPr>
          <w:szCs w:val="18"/>
          <w:lang w:val="fr-FR"/>
        </w:rPr>
        <w:t>harmoniser et de mettre à jour les Règlements en vue d</w:t>
      </w:r>
      <w:r>
        <w:rPr>
          <w:szCs w:val="18"/>
          <w:lang w:val="fr-FR"/>
        </w:rPr>
        <w:t>’</w:t>
      </w:r>
      <w:r w:rsidRPr="00AD71B5">
        <w:rPr>
          <w:szCs w:val="18"/>
          <w:lang w:val="fr-FR"/>
        </w:rPr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3AE" w:rsidRPr="005573AE" w:rsidRDefault="005573AE">
    <w:pPr>
      <w:pStyle w:val="Header"/>
    </w:pPr>
    <w:r>
      <w:t>ECE/TRANS/WP.29/GRSG/2016/26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3AE" w:rsidRPr="005573AE" w:rsidRDefault="005573AE" w:rsidP="005573AE">
    <w:pPr>
      <w:pStyle w:val="Header"/>
      <w:jc w:val="right"/>
    </w:pPr>
    <w:r>
      <w:t>ECE/TRANS/WP.29/GRSG/2016/26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78"/>
    <w:rsid w:val="00017F94"/>
    <w:rsid w:val="00023842"/>
    <w:rsid w:val="000334F9"/>
    <w:rsid w:val="0007796D"/>
    <w:rsid w:val="000A1B61"/>
    <w:rsid w:val="000A46C3"/>
    <w:rsid w:val="000A7C2E"/>
    <w:rsid w:val="000B7790"/>
    <w:rsid w:val="00111F2F"/>
    <w:rsid w:val="0014365E"/>
    <w:rsid w:val="00143C66"/>
    <w:rsid w:val="00176178"/>
    <w:rsid w:val="00182D8F"/>
    <w:rsid w:val="001F525A"/>
    <w:rsid w:val="001F5AA0"/>
    <w:rsid w:val="001F7AF8"/>
    <w:rsid w:val="00223272"/>
    <w:rsid w:val="0024779E"/>
    <w:rsid w:val="00257168"/>
    <w:rsid w:val="00261634"/>
    <w:rsid w:val="002744B8"/>
    <w:rsid w:val="002832AC"/>
    <w:rsid w:val="00284606"/>
    <w:rsid w:val="002D7C93"/>
    <w:rsid w:val="00305801"/>
    <w:rsid w:val="00315C89"/>
    <w:rsid w:val="003916DE"/>
    <w:rsid w:val="003E3C60"/>
    <w:rsid w:val="00441C3B"/>
    <w:rsid w:val="00446FE5"/>
    <w:rsid w:val="00452396"/>
    <w:rsid w:val="004837D8"/>
    <w:rsid w:val="004E468C"/>
    <w:rsid w:val="004F6324"/>
    <w:rsid w:val="00501B41"/>
    <w:rsid w:val="005505B7"/>
    <w:rsid w:val="005573AE"/>
    <w:rsid w:val="00573BE5"/>
    <w:rsid w:val="00582F90"/>
    <w:rsid w:val="00586ED3"/>
    <w:rsid w:val="00596AA9"/>
    <w:rsid w:val="00596BD5"/>
    <w:rsid w:val="005E2C34"/>
    <w:rsid w:val="00697AA4"/>
    <w:rsid w:val="006B0AF7"/>
    <w:rsid w:val="00706531"/>
    <w:rsid w:val="0071601D"/>
    <w:rsid w:val="00774678"/>
    <w:rsid w:val="007A62E6"/>
    <w:rsid w:val="007C19F3"/>
    <w:rsid w:val="007C1CE1"/>
    <w:rsid w:val="007F20FA"/>
    <w:rsid w:val="0080684C"/>
    <w:rsid w:val="00833C56"/>
    <w:rsid w:val="008676B6"/>
    <w:rsid w:val="00871C75"/>
    <w:rsid w:val="008776DC"/>
    <w:rsid w:val="008C0ECB"/>
    <w:rsid w:val="009705C8"/>
    <w:rsid w:val="009C1CF4"/>
    <w:rsid w:val="009F6B74"/>
    <w:rsid w:val="00A30353"/>
    <w:rsid w:val="00A41EC3"/>
    <w:rsid w:val="00AB4C7D"/>
    <w:rsid w:val="00AC3823"/>
    <w:rsid w:val="00AE323C"/>
    <w:rsid w:val="00AE5D1A"/>
    <w:rsid w:val="00AF0CB5"/>
    <w:rsid w:val="00B00181"/>
    <w:rsid w:val="00B00B0D"/>
    <w:rsid w:val="00B13B6F"/>
    <w:rsid w:val="00B765F7"/>
    <w:rsid w:val="00BA0CA9"/>
    <w:rsid w:val="00BD0CF1"/>
    <w:rsid w:val="00C02897"/>
    <w:rsid w:val="00C95DA9"/>
    <w:rsid w:val="00D3439C"/>
    <w:rsid w:val="00D43419"/>
    <w:rsid w:val="00D61A2E"/>
    <w:rsid w:val="00DA2C97"/>
    <w:rsid w:val="00DA7A86"/>
    <w:rsid w:val="00DB1831"/>
    <w:rsid w:val="00DC014A"/>
    <w:rsid w:val="00DD3BFD"/>
    <w:rsid w:val="00DF6678"/>
    <w:rsid w:val="00E85C74"/>
    <w:rsid w:val="00E939B4"/>
    <w:rsid w:val="00EA6547"/>
    <w:rsid w:val="00EF2E22"/>
    <w:rsid w:val="00F22062"/>
    <w:rsid w:val="00F25093"/>
    <w:rsid w:val="00F34546"/>
    <w:rsid w:val="00F35BAF"/>
    <w:rsid w:val="00F660DF"/>
    <w:rsid w:val="00F75B36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BVI fnr, BVI fnr,Footnote symbol,Footnote,Footnote Reference Superscript,SUPERS,-E Fußnotenzeichen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,PP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501B41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582F90"/>
    <w:rPr>
      <w:rFonts w:ascii="Times New Roman" w:hAnsi="Times New Roman" w:cs="Times New Roman"/>
      <w:b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BVI fnr, BVI fnr,Footnote symbol,Footnote,Footnote Reference Superscript,SUPERS,-E Fußnotenzeichen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,PP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501B41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582F90"/>
    <w:rPr>
      <w:rFonts w:ascii="Times New Roman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3575</Characters>
  <Application>Microsoft Office Word</Application>
  <DocSecurity>4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ECE/TRANS/WP.29/GRSG/2016/26</vt:lpstr>
      <vt:lpstr>ECE/TRANS/WP.29/GRSG/2016/26</vt:lpstr>
    </vt:vector>
  </TitlesOfParts>
  <Company>DCM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ECE/TRANS/WP.29/GRSG/2016/26</dc:title>
  <dc:creator>Robert Corinne</dc:creator>
  <cp:lastModifiedBy>Benedicte Boudol</cp:lastModifiedBy>
  <cp:revision>2</cp:revision>
  <cp:lastPrinted>2016-08-29T08:34:00Z</cp:lastPrinted>
  <dcterms:created xsi:type="dcterms:W3CDTF">2016-08-29T14:48:00Z</dcterms:created>
  <dcterms:modified xsi:type="dcterms:W3CDTF">2016-08-29T14:48:00Z</dcterms:modified>
</cp:coreProperties>
</file>