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115E6" w:rsidTr="007F20FA">
        <w:trPr>
          <w:trHeight w:hRule="exact" w:val="851"/>
        </w:trPr>
        <w:tc>
          <w:tcPr>
            <w:tcW w:w="1276" w:type="dxa"/>
            <w:tcBorders>
              <w:bottom w:val="single" w:sz="4" w:space="0" w:color="auto"/>
            </w:tcBorders>
          </w:tcPr>
          <w:p w:rsidR="00F35BAF" w:rsidRPr="00A115E6" w:rsidRDefault="00F35BAF" w:rsidP="000E0009">
            <w:bookmarkStart w:id="0" w:name="_GoBack"/>
            <w:bookmarkEnd w:id="0"/>
          </w:p>
        </w:tc>
        <w:tc>
          <w:tcPr>
            <w:tcW w:w="2268" w:type="dxa"/>
            <w:tcBorders>
              <w:bottom w:val="single" w:sz="4" w:space="0" w:color="auto"/>
            </w:tcBorders>
            <w:vAlign w:val="bottom"/>
          </w:tcPr>
          <w:p w:rsidR="00F35BAF" w:rsidRPr="00A115E6" w:rsidRDefault="00F35BAF" w:rsidP="00E12FC4">
            <w:pPr>
              <w:spacing w:after="80" w:line="300" w:lineRule="exact"/>
              <w:rPr>
                <w:sz w:val="28"/>
              </w:rPr>
            </w:pPr>
            <w:r w:rsidRPr="00A115E6">
              <w:rPr>
                <w:sz w:val="28"/>
              </w:rPr>
              <w:t>Nations Unies</w:t>
            </w:r>
          </w:p>
        </w:tc>
        <w:tc>
          <w:tcPr>
            <w:tcW w:w="6095" w:type="dxa"/>
            <w:gridSpan w:val="2"/>
            <w:tcBorders>
              <w:bottom w:val="single" w:sz="4" w:space="0" w:color="auto"/>
            </w:tcBorders>
            <w:vAlign w:val="bottom"/>
          </w:tcPr>
          <w:p w:rsidR="00F35BAF" w:rsidRPr="00A115E6" w:rsidRDefault="000E0009" w:rsidP="000E0009">
            <w:pPr>
              <w:jc w:val="right"/>
            </w:pPr>
            <w:r w:rsidRPr="00A115E6">
              <w:rPr>
                <w:sz w:val="40"/>
              </w:rPr>
              <w:t>ECE</w:t>
            </w:r>
            <w:r w:rsidRPr="00A115E6">
              <w:t>/TRANS/WP.29/GRSG/2016/24</w:t>
            </w:r>
          </w:p>
        </w:tc>
      </w:tr>
      <w:tr w:rsidR="00F35BAF" w:rsidRPr="00A115E6" w:rsidTr="00E12FC4">
        <w:trPr>
          <w:trHeight w:hRule="exact" w:val="2835"/>
        </w:trPr>
        <w:tc>
          <w:tcPr>
            <w:tcW w:w="1276" w:type="dxa"/>
            <w:tcBorders>
              <w:top w:val="single" w:sz="4" w:space="0" w:color="auto"/>
              <w:bottom w:val="single" w:sz="12" w:space="0" w:color="auto"/>
            </w:tcBorders>
          </w:tcPr>
          <w:p w:rsidR="00F35BAF" w:rsidRPr="00A115E6" w:rsidRDefault="00F35BAF" w:rsidP="00E12FC4">
            <w:pPr>
              <w:spacing w:before="120"/>
              <w:jc w:val="center"/>
            </w:pPr>
            <w:r w:rsidRPr="00A115E6">
              <w:rPr>
                <w:noProof/>
                <w:lang w:val="en-US"/>
              </w:rPr>
              <w:drawing>
                <wp:inline distT="0" distB="0" distL="0" distR="0" wp14:anchorId="40F74769" wp14:editId="697B5C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115E6" w:rsidRDefault="00F35BAF" w:rsidP="00E12FC4">
            <w:pPr>
              <w:spacing w:before="120" w:line="420" w:lineRule="exact"/>
              <w:rPr>
                <w:b/>
                <w:sz w:val="40"/>
                <w:szCs w:val="40"/>
              </w:rPr>
            </w:pPr>
            <w:r w:rsidRPr="00A115E6">
              <w:rPr>
                <w:b/>
                <w:sz w:val="40"/>
                <w:szCs w:val="40"/>
              </w:rPr>
              <w:t>Conseil économique et social</w:t>
            </w:r>
          </w:p>
        </w:tc>
        <w:tc>
          <w:tcPr>
            <w:tcW w:w="2835" w:type="dxa"/>
            <w:tcBorders>
              <w:top w:val="single" w:sz="4" w:space="0" w:color="auto"/>
              <w:bottom w:val="single" w:sz="12" w:space="0" w:color="auto"/>
            </w:tcBorders>
          </w:tcPr>
          <w:p w:rsidR="00F35BAF" w:rsidRPr="00A115E6" w:rsidRDefault="000E0009" w:rsidP="00E12FC4">
            <w:pPr>
              <w:spacing w:before="240"/>
            </w:pPr>
            <w:r w:rsidRPr="00A115E6">
              <w:t>Distr. générale</w:t>
            </w:r>
          </w:p>
          <w:p w:rsidR="000E0009" w:rsidRPr="00A115E6" w:rsidRDefault="000E0009" w:rsidP="000E0009">
            <w:pPr>
              <w:spacing w:line="240" w:lineRule="exact"/>
            </w:pPr>
            <w:r w:rsidRPr="00A115E6">
              <w:t>25 juillet 2016</w:t>
            </w:r>
          </w:p>
          <w:p w:rsidR="000E0009" w:rsidRPr="00A115E6" w:rsidRDefault="000E0009" w:rsidP="000E0009">
            <w:pPr>
              <w:spacing w:line="240" w:lineRule="exact"/>
            </w:pPr>
            <w:r w:rsidRPr="00A115E6">
              <w:t>Français</w:t>
            </w:r>
          </w:p>
          <w:p w:rsidR="000E0009" w:rsidRPr="00A115E6" w:rsidRDefault="000E0009" w:rsidP="000E0009">
            <w:pPr>
              <w:spacing w:line="240" w:lineRule="exact"/>
            </w:pPr>
            <w:r w:rsidRPr="00A115E6">
              <w:t>Original</w:t>
            </w:r>
            <w:r w:rsidR="00E12FC4" w:rsidRPr="00A115E6">
              <w:t> :</w:t>
            </w:r>
            <w:r w:rsidRPr="00A115E6">
              <w:t xml:space="preserve"> anglais</w:t>
            </w:r>
          </w:p>
        </w:tc>
      </w:tr>
    </w:tbl>
    <w:p w:rsidR="007F20FA" w:rsidRPr="00A115E6" w:rsidRDefault="007F20FA" w:rsidP="007F20FA">
      <w:pPr>
        <w:spacing w:before="120"/>
        <w:rPr>
          <w:b/>
          <w:sz w:val="28"/>
          <w:szCs w:val="28"/>
        </w:rPr>
      </w:pPr>
      <w:r w:rsidRPr="00A115E6">
        <w:rPr>
          <w:b/>
          <w:sz w:val="28"/>
          <w:szCs w:val="28"/>
        </w:rPr>
        <w:t>Commission économique pour l’Europe</w:t>
      </w:r>
    </w:p>
    <w:p w:rsidR="007F20FA" w:rsidRPr="00A115E6" w:rsidRDefault="007F20FA" w:rsidP="007F20FA">
      <w:pPr>
        <w:spacing w:before="120"/>
        <w:rPr>
          <w:sz w:val="28"/>
          <w:szCs w:val="28"/>
        </w:rPr>
      </w:pPr>
      <w:r w:rsidRPr="00A115E6">
        <w:rPr>
          <w:sz w:val="28"/>
          <w:szCs w:val="28"/>
        </w:rPr>
        <w:t>Comité des transports intérieurs</w:t>
      </w:r>
    </w:p>
    <w:p w:rsidR="000E0009" w:rsidRPr="00A115E6" w:rsidRDefault="000E0009" w:rsidP="00F8318D">
      <w:pPr>
        <w:spacing w:before="120" w:after="120"/>
        <w:rPr>
          <w:b/>
          <w:bCs/>
          <w:sz w:val="24"/>
          <w:szCs w:val="24"/>
        </w:rPr>
      </w:pPr>
      <w:r w:rsidRPr="00A115E6">
        <w:rPr>
          <w:b/>
          <w:bCs/>
          <w:sz w:val="24"/>
          <w:szCs w:val="24"/>
        </w:rPr>
        <w:t xml:space="preserve">Forum mondial de l’harmonisation </w:t>
      </w:r>
      <w:r w:rsidR="00F8318D" w:rsidRPr="00A115E6">
        <w:rPr>
          <w:b/>
          <w:bCs/>
          <w:sz w:val="24"/>
          <w:szCs w:val="24"/>
        </w:rPr>
        <w:br/>
      </w:r>
      <w:r w:rsidRPr="00A115E6">
        <w:rPr>
          <w:b/>
          <w:bCs/>
          <w:sz w:val="24"/>
          <w:szCs w:val="24"/>
        </w:rPr>
        <w:t>des Règlements concernant les véhicules</w:t>
      </w:r>
    </w:p>
    <w:p w:rsidR="000E0009" w:rsidRPr="00A115E6" w:rsidRDefault="000E0009" w:rsidP="00F8318D">
      <w:pPr>
        <w:spacing w:after="120"/>
        <w:rPr>
          <w:b/>
          <w:bCs/>
        </w:rPr>
      </w:pPr>
      <w:r w:rsidRPr="00A115E6">
        <w:rPr>
          <w:b/>
          <w:bCs/>
        </w:rPr>
        <w:t>Groupe de travail des dispositions de sécurité générale</w:t>
      </w:r>
    </w:p>
    <w:p w:rsidR="000E0009" w:rsidRPr="00A115E6" w:rsidRDefault="000E0009" w:rsidP="00F8318D">
      <w:pPr>
        <w:rPr>
          <w:b/>
          <w:bCs/>
        </w:rPr>
      </w:pPr>
      <w:r w:rsidRPr="00A115E6">
        <w:rPr>
          <w:b/>
          <w:bCs/>
        </w:rPr>
        <w:t>111</w:t>
      </w:r>
      <w:r w:rsidRPr="00A115E6">
        <w:rPr>
          <w:b/>
          <w:bCs/>
          <w:vertAlign w:val="superscript"/>
        </w:rPr>
        <w:t>e</w:t>
      </w:r>
      <w:r w:rsidR="00F8318D" w:rsidRPr="00A115E6">
        <w:rPr>
          <w:b/>
          <w:bCs/>
        </w:rPr>
        <w:t> </w:t>
      </w:r>
      <w:r w:rsidRPr="00A115E6">
        <w:rPr>
          <w:b/>
          <w:bCs/>
        </w:rPr>
        <w:t>session</w:t>
      </w:r>
    </w:p>
    <w:p w:rsidR="000E0009" w:rsidRPr="00A115E6" w:rsidRDefault="000E0009" w:rsidP="00F8318D">
      <w:r w:rsidRPr="00A115E6">
        <w:t>Genève, 11</w:t>
      </w:r>
      <w:r w:rsidR="00F8318D" w:rsidRPr="00A115E6">
        <w:t>-</w:t>
      </w:r>
      <w:r w:rsidRPr="00A115E6">
        <w:t>14 octobre 2016</w:t>
      </w:r>
    </w:p>
    <w:p w:rsidR="000E0009" w:rsidRPr="00A115E6" w:rsidRDefault="00F8318D" w:rsidP="00F8318D">
      <w:r w:rsidRPr="00A115E6">
        <w:t>Point </w:t>
      </w:r>
      <w:r w:rsidR="000E0009" w:rsidRPr="00A115E6">
        <w:t>11 de l’ordre du jour provisoire</w:t>
      </w:r>
    </w:p>
    <w:p w:rsidR="000E0009" w:rsidRPr="00A115E6" w:rsidRDefault="000E0009" w:rsidP="00F8318D">
      <w:pPr>
        <w:rPr>
          <w:b/>
          <w:bCs/>
        </w:rPr>
      </w:pPr>
      <w:r w:rsidRPr="00A115E6">
        <w:rPr>
          <w:b/>
          <w:bCs/>
        </w:rPr>
        <w:t xml:space="preserve">Règlement </w:t>
      </w:r>
      <w:r w:rsidR="00F8318D" w:rsidRPr="00A115E6">
        <w:rPr>
          <w:rFonts w:eastAsia="MS Mincho"/>
          <w:b/>
          <w:bCs/>
        </w:rPr>
        <w:t>n</w:t>
      </w:r>
      <w:r w:rsidR="00F8318D" w:rsidRPr="00A115E6">
        <w:rPr>
          <w:rFonts w:eastAsia="MS Mincho"/>
          <w:b/>
          <w:bCs/>
          <w:vertAlign w:val="superscript"/>
        </w:rPr>
        <w:t>o</w:t>
      </w:r>
      <w:r w:rsidR="00F8318D" w:rsidRPr="00A115E6">
        <w:rPr>
          <w:b/>
          <w:bCs/>
        </w:rPr>
        <w:t> </w:t>
      </w:r>
      <w:r w:rsidRPr="00A115E6">
        <w:rPr>
          <w:b/>
          <w:bCs/>
        </w:rPr>
        <w:t>118 (Comportement au feu des matériaux)</w:t>
      </w:r>
    </w:p>
    <w:p w:rsidR="000E0009" w:rsidRPr="00A115E6" w:rsidRDefault="00F8318D" w:rsidP="00F8318D">
      <w:pPr>
        <w:pStyle w:val="HChG"/>
        <w:rPr>
          <w:szCs w:val="26"/>
        </w:rPr>
      </w:pPr>
      <w:r w:rsidRPr="00A115E6">
        <w:tab/>
      </w:r>
      <w:r w:rsidRPr="00A115E6">
        <w:tab/>
      </w:r>
      <w:r w:rsidR="000E0009" w:rsidRPr="00A115E6">
        <w:t xml:space="preserve">Proposition d’amendements au Règlement </w:t>
      </w:r>
      <w:r w:rsidRPr="00A115E6">
        <w:rPr>
          <w:rFonts w:eastAsia="MS Mincho"/>
        </w:rPr>
        <w:t>n</w:t>
      </w:r>
      <w:r w:rsidRPr="00A115E6">
        <w:rPr>
          <w:rFonts w:eastAsia="MS Mincho"/>
          <w:vertAlign w:val="superscript"/>
        </w:rPr>
        <w:t>o</w:t>
      </w:r>
      <w:r w:rsidRPr="00A115E6">
        <w:t> </w:t>
      </w:r>
      <w:r w:rsidR="000E0009" w:rsidRPr="00A115E6">
        <w:t>118 (Comportement au feu des matériaux)</w:t>
      </w:r>
    </w:p>
    <w:p w:rsidR="000E0009" w:rsidRPr="00A115E6" w:rsidRDefault="00F8318D" w:rsidP="00F8318D">
      <w:pPr>
        <w:pStyle w:val="H1G"/>
      </w:pPr>
      <w:r w:rsidRPr="00A115E6">
        <w:tab/>
      </w:r>
      <w:r w:rsidRPr="00A115E6">
        <w:tab/>
      </w:r>
      <w:r w:rsidR="000E0009" w:rsidRPr="00A115E6">
        <w:t xml:space="preserve">Communication des experts de l’Allemagne, de la Finlande </w:t>
      </w:r>
      <w:r w:rsidRPr="00A115E6">
        <w:br/>
      </w:r>
      <w:r w:rsidR="000E0009" w:rsidRPr="00A115E6">
        <w:t>et de la France</w:t>
      </w:r>
      <w:r w:rsidR="000E0009" w:rsidRPr="00A115E6">
        <w:rPr>
          <w:b w:val="0"/>
          <w:bCs/>
          <w:sz w:val="20"/>
        </w:rPr>
        <w:footnoteReference w:customMarkFollows="1" w:id="2"/>
        <w:t>*</w:t>
      </w:r>
    </w:p>
    <w:p w:rsidR="000E0009" w:rsidRPr="00A115E6" w:rsidRDefault="000E0009" w:rsidP="00F8318D">
      <w:pPr>
        <w:pStyle w:val="SingleTxtG"/>
        <w:ind w:firstLine="567"/>
      </w:pPr>
      <w:r w:rsidRPr="00A115E6">
        <w:t>Le texte reproduit ci-après, établi par les experts de l’Allemagne, de la Finlande et de la France, a pour objet d’améliorer les prescriptions d’essai applicables aux câbles, ainsi qu’aux gaines et manchons de câbles. Les modifications qu’il est proposé d’appor</w:t>
      </w:r>
      <w:r w:rsidR="00F8318D" w:rsidRPr="00A115E6">
        <w:t>ter au texte actuel de la série </w:t>
      </w:r>
      <w:r w:rsidRPr="00A115E6">
        <w:t>02 d’</w:t>
      </w:r>
      <w:r w:rsidR="00F8318D" w:rsidRPr="00A115E6">
        <w:t xml:space="preserve">amendements au Règlement ONU </w:t>
      </w:r>
      <w:r w:rsidR="00F8318D" w:rsidRPr="00A115E6">
        <w:rPr>
          <w:rFonts w:eastAsia="MS Mincho"/>
        </w:rPr>
        <w:t>n</w:t>
      </w:r>
      <w:r w:rsidR="00F8318D" w:rsidRPr="00A115E6">
        <w:rPr>
          <w:rFonts w:eastAsia="MS Mincho"/>
          <w:vertAlign w:val="superscript"/>
        </w:rPr>
        <w:t>o</w:t>
      </w:r>
      <w:r w:rsidR="00F8318D" w:rsidRPr="00A115E6">
        <w:t> </w:t>
      </w:r>
      <w:r w:rsidRPr="00A115E6">
        <w:t>118, y compris les modifications apportées par les documents ECE/TRANS/WP.29/GRSG/2015/29 et Corr.1 sont indiquées en caractères gras pour les ajouts ou biffés pour les suppressions.</w:t>
      </w:r>
    </w:p>
    <w:p w:rsidR="000E0009" w:rsidRPr="00A115E6" w:rsidRDefault="000E0009" w:rsidP="00F8318D">
      <w:pPr>
        <w:pStyle w:val="HChG"/>
      </w:pPr>
      <w:r w:rsidRPr="00A115E6">
        <w:br w:type="page"/>
      </w:r>
      <w:r w:rsidR="00F8318D" w:rsidRPr="00A115E6">
        <w:lastRenderedPageBreak/>
        <w:tab/>
      </w:r>
      <w:r w:rsidRPr="00A115E6">
        <w:t>I.</w:t>
      </w:r>
      <w:r w:rsidRPr="00A115E6">
        <w:tab/>
        <w:t>Proposition</w:t>
      </w:r>
    </w:p>
    <w:p w:rsidR="000E0009" w:rsidRPr="00A115E6" w:rsidRDefault="000E0009" w:rsidP="00F8318D">
      <w:pPr>
        <w:pStyle w:val="SingleTxtG"/>
      </w:pPr>
      <w:r w:rsidRPr="00A115E6">
        <w:rPr>
          <w:i/>
        </w:rPr>
        <w:t>Table des matières, annexes</w:t>
      </w:r>
      <w:r w:rsidRPr="00A115E6">
        <w:t>, ajouter une nouvelle annexe 10, comme suit</w:t>
      </w:r>
      <w:r w:rsidR="00E12FC4" w:rsidRPr="00A115E6">
        <w:t> :</w:t>
      </w:r>
    </w:p>
    <w:p w:rsidR="000E0009" w:rsidRPr="00A115E6" w:rsidRDefault="000E0009" w:rsidP="00E12FC4">
      <w:pPr>
        <w:pStyle w:val="SingleTxtG"/>
        <w:ind w:left="2268" w:hanging="1134"/>
      </w:pPr>
      <w:r w:rsidRPr="00A115E6">
        <w:t>« </w:t>
      </w:r>
      <w:r w:rsidRPr="00A115E6">
        <w:rPr>
          <w:b/>
          <w:bCs/>
        </w:rPr>
        <w:t>Annexe 10</w:t>
      </w:r>
      <w:r w:rsidRPr="00A115E6">
        <w:rPr>
          <w:b/>
          <w:bCs/>
        </w:rPr>
        <w:tab/>
        <w:t>Essai visant à déterminer la résistance des câbles électriques à la propagation des flammes</w:t>
      </w:r>
      <w:r w:rsidRPr="00A115E6">
        <w:t> ».</w:t>
      </w:r>
    </w:p>
    <w:p w:rsidR="000E0009" w:rsidRPr="00A115E6" w:rsidRDefault="000E0009" w:rsidP="00F8318D">
      <w:pPr>
        <w:pStyle w:val="SingleTxtG"/>
      </w:pPr>
      <w:r w:rsidRPr="00A115E6">
        <w:rPr>
          <w:i/>
          <w:iCs/>
        </w:rPr>
        <w:t>Ajouter de nouvelles définitions 2.10 à 2.12</w:t>
      </w:r>
      <w:r w:rsidRPr="00A115E6">
        <w:t>, ainsi conçues</w:t>
      </w:r>
      <w:r w:rsidR="00E12FC4" w:rsidRPr="00A115E6">
        <w:t> :</w:t>
      </w:r>
    </w:p>
    <w:p w:rsidR="000E0009" w:rsidRPr="00A115E6" w:rsidRDefault="000E0009" w:rsidP="00E12FC4">
      <w:pPr>
        <w:pStyle w:val="SingleTxtG"/>
        <w:ind w:left="2268" w:hanging="1134"/>
        <w:rPr>
          <w:b/>
        </w:rPr>
      </w:pPr>
      <w:r w:rsidRPr="00A115E6">
        <w:t>« </w:t>
      </w:r>
      <w:r w:rsidRPr="00A115E6">
        <w:rPr>
          <w:b/>
        </w:rPr>
        <w:t>2.10</w:t>
      </w:r>
      <w:r w:rsidRPr="00A115E6">
        <w:tab/>
      </w:r>
      <w:r w:rsidRPr="00A115E6">
        <w:rPr>
          <w:b/>
        </w:rPr>
        <w:t xml:space="preserve">Par </w:t>
      </w:r>
      <w:r w:rsidR="00F8318D" w:rsidRPr="00A115E6">
        <w:rPr>
          <w:b/>
        </w:rPr>
        <w:t>“</w:t>
      </w:r>
      <w:r w:rsidRPr="00A115E6">
        <w:rPr>
          <w:b/>
          <w:i/>
        </w:rPr>
        <w:t>Câble électrique</w:t>
      </w:r>
      <w:r w:rsidR="00F8318D" w:rsidRPr="00A115E6">
        <w:rPr>
          <w:b/>
          <w:iCs/>
        </w:rPr>
        <w:t>”</w:t>
      </w:r>
      <w:r w:rsidRPr="00A115E6">
        <w:rPr>
          <w:b/>
        </w:rPr>
        <w:t>, un câble à conducteur simple ou à conducteurs multiples, éventuellement gainé, blindé ou non blindé, deux conducteurs ou davantage disposés côte à côte, soudés, torsadés ou tressés, ou des conducteurs et formant un ensemble unique, permettant le transfert de signaux électriques d’un dispositif à un autre.</w:t>
      </w:r>
    </w:p>
    <w:p w:rsidR="000E0009" w:rsidRPr="00A115E6" w:rsidRDefault="000E0009" w:rsidP="00E12FC4">
      <w:pPr>
        <w:pStyle w:val="SingleTxtG"/>
        <w:ind w:left="2268" w:hanging="1134"/>
        <w:rPr>
          <w:b/>
        </w:rPr>
      </w:pPr>
      <w:r w:rsidRPr="00A115E6">
        <w:rPr>
          <w:b/>
        </w:rPr>
        <w:t>2.11</w:t>
      </w:r>
      <w:r w:rsidRPr="00A115E6">
        <w:tab/>
      </w:r>
      <w:r w:rsidR="00F8318D" w:rsidRPr="00A115E6">
        <w:t>“</w:t>
      </w:r>
      <w:r w:rsidRPr="00A115E6">
        <w:rPr>
          <w:b/>
          <w:i/>
        </w:rPr>
        <w:t>Gaine de câble</w:t>
      </w:r>
      <w:r w:rsidR="00F8318D" w:rsidRPr="00A115E6">
        <w:rPr>
          <w:b/>
        </w:rPr>
        <w:t>”</w:t>
      </w:r>
      <w:r w:rsidRPr="00A115E6">
        <w:rPr>
          <w:b/>
        </w:rPr>
        <w:t>, tout composant enveloppant plusieurs câbles à conducteur simple pour en faire un câble multiconducteurs ou un faisceau électrique.</w:t>
      </w:r>
    </w:p>
    <w:p w:rsidR="000E0009" w:rsidRPr="00A115E6" w:rsidRDefault="000E0009" w:rsidP="00E12FC4">
      <w:pPr>
        <w:pStyle w:val="SingleTxtG"/>
        <w:ind w:left="2268" w:hanging="1134"/>
      </w:pPr>
      <w:r w:rsidRPr="00A115E6">
        <w:rPr>
          <w:b/>
        </w:rPr>
        <w:t>2.12</w:t>
      </w:r>
      <w:r w:rsidRPr="00A115E6">
        <w:tab/>
      </w:r>
      <w:r w:rsidR="00F8318D" w:rsidRPr="00A115E6">
        <w:rPr>
          <w:b/>
        </w:rPr>
        <w:t>“</w:t>
      </w:r>
      <w:r w:rsidRPr="00A115E6">
        <w:rPr>
          <w:b/>
          <w:i/>
        </w:rPr>
        <w:t>Manchon de câble</w:t>
      </w:r>
      <w:r w:rsidR="00F8318D" w:rsidRPr="00A115E6">
        <w:rPr>
          <w:b/>
        </w:rPr>
        <w:t>”</w:t>
      </w:r>
      <w:r w:rsidRPr="00A115E6">
        <w:rPr>
          <w:b/>
        </w:rPr>
        <w:t>, tout composant recouvrant des câbles électriques pour les guider ou les acheminer (tubes, gaines, conduits, par exemple), ou encore les fixer au véhicule</w:t>
      </w:r>
      <w:r w:rsidRPr="00A115E6">
        <w:t>. ».</w:t>
      </w:r>
    </w:p>
    <w:p w:rsidR="00F8318D" w:rsidRPr="00A115E6" w:rsidRDefault="00F8318D" w:rsidP="00F8318D">
      <w:pPr>
        <w:pStyle w:val="SingleTxtG"/>
      </w:pPr>
      <w:r w:rsidRPr="00A115E6">
        <w:rPr>
          <w:i/>
        </w:rPr>
        <w:t>Paragraphe 6.2.6</w:t>
      </w:r>
      <w:r w:rsidRPr="00A115E6">
        <w:t>, modifier comme suit</w:t>
      </w:r>
      <w:r w:rsidR="00E12FC4" w:rsidRPr="00A115E6">
        <w:t> :</w:t>
      </w:r>
    </w:p>
    <w:p w:rsidR="000E0009" w:rsidRPr="00A115E6" w:rsidRDefault="000E0009" w:rsidP="009A4C65">
      <w:pPr>
        <w:pStyle w:val="SingleTxtG"/>
        <w:ind w:left="2268" w:hanging="1134"/>
      </w:pPr>
      <w:r w:rsidRPr="00A115E6">
        <w:t>« 6.2.6</w:t>
      </w:r>
      <w:r w:rsidRPr="00A115E6">
        <w:tab/>
        <w:t xml:space="preserve">Les câbles électriques </w:t>
      </w:r>
      <w:r w:rsidRPr="00A115E6">
        <w:rPr>
          <w:strike/>
        </w:rPr>
        <w:t>(à conducteur simple, à conducteurs multiples, blindés, non blindés ou gainés, par exemple)</w:t>
      </w:r>
      <w:r w:rsidRPr="00A115E6">
        <w:t xml:space="preserve"> d’</w:t>
      </w:r>
      <w:r w:rsidR="00E12FC4" w:rsidRPr="00A115E6">
        <w:t>une longueur supérieure à 100 </w:t>
      </w:r>
      <w:r w:rsidRPr="00A115E6">
        <w:t xml:space="preserve">mm utilisés dans le véhicule doivent être soumis à l’essai de résistance à la propagation des flammes décrit dans </w:t>
      </w:r>
      <w:r w:rsidRPr="00A115E6">
        <w:rPr>
          <w:b/>
        </w:rPr>
        <w:t>l’</w:t>
      </w:r>
      <w:r w:rsidR="00E12FC4" w:rsidRPr="00A115E6">
        <w:rPr>
          <w:b/>
        </w:rPr>
        <w:t>annexe </w:t>
      </w:r>
      <w:r w:rsidRPr="00A115E6">
        <w:rPr>
          <w:b/>
        </w:rPr>
        <w:t>10 du présent Règlement</w:t>
      </w:r>
      <w:r w:rsidRPr="00A115E6">
        <w:t xml:space="preserve"> </w:t>
      </w:r>
      <w:r w:rsidR="009A4C65">
        <w:rPr>
          <w:strike/>
        </w:rPr>
        <w:t>la norme ISO 6722-1</w:t>
      </w:r>
      <w:r w:rsidR="00E12FC4" w:rsidRPr="00A115E6">
        <w:rPr>
          <w:strike/>
        </w:rPr>
        <w:t>:2011, paragraphe </w:t>
      </w:r>
      <w:r w:rsidRPr="00A115E6">
        <w:rPr>
          <w:strike/>
        </w:rPr>
        <w:t>5.22</w:t>
      </w:r>
      <w:r w:rsidRPr="00A115E6">
        <w:t xml:space="preserve">. </w:t>
      </w:r>
      <w:r w:rsidRPr="00A115E6">
        <w:rPr>
          <w:b/>
        </w:rPr>
        <w:t>Les procès-verbaux d’essais et les homologations d’éléments délivrées en vertu du paragraphe 12 de la norme ISO 6722</w:t>
      </w:r>
      <w:r w:rsidR="00E12FC4" w:rsidRPr="00A115E6">
        <w:rPr>
          <w:b/>
        </w:rPr>
        <w:t>:</w:t>
      </w:r>
      <w:r w:rsidRPr="00A115E6">
        <w:rPr>
          <w:b/>
        </w:rPr>
        <w:t>2006 restent valables</w:t>
      </w:r>
      <w:r w:rsidRPr="00A115E6">
        <w:t>.</w:t>
      </w:r>
    </w:p>
    <w:p w:rsidR="000E0009" w:rsidRPr="00A115E6" w:rsidRDefault="000E0009" w:rsidP="00E12FC4">
      <w:pPr>
        <w:pStyle w:val="SingleTxtG"/>
        <w:ind w:left="2268"/>
        <w:rPr>
          <w:b/>
          <w:bCs/>
        </w:rPr>
      </w:pPr>
      <w:r w:rsidRPr="00A115E6">
        <w:rPr>
          <w:b/>
          <w:bCs/>
        </w:rPr>
        <w:t>Plutôt que d’appliquer les prescriptions du présent paragraphe, on peut appliquer la procédure décrite au paragraphe 5.22 de la norme ISO 6722-1</w:t>
      </w:r>
      <w:r w:rsidR="00E12FC4" w:rsidRPr="00A115E6">
        <w:rPr>
          <w:b/>
          <w:bCs/>
        </w:rPr>
        <w:t>:</w:t>
      </w:r>
      <w:r w:rsidRPr="00A115E6">
        <w:rPr>
          <w:b/>
          <w:bCs/>
        </w:rPr>
        <w:t>2011.</w:t>
      </w:r>
    </w:p>
    <w:p w:rsidR="000E0009" w:rsidRPr="00A115E6" w:rsidRDefault="000E0009" w:rsidP="00E12FC4">
      <w:pPr>
        <w:pStyle w:val="SingleTxtG"/>
        <w:ind w:left="2268"/>
      </w:pPr>
      <w:r w:rsidRPr="00A115E6">
        <w:t>L’exposition aux flammes lors de l’essai doit prendre fin</w:t>
      </w:r>
      <w:r w:rsidR="00E12FC4" w:rsidRPr="00A115E6">
        <w:rPr>
          <w:b/>
        </w:rPr>
        <w:t> :</w:t>
      </w:r>
    </w:p>
    <w:p w:rsidR="000E0009" w:rsidRPr="00A115E6" w:rsidRDefault="000E0009" w:rsidP="00E12FC4">
      <w:pPr>
        <w:pStyle w:val="SingleTxtG"/>
        <w:ind w:left="2835" w:hanging="567"/>
        <w:rPr>
          <w:b/>
          <w:bCs/>
        </w:rPr>
      </w:pPr>
      <w:r w:rsidRPr="00A115E6">
        <w:rPr>
          <w:b/>
          <w:bCs/>
        </w:rPr>
        <w:t>1)</w:t>
      </w:r>
      <w:r w:rsidRPr="00A115E6">
        <w:rPr>
          <w:b/>
          <w:bCs/>
        </w:rPr>
        <w:tab/>
        <w:t>Pour les câbles à conducteur simple</w:t>
      </w:r>
      <w:r w:rsidR="00E12FC4" w:rsidRPr="00A115E6">
        <w:rPr>
          <w:b/>
          <w:bCs/>
        </w:rPr>
        <w:t> :</w:t>
      </w:r>
    </w:p>
    <w:p w:rsidR="000E0009" w:rsidRPr="00A115E6" w:rsidRDefault="000E0009" w:rsidP="00E12FC4">
      <w:pPr>
        <w:pStyle w:val="SingleTxtG"/>
        <w:ind w:left="3402" w:hanging="567"/>
      </w:pPr>
      <w:r w:rsidRPr="00A115E6">
        <w:rPr>
          <w:b/>
        </w:rPr>
        <w:t>a)</w:t>
      </w:r>
      <w:r w:rsidR="00E12FC4" w:rsidRPr="00A115E6">
        <w:rPr>
          <w:b/>
        </w:rPr>
        <w:tab/>
      </w:r>
      <w:r w:rsidR="009A4C65" w:rsidRPr="00A115E6">
        <w:t xml:space="preserve">Dès </w:t>
      </w:r>
      <w:r w:rsidRPr="00A115E6">
        <w:t xml:space="preserve">que le conducteur </w:t>
      </w:r>
      <w:r w:rsidRPr="00A115E6">
        <w:rPr>
          <w:strike/>
        </w:rPr>
        <w:t>(dans le cas d’un câble à conducteur simple) ou le premier conducteur (dans le cas d’un câble à conducteurs multiples)</w:t>
      </w:r>
      <w:r w:rsidR="00E12FC4" w:rsidRPr="00A115E6">
        <w:t xml:space="preserve"> devient visible ;</w:t>
      </w:r>
      <w:r w:rsidRPr="00A115E6">
        <w:t xml:space="preserve"> ou </w:t>
      </w:r>
    </w:p>
    <w:p w:rsidR="000E0009" w:rsidRPr="00A115E6" w:rsidRDefault="000E0009" w:rsidP="00E12FC4">
      <w:pPr>
        <w:pStyle w:val="SingleTxtG"/>
        <w:ind w:left="3402" w:hanging="567"/>
      </w:pPr>
      <w:r w:rsidRPr="00A115E6">
        <w:rPr>
          <w:b/>
        </w:rPr>
        <w:t>b)</w:t>
      </w:r>
      <w:r w:rsidR="00E12FC4" w:rsidRPr="00A115E6">
        <w:rPr>
          <w:b/>
        </w:rPr>
        <w:tab/>
      </w:r>
      <w:r w:rsidR="009A4C65" w:rsidRPr="00A115E6">
        <w:t xml:space="preserve">Après </w:t>
      </w:r>
      <w:r w:rsidR="00E12FC4" w:rsidRPr="00A115E6">
        <w:t>15 </w:t>
      </w:r>
      <w:r w:rsidRPr="00A115E6">
        <w:t xml:space="preserve">s pour les câbles dont les conducteurs ont </w:t>
      </w:r>
      <w:r w:rsidRPr="00A115E6">
        <w:rPr>
          <w:strike/>
        </w:rPr>
        <w:t>tous</w:t>
      </w:r>
      <w:r w:rsidRPr="00A115E6">
        <w:t xml:space="preserve"> une taille inférieure ou égale à 2,5 mm</w:t>
      </w:r>
      <w:r w:rsidRPr="00A115E6">
        <w:rPr>
          <w:vertAlign w:val="superscript"/>
        </w:rPr>
        <w:t>2</w:t>
      </w:r>
      <w:r w:rsidR="00E12FC4" w:rsidRPr="00A115E6">
        <w:rPr>
          <w:vertAlign w:val="superscript"/>
        </w:rPr>
        <w:t> </w:t>
      </w:r>
      <w:r w:rsidR="00E12FC4" w:rsidRPr="00A115E6">
        <w:rPr>
          <w:b/>
        </w:rPr>
        <w:t>;</w:t>
      </w:r>
      <w:r w:rsidRPr="00A115E6">
        <w:t xml:space="preserve"> et</w:t>
      </w:r>
    </w:p>
    <w:p w:rsidR="000E0009" w:rsidRPr="00A115E6" w:rsidRDefault="000E0009" w:rsidP="00E12FC4">
      <w:pPr>
        <w:pStyle w:val="SingleTxtG"/>
        <w:ind w:left="3402" w:hanging="567"/>
      </w:pPr>
      <w:r w:rsidRPr="00A115E6">
        <w:rPr>
          <w:b/>
        </w:rPr>
        <w:t>c)</w:t>
      </w:r>
      <w:r w:rsidR="00E12FC4" w:rsidRPr="00A115E6">
        <w:rPr>
          <w:b/>
        </w:rPr>
        <w:tab/>
      </w:r>
      <w:r w:rsidR="009A4C65" w:rsidRPr="00A115E6">
        <w:rPr>
          <w:b/>
        </w:rPr>
        <w:t xml:space="preserve">Après </w:t>
      </w:r>
      <w:r w:rsidR="00E12FC4" w:rsidRPr="00A115E6">
        <w:t>30 </w:t>
      </w:r>
      <w:r w:rsidRPr="00A115E6">
        <w:t xml:space="preserve">s pour les câbles dont les conducteurs </w:t>
      </w:r>
      <w:r w:rsidR="00E12FC4" w:rsidRPr="00A115E6">
        <w:t>ont une taille supérieure à 2,5 </w:t>
      </w:r>
      <w:r w:rsidRPr="00A115E6">
        <w:t>mm</w:t>
      </w:r>
      <w:r w:rsidRPr="00A115E6">
        <w:rPr>
          <w:vertAlign w:val="superscript"/>
        </w:rPr>
        <w:t>2</w:t>
      </w:r>
      <w:r w:rsidR="00E12FC4" w:rsidRPr="00A115E6">
        <w:rPr>
          <w:vertAlign w:val="superscript"/>
        </w:rPr>
        <w:t> </w:t>
      </w:r>
      <w:r w:rsidR="00E12FC4" w:rsidRPr="00A115E6">
        <w:t>;</w:t>
      </w:r>
    </w:p>
    <w:p w:rsidR="000E0009" w:rsidRPr="00A115E6" w:rsidRDefault="00E12FC4" w:rsidP="00E12FC4">
      <w:pPr>
        <w:pStyle w:val="SingleTxtG"/>
        <w:ind w:left="2835" w:hanging="567"/>
        <w:rPr>
          <w:b/>
        </w:rPr>
      </w:pPr>
      <w:r w:rsidRPr="00A115E6">
        <w:rPr>
          <w:b/>
        </w:rPr>
        <w:t>o</w:t>
      </w:r>
      <w:r w:rsidR="000E0009" w:rsidRPr="00A115E6">
        <w:rPr>
          <w:b/>
        </w:rPr>
        <w:t>u</w:t>
      </w:r>
    </w:p>
    <w:p w:rsidR="000E0009" w:rsidRPr="00A115E6" w:rsidRDefault="000E0009" w:rsidP="00E12FC4">
      <w:pPr>
        <w:pStyle w:val="SingleTxtG"/>
        <w:ind w:left="2835" w:hanging="567"/>
        <w:rPr>
          <w:b/>
        </w:rPr>
      </w:pPr>
      <w:r w:rsidRPr="00A115E6">
        <w:rPr>
          <w:b/>
        </w:rPr>
        <w:t>2)</w:t>
      </w:r>
      <w:r w:rsidRPr="00A115E6">
        <w:tab/>
      </w:r>
      <w:r w:rsidRPr="00A115E6">
        <w:rPr>
          <w:b/>
        </w:rPr>
        <w:t>Pour les câbles à conducteur simple ou à conducteurs multiples gainés, blindés et non blindés dont la somme de la taille des conducteu</w:t>
      </w:r>
      <w:r w:rsidR="00E12FC4" w:rsidRPr="00A115E6">
        <w:rPr>
          <w:b/>
        </w:rPr>
        <w:t>rs est inférieure ou égale à 15 </w:t>
      </w:r>
      <w:r w:rsidRPr="00A115E6">
        <w:rPr>
          <w:b/>
        </w:rPr>
        <w:t>mm</w:t>
      </w:r>
      <w:r w:rsidRPr="00A115E6">
        <w:rPr>
          <w:b/>
          <w:vertAlign w:val="superscript"/>
        </w:rPr>
        <w:t>2</w:t>
      </w:r>
      <w:r w:rsidR="00E12FC4" w:rsidRPr="00A115E6">
        <w:rPr>
          <w:b/>
        </w:rPr>
        <w:t> :</w:t>
      </w:r>
    </w:p>
    <w:p w:rsidR="000E0009" w:rsidRPr="00A115E6" w:rsidRDefault="000E0009" w:rsidP="00E12FC4">
      <w:pPr>
        <w:pStyle w:val="SingleTxtG"/>
        <w:ind w:left="3402" w:hanging="567"/>
        <w:rPr>
          <w:b/>
        </w:rPr>
      </w:pPr>
      <w:r w:rsidRPr="00A115E6">
        <w:rPr>
          <w:b/>
        </w:rPr>
        <w:t>a)</w:t>
      </w:r>
      <w:r w:rsidR="00E12FC4" w:rsidRPr="00A115E6">
        <w:rPr>
          <w:b/>
        </w:rPr>
        <w:tab/>
      </w:r>
      <w:r w:rsidR="009A4C65" w:rsidRPr="00A115E6">
        <w:rPr>
          <w:b/>
        </w:rPr>
        <w:t xml:space="preserve">Jusqu’à </w:t>
      </w:r>
      <w:r w:rsidRPr="00A115E6">
        <w:rPr>
          <w:b/>
        </w:rPr>
        <w:t xml:space="preserve">ce que l’un des conducteurs devienne visible ou au bout de </w:t>
      </w:r>
      <w:r w:rsidR="00E12FC4" w:rsidRPr="00A115E6">
        <w:rPr>
          <w:b/>
        </w:rPr>
        <w:t>30 </w:t>
      </w:r>
      <w:r w:rsidRPr="00A115E6">
        <w:rPr>
          <w:b/>
        </w:rPr>
        <w:t>s pour tous les câbles, si aucun ne devient visible</w:t>
      </w:r>
      <w:r w:rsidR="00E12FC4" w:rsidRPr="00A115E6">
        <w:rPr>
          <w:b/>
        </w:rPr>
        <w:t> ;</w:t>
      </w:r>
    </w:p>
    <w:p w:rsidR="000E0009" w:rsidRPr="00A115E6" w:rsidRDefault="000E0009" w:rsidP="009A4C65">
      <w:pPr>
        <w:pStyle w:val="SingleTxtG"/>
        <w:keepNext/>
        <w:ind w:left="2268"/>
        <w:rPr>
          <w:b/>
        </w:rPr>
      </w:pPr>
      <w:r w:rsidRPr="00A115E6">
        <w:rPr>
          <w:b/>
        </w:rPr>
        <w:lastRenderedPageBreak/>
        <w:t>ou</w:t>
      </w:r>
    </w:p>
    <w:p w:rsidR="000E0009" w:rsidRPr="00A115E6" w:rsidRDefault="000E0009" w:rsidP="00E12FC4">
      <w:pPr>
        <w:pStyle w:val="SingleTxtG"/>
        <w:ind w:left="2835" w:hanging="567"/>
        <w:rPr>
          <w:b/>
        </w:rPr>
      </w:pPr>
      <w:r w:rsidRPr="00A115E6">
        <w:rPr>
          <w:b/>
        </w:rPr>
        <w:t>3)</w:t>
      </w:r>
      <w:r w:rsidRPr="00A115E6">
        <w:tab/>
      </w:r>
      <w:r w:rsidRPr="00A115E6">
        <w:rPr>
          <w:b/>
        </w:rPr>
        <w:t>Pour les câbles à conducteur simple ou à conducteurs multiples gainés, blindés ou non blindés dont la somme de la taille des conducteurs est supérieure à 15 mm</w:t>
      </w:r>
      <w:r w:rsidRPr="00A115E6">
        <w:rPr>
          <w:b/>
          <w:vertAlign w:val="superscript"/>
        </w:rPr>
        <w:t>2</w:t>
      </w:r>
      <w:r w:rsidR="00E12FC4" w:rsidRPr="00A115E6">
        <w:rPr>
          <w:b/>
        </w:rPr>
        <w:t> :</w:t>
      </w:r>
    </w:p>
    <w:p w:rsidR="000E0009" w:rsidRPr="00A115E6" w:rsidRDefault="000E0009" w:rsidP="00E12FC4">
      <w:pPr>
        <w:pStyle w:val="SingleTxtG"/>
        <w:ind w:left="3402" w:hanging="567"/>
        <w:rPr>
          <w:b/>
        </w:rPr>
      </w:pPr>
      <w:r w:rsidRPr="00A115E6">
        <w:rPr>
          <w:b/>
        </w:rPr>
        <w:t>a)</w:t>
      </w:r>
      <w:r w:rsidR="00E12FC4" w:rsidRPr="00A115E6">
        <w:rPr>
          <w:b/>
        </w:rPr>
        <w:tab/>
      </w:r>
      <w:r w:rsidR="009A4C65" w:rsidRPr="00A115E6">
        <w:rPr>
          <w:b/>
        </w:rPr>
        <w:t xml:space="preserve">Conformément </w:t>
      </w:r>
      <w:r w:rsidRPr="00A115E6">
        <w:rPr>
          <w:b/>
        </w:rPr>
        <w:t xml:space="preserve">aux dispositions du </w:t>
      </w:r>
      <w:r w:rsidR="00E12FC4" w:rsidRPr="00A115E6">
        <w:rPr>
          <w:b/>
        </w:rPr>
        <w:t>point </w:t>
      </w:r>
      <w:r w:rsidRPr="00A115E6">
        <w:rPr>
          <w:b/>
        </w:rPr>
        <w:t xml:space="preserve">1) ou du </w:t>
      </w:r>
      <w:r w:rsidR="00E12FC4" w:rsidRPr="00A115E6">
        <w:rPr>
          <w:b/>
        </w:rPr>
        <w:t>point </w:t>
      </w:r>
      <w:r w:rsidRPr="00A115E6">
        <w:rPr>
          <w:b/>
        </w:rPr>
        <w:t xml:space="preserve">2) , selon le cas. </w:t>
      </w:r>
    </w:p>
    <w:p w:rsidR="000E0009" w:rsidRPr="00A115E6" w:rsidRDefault="000E0009" w:rsidP="00E12FC4">
      <w:pPr>
        <w:pStyle w:val="SingleTxtG"/>
        <w:ind w:left="2268"/>
        <w:rPr>
          <w:b/>
        </w:rPr>
      </w:pPr>
      <w:r w:rsidRPr="00A115E6">
        <w:rPr>
          <w:b/>
        </w:rPr>
        <w:t>Les câbles électriques qui correspondent à la description du point</w:t>
      </w:r>
      <w:r w:rsidR="00E12FC4" w:rsidRPr="00A115E6">
        <w:rPr>
          <w:b/>
        </w:rPr>
        <w:t> </w:t>
      </w:r>
      <w:r w:rsidRPr="00A115E6">
        <w:rPr>
          <w:b/>
        </w:rPr>
        <w:t>2) peuvent être soumis à l’essai soit de manière groupée soit séparément.</w:t>
      </w:r>
    </w:p>
    <w:p w:rsidR="000E0009" w:rsidRPr="00A115E6" w:rsidRDefault="000E0009" w:rsidP="00E12FC4">
      <w:pPr>
        <w:pStyle w:val="SingleTxtG"/>
        <w:ind w:left="2268"/>
        <w:rPr>
          <w:b/>
        </w:rPr>
      </w:pPr>
      <w:r w:rsidRPr="00A115E6">
        <w:rPr>
          <w:b/>
        </w:rPr>
        <w:t>Les câbles électriques qui correspondent à la description du point</w:t>
      </w:r>
      <w:r w:rsidR="00E12FC4" w:rsidRPr="00A115E6">
        <w:rPr>
          <w:b/>
        </w:rPr>
        <w:t> </w:t>
      </w:r>
      <w:r w:rsidRPr="00A115E6">
        <w:rPr>
          <w:b/>
        </w:rPr>
        <w:t>3) doivent l’être séparément.</w:t>
      </w:r>
    </w:p>
    <w:p w:rsidR="000E0009" w:rsidRPr="00A115E6" w:rsidRDefault="000E0009" w:rsidP="00E12FC4">
      <w:pPr>
        <w:pStyle w:val="SingleTxtG"/>
        <w:ind w:left="2268"/>
      </w:pPr>
      <w:r w:rsidRPr="00A115E6">
        <w:t xml:space="preserve">Le résultat de l’essai est considéré comme satisfaisant si, compte tenu du plus mauvais résultat, toute flamme de combustion du matériau isolant s’éteint dans les </w:t>
      </w:r>
      <w:r w:rsidR="00E12FC4" w:rsidRPr="00A115E6">
        <w:t>70 </w:t>
      </w:r>
      <w:r w:rsidRPr="00A115E6">
        <w:t xml:space="preserve">s </w:t>
      </w:r>
      <w:r w:rsidR="00E12FC4" w:rsidRPr="00A115E6">
        <w:t>et si au moins 50 </w:t>
      </w:r>
      <w:r w:rsidRPr="00A115E6">
        <w:t>mm d’isolant au sommet de l’échantillon d’essai n’ont pas brûlé.</w:t>
      </w:r>
      <w:r w:rsidR="00E12FC4" w:rsidRPr="00A115E6">
        <w:t> </w:t>
      </w:r>
      <w:r w:rsidRPr="00A115E6">
        <w:t>».</w:t>
      </w:r>
    </w:p>
    <w:p w:rsidR="000E0009" w:rsidRPr="00A115E6" w:rsidRDefault="000E0009" w:rsidP="006854BC">
      <w:pPr>
        <w:pStyle w:val="SingleTxtG"/>
      </w:pPr>
      <w:r w:rsidRPr="00A115E6">
        <w:rPr>
          <w:i/>
        </w:rPr>
        <w:t>Ajouter un nouveau paragraphe 6.2.7</w:t>
      </w:r>
      <w:r w:rsidRPr="00A115E6">
        <w:t>, ainsi conçu</w:t>
      </w:r>
      <w:r w:rsidR="00E12FC4" w:rsidRPr="00A115E6">
        <w:t> :</w:t>
      </w:r>
    </w:p>
    <w:p w:rsidR="000E0009" w:rsidRPr="00A115E6" w:rsidRDefault="000E0009" w:rsidP="00E12FC4">
      <w:pPr>
        <w:pStyle w:val="SingleTxtG"/>
        <w:ind w:left="2268" w:hanging="1134"/>
      </w:pPr>
      <w:r w:rsidRPr="00A115E6">
        <w:t>«</w:t>
      </w:r>
      <w:r w:rsidR="00E12FC4" w:rsidRPr="00A115E6">
        <w:t> </w:t>
      </w:r>
      <w:r w:rsidRPr="00A115E6">
        <w:rPr>
          <w:b/>
        </w:rPr>
        <w:t>6.2.7</w:t>
      </w:r>
      <w:r w:rsidRPr="00A115E6">
        <w:tab/>
      </w:r>
      <w:r w:rsidRPr="00A115E6">
        <w:rPr>
          <w:b/>
        </w:rPr>
        <w:t>Tous les gaines et manchons de câbl</w:t>
      </w:r>
      <w:r w:rsidR="00E12FC4" w:rsidRPr="00A115E6">
        <w:rPr>
          <w:b/>
        </w:rPr>
        <w:t>es dont la longueur dépasse 100 </w:t>
      </w:r>
      <w:r w:rsidRPr="00A115E6">
        <w:rPr>
          <w:b/>
        </w:rPr>
        <w:t>mm doivent être soumis à l’essai visant à déterminer la vitesse de combustion des matériaux décrit à l’annexe 8.</w:t>
      </w:r>
      <w:r w:rsidR="00E12FC4" w:rsidRPr="00A115E6">
        <w:rPr>
          <w:b/>
        </w:rPr>
        <w:t> </w:t>
      </w:r>
      <w:r w:rsidRPr="00A115E6">
        <w:t>».</w:t>
      </w:r>
    </w:p>
    <w:p w:rsidR="000E0009" w:rsidRPr="00A115E6" w:rsidRDefault="000E0009" w:rsidP="006854BC">
      <w:pPr>
        <w:pStyle w:val="SingleTxtG"/>
      </w:pPr>
      <w:r w:rsidRPr="00A115E6">
        <w:rPr>
          <w:i/>
        </w:rPr>
        <w:t xml:space="preserve">Les paragraphes 6.2.7 à 6.2.7.3 </w:t>
      </w:r>
      <w:r w:rsidRPr="00A115E6">
        <w:t>deviennent les paragraphes 6.2.8 à 6.2.8.3.</w:t>
      </w:r>
    </w:p>
    <w:p w:rsidR="000E0009" w:rsidRPr="00A115E6" w:rsidRDefault="000E0009" w:rsidP="006854BC">
      <w:pPr>
        <w:pStyle w:val="SingleTxtG"/>
        <w:rPr>
          <w:i/>
        </w:rPr>
      </w:pPr>
      <w:r w:rsidRPr="00A115E6">
        <w:rPr>
          <w:i/>
        </w:rPr>
        <w:t xml:space="preserve">Le paragraphe 6.2.7.4 </w:t>
      </w:r>
      <w:r w:rsidRPr="00A115E6">
        <w:t>devient le paragraphe 6.2.8.4 et est modifié comme suit</w:t>
      </w:r>
      <w:r w:rsidR="00E12FC4" w:rsidRPr="00A115E6">
        <w:t> :</w:t>
      </w:r>
    </w:p>
    <w:p w:rsidR="000E0009" w:rsidRPr="00A115E6" w:rsidRDefault="000E0009" w:rsidP="00E12FC4">
      <w:pPr>
        <w:pStyle w:val="SingleTxtG"/>
        <w:ind w:left="2268" w:hanging="1134"/>
      </w:pPr>
      <w:r w:rsidRPr="00A115E6">
        <w:t>«</w:t>
      </w:r>
      <w:r w:rsidR="00E12FC4" w:rsidRPr="00A115E6">
        <w:t> </w:t>
      </w:r>
      <w:r w:rsidRPr="00A115E6">
        <w:t>6.2.</w:t>
      </w:r>
      <w:r w:rsidRPr="00A115E6">
        <w:rPr>
          <w:b/>
        </w:rPr>
        <w:t>8</w:t>
      </w:r>
      <w:r w:rsidRPr="00A115E6">
        <w:t>.4</w:t>
      </w:r>
      <w:r w:rsidRPr="00A115E6">
        <w:tab/>
        <w:t>Les éléments dont il est impossible d’extraire un échantillon aux dime</w:t>
      </w:r>
      <w:r w:rsidR="00E12FC4" w:rsidRPr="00A115E6">
        <w:t>nsions prescrites au paragraphe </w:t>
      </w:r>
      <w:r w:rsidRPr="00A115E6">
        <w:t>3.1 de l’</w:t>
      </w:r>
      <w:r w:rsidR="00E12FC4" w:rsidRPr="00A115E6">
        <w:t>annexe </w:t>
      </w:r>
      <w:r w:rsidRPr="00A115E6">
        <w:t>6</w:t>
      </w:r>
      <w:r w:rsidRPr="00A115E6">
        <w:rPr>
          <w:b/>
        </w:rPr>
        <w:t xml:space="preserve">, </w:t>
      </w:r>
      <w:r w:rsidRPr="00A115E6">
        <w:rPr>
          <w:strike/>
        </w:rPr>
        <w:t>et</w:t>
      </w:r>
      <w:r w:rsidR="00E12FC4" w:rsidRPr="00A115E6">
        <w:t xml:space="preserve"> au paragraphe </w:t>
      </w:r>
      <w:r w:rsidRPr="00A115E6">
        <w:t>3 de l’</w:t>
      </w:r>
      <w:r w:rsidR="00E12FC4" w:rsidRPr="00A115E6">
        <w:t>annexe </w:t>
      </w:r>
      <w:r w:rsidRPr="00A115E6">
        <w:t xml:space="preserve">7 </w:t>
      </w:r>
      <w:r w:rsidRPr="00A115E6">
        <w:rPr>
          <w:b/>
        </w:rPr>
        <w:t>et au</w:t>
      </w:r>
      <w:r w:rsidR="00E12FC4" w:rsidRPr="00A115E6">
        <w:rPr>
          <w:b/>
        </w:rPr>
        <w:t xml:space="preserve"> paragraphe 3</w:t>
      </w:r>
      <w:r w:rsidRPr="00A115E6">
        <w:rPr>
          <w:b/>
        </w:rPr>
        <w:t>.1 de l’</w:t>
      </w:r>
      <w:r w:rsidR="00E12FC4" w:rsidRPr="00A115E6">
        <w:rPr>
          <w:b/>
        </w:rPr>
        <w:t>annexe </w:t>
      </w:r>
      <w:r w:rsidRPr="00A115E6">
        <w:rPr>
          <w:b/>
        </w:rPr>
        <w:t>8</w:t>
      </w:r>
      <w:r w:rsidRPr="00A115E6">
        <w:t>.</w:t>
      </w:r>
      <w:r w:rsidR="00E12FC4" w:rsidRPr="00A115E6">
        <w:t> </w:t>
      </w:r>
      <w:r w:rsidRPr="00A115E6">
        <w:t>».</w:t>
      </w:r>
    </w:p>
    <w:p w:rsidR="000E0009" w:rsidRPr="00A115E6" w:rsidRDefault="000E0009" w:rsidP="006854BC">
      <w:pPr>
        <w:pStyle w:val="SingleTxtG"/>
      </w:pPr>
      <w:r w:rsidRPr="00A115E6">
        <w:rPr>
          <w:i/>
        </w:rPr>
        <w:t>Annexe 6, ajouter un nouveau paragraphe 3.1.3</w:t>
      </w:r>
      <w:r w:rsidRPr="00A115E6">
        <w:t>, ainsi conçu</w:t>
      </w:r>
      <w:r w:rsidR="00E12FC4" w:rsidRPr="00A115E6">
        <w:t> :</w:t>
      </w:r>
    </w:p>
    <w:p w:rsidR="000E0009" w:rsidRPr="00A115E6" w:rsidRDefault="000E0009" w:rsidP="00E12FC4">
      <w:pPr>
        <w:pStyle w:val="SingleTxtG"/>
        <w:ind w:left="2268" w:hanging="1134"/>
      </w:pPr>
      <w:r w:rsidRPr="00A115E6">
        <w:t>«</w:t>
      </w:r>
      <w:r w:rsidR="00E12FC4" w:rsidRPr="00A115E6">
        <w:t> </w:t>
      </w:r>
      <w:r w:rsidRPr="00A115E6">
        <w:rPr>
          <w:b/>
        </w:rPr>
        <w:t>3.1.3</w:t>
      </w:r>
      <w:r w:rsidRPr="00A115E6">
        <w:tab/>
      </w:r>
      <w:r w:rsidRPr="00A115E6">
        <w:rPr>
          <w:b/>
        </w:rPr>
        <w:t>La taille de l’échantillon doit être indiquée dans le procès-verbal d’essai.</w:t>
      </w:r>
      <w:r w:rsidR="00E12FC4" w:rsidRPr="00A115E6">
        <w:rPr>
          <w:b/>
        </w:rPr>
        <w:t> </w:t>
      </w:r>
      <w:r w:rsidRPr="00A115E6">
        <w:t>».</w:t>
      </w:r>
    </w:p>
    <w:p w:rsidR="000E0009" w:rsidRPr="00A115E6" w:rsidRDefault="000E0009" w:rsidP="009A4C65">
      <w:pPr>
        <w:pStyle w:val="SingleTxtG"/>
      </w:pPr>
      <w:r w:rsidRPr="00A115E6">
        <w:rPr>
          <w:i/>
        </w:rPr>
        <w:t>Annexe 7, ajouter un nouveau paragraphe 3.1</w:t>
      </w:r>
      <w:r w:rsidRPr="00A115E6">
        <w:t>, ainsi conçu</w:t>
      </w:r>
      <w:r w:rsidR="00E12FC4" w:rsidRPr="00A115E6">
        <w:t> :</w:t>
      </w:r>
    </w:p>
    <w:p w:rsidR="000E0009" w:rsidRPr="00A115E6" w:rsidRDefault="000E0009" w:rsidP="009A4C65">
      <w:pPr>
        <w:pStyle w:val="SingleTxtG"/>
        <w:ind w:left="2268" w:hanging="1134"/>
      </w:pPr>
      <w:r w:rsidRPr="00A115E6">
        <w:t>«</w:t>
      </w:r>
      <w:r w:rsidR="00E12FC4" w:rsidRPr="00A115E6">
        <w:t> </w:t>
      </w:r>
      <w:r w:rsidRPr="00A115E6">
        <w:rPr>
          <w:b/>
        </w:rPr>
        <w:t>3.1</w:t>
      </w:r>
      <w:r w:rsidRPr="00A115E6">
        <w:tab/>
      </w:r>
      <w:r w:rsidRPr="00A115E6">
        <w:rPr>
          <w:b/>
        </w:rPr>
        <w:t>La taille et la masse de l’échantillon doivent être indiquées dans le procès-verbal d’essai.</w:t>
      </w:r>
      <w:r w:rsidR="00E12FC4" w:rsidRPr="00A115E6">
        <w:rPr>
          <w:b/>
        </w:rPr>
        <w:t> </w:t>
      </w:r>
      <w:r w:rsidRPr="00A115E6">
        <w:t>».</w:t>
      </w:r>
    </w:p>
    <w:p w:rsidR="000E0009" w:rsidRPr="00A115E6" w:rsidRDefault="000E0009" w:rsidP="000E0009">
      <w:pPr>
        <w:tabs>
          <w:tab w:val="left" w:pos="2835"/>
          <w:tab w:val="left" w:pos="8505"/>
        </w:tabs>
        <w:spacing w:before="120" w:after="120"/>
        <w:ind w:left="2268" w:right="1134" w:hanging="1134"/>
        <w:jc w:val="both"/>
        <w:rPr>
          <w:i/>
        </w:rPr>
      </w:pPr>
      <w:r w:rsidRPr="00A115E6">
        <w:rPr>
          <w:i/>
        </w:rPr>
        <w:t>Annexe 8</w:t>
      </w:r>
    </w:p>
    <w:p w:rsidR="000E0009" w:rsidRPr="00A115E6" w:rsidRDefault="000E0009" w:rsidP="006854BC">
      <w:pPr>
        <w:pStyle w:val="SingleTxtG"/>
      </w:pPr>
      <w:r w:rsidRPr="00A115E6">
        <w:rPr>
          <w:i/>
        </w:rPr>
        <w:t>Paragraphe 2.1</w:t>
      </w:r>
      <w:r w:rsidRPr="00A115E6">
        <w:t>, modifier comme suit</w:t>
      </w:r>
      <w:r w:rsidR="00E12FC4" w:rsidRPr="00A115E6">
        <w:t> :</w:t>
      </w:r>
    </w:p>
    <w:p w:rsidR="000E0009" w:rsidRPr="00A115E6" w:rsidRDefault="000E0009" w:rsidP="00E12FC4">
      <w:pPr>
        <w:pStyle w:val="SingleTxtG"/>
        <w:ind w:left="2268" w:hanging="1134"/>
      </w:pPr>
      <w:r w:rsidRPr="00A115E6">
        <w:t>«</w:t>
      </w:r>
      <w:r w:rsidR="00E12FC4" w:rsidRPr="00A115E6">
        <w:t> </w:t>
      </w:r>
      <w:r w:rsidRPr="00A115E6">
        <w:t>2.1</w:t>
      </w:r>
      <w:r w:rsidRPr="00A115E6">
        <w:tab/>
        <w:t xml:space="preserve">Le porte-échantillon doit être </w:t>
      </w:r>
      <w:r w:rsidR="00E12FC4" w:rsidRPr="00A115E6">
        <w:t>un cadre rectangulaire de 560 </w:t>
      </w:r>
      <w:r w:rsidRPr="00A115E6">
        <w:t xml:space="preserve">mm de haut équipé de deux tiges parallèles reliées de </w:t>
      </w:r>
      <w:r w:rsidR="00E12FC4" w:rsidRPr="00A115E6">
        <w:t>façon rigide et espacées de 150 </w:t>
      </w:r>
      <w:r w:rsidRPr="00A115E6">
        <w:t>mm comportant des tétons destinés au montage de l’échantillon d’essai situé dans un plan distant d’</w:t>
      </w:r>
      <w:r w:rsidR="00E12FC4" w:rsidRPr="00A115E6">
        <w:t>au moins 20 </w:t>
      </w:r>
      <w:r w:rsidRPr="00A115E6">
        <w:t xml:space="preserve">mm du cadre. Les tétons de montage ne doivent pas dépasser </w:t>
      </w:r>
      <w:r w:rsidR="00E12FC4" w:rsidRPr="00A115E6">
        <w:t>2 </w:t>
      </w:r>
      <w:r w:rsidRPr="00A115E6">
        <w:t xml:space="preserve">mm de diamètre mais être longs d’au moins </w:t>
      </w:r>
      <w:r w:rsidRPr="00A115E6">
        <w:rPr>
          <w:strike/>
        </w:rPr>
        <w:t>27</w:t>
      </w:r>
      <w:r w:rsidR="00E12FC4" w:rsidRPr="00A115E6">
        <w:t> </w:t>
      </w:r>
      <w:r w:rsidRPr="00A115E6">
        <w:rPr>
          <w:b/>
        </w:rPr>
        <w:t>40</w:t>
      </w:r>
      <w:r w:rsidR="00E12FC4" w:rsidRPr="00A115E6">
        <w:t> </w:t>
      </w:r>
      <w:r w:rsidRPr="00A115E6">
        <w:t>mm. Les tétons doivent être placés sur les tiges parallèles au</w:t>
      </w:r>
      <w:r w:rsidR="00E12FC4" w:rsidRPr="00A115E6">
        <w:t>x endroits indiqués à la figure </w:t>
      </w:r>
      <w:r w:rsidRPr="00A115E6">
        <w:t>1. Le cadre doit être fixé sur un support approprié afin de maintenir les tiges à la verticale pendant l’essai. (Pour fixer l’échantillon sur les tétons dans un plan hors du cadre, des éléments d’</w:t>
      </w:r>
      <w:r w:rsidR="00E12FC4" w:rsidRPr="00A115E6">
        <w:t>écartement de 2 </w:t>
      </w:r>
      <w:r w:rsidRPr="00A115E6">
        <w:t>mm de diamètre peuvent être placés entre les tétons.)</w:t>
      </w:r>
    </w:p>
    <w:p w:rsidR="000E0009" w:rsidRPr="00A115E6" w:rsidRDefault="000E0009" w:rsidP="00E12FC4">
      <w:pPr>
        <w:pStyle w:val="SingleTxtG"/>
        <w:ind w:left="2268"/>
        <w:rPr>
          <w:b/>
        </w:rPr>
      </w:pPr>
      <w:r w:rsidRPr="00A115E6">
        <w:tab/>
      </w:r>
      <w:r w:rsidRPr="00A115E6">
        <w:rPr>
          <w:b/>
        </w:rPr>
        <w:t>La largeur du porte-échantillon représenté à la figure 1 peut être modifiée pour permettre le montage de l’échantillon.</w:t>
      </w:r>
    </w:p>
    <w:p w:rsidR="000E0009" w:rsidRPr="00A115E6" w:rsidRDefault="000E0009" w:rsidP="00E12FC4">
      <w:pPr>
        <w:pStyle w:val="SingleTxtG"/>
        <w:ind w:left="2268"/>
      </w:pPr>
      <w:r w:rsidRPr="00A115E6">
        <w:lastRenderedPageBreak/>
        <w:tab/>
      </w:r>
      <w:r w:rsidRPr="00A115E6">
        <w:rPr>
          <w:b/>
        </w:rPr>
        <w:t>Pour fixer l’échantillon en position verticale, on peut prévoir un support composé de fils résistant à la chaleur, d’un diamètre de 0,25 mm, tendus horizontalement à des intervalles de 25 mm le long de toute la hauteur du porte-échantillon. On peut aussi fixer l’échantillon au porte-échantillon à l’aide de pinces supplémentaires</w:t>
      </w:r>
      <w:r w:rsidRPr="00A115E6">
        <w:t>.».</w:t>
      </w:r>
    </w:p>
    <w:p w:rsidR="000E0009" w:rsidRPr="00A115E6" w:rsidRDefault="000E0009" w:rsidP="006854BC">
      <w:pPr>
        <w:pStyle w:val="SingleTxtG"/>
      </w:pPr>
      <w:r w:rsidRPr="00A115E6">
        <w:rPr>
          <w:i/>
        </w:rPr>
        <w:t>Paragraphe 2.3</w:t>
      </w:r>
      <w:r w:rsidRPr="00A115E6">
        <w:t>, modifier comme suit</w:t>
      </w:r>
      <w:r w:rsidR="00E12FC4" w:rsidRPr="00A115E6">
        <w:t> :</w:t>
      </w:r>
    </w:p>
    <w:p w:rsidR="000E0009" w:rsidRPr="00A115E6" w:rsidRDefault="000E0009" w:rsidP="00E12FC4">
      <w:pPr>
        <w:pStyle w:val="SingleTxtG"/>
        <w:ind w:left="2268" w:hanging="1134"/>
      </w:pPr>
      <w:r w:rsidRPr="00A115E6">
        <w:t>«</w:t>
      </w:r>
      <w:r w:rsidR="00E12FC4" w:rsidRPr="00A115E6">
        <w:t> </w:t>
      </w:r>
      <w:r w:rsidRPr="00A115E6">
        <w:t>2.3</w:t>
      </w:r>
      <w:r w:rsidRPr="00A115E6">
        <w:tab/>
        <w:t>L’appareil d’essai peut être placé dans une hotte de laboratoire</w:t>
      </w:r>
      <w:r w:rsidRPr="00A115E6">
        <w:rPr>
          <w:strike/>
        </w:rPr>
        <w:t xml:space="preserve"> à condition que le volume interne de celle-ci soit au </w:t>
      </w:r>
      <w:r w:rsidR="00E12FC4" w:rsidRPr="00A115E6">
        <w:rPr>
          <w:strike/>
        </w:rPr>
        <w:t>moins 20 fois, mais au plus 110 </w:t>
      </w:r>
      <w:r w:rsidRPr="00A115E6">
        <w:rPr>
          <w:strike/>
        </w:rPr>
        <w:t>fois, plus grand que le volume de la chambre de combustion et qu’aucune de ses dimensions (hauteur, largeur ou profo</w:t>
      </w:r>
      <w:r w:rsidR="00E12FC4" w:rsidRPr="00A115E6">
        <w:rPr>
          <w:strike/>
        </w:rPr>
        <w:t>ndeur) ne soit supérieure à 2,5 </w:t>
      </w:r>
      <w:r w:rsidRPr="00A115E6">
        <w:rPr>
          <w:strike/>
        </w:rPr>
        <w:t>fois l’une des deux autres</w:t>
      </w:r>
      <w:r w:rsidRPr="00A115E6">
        <w:t xml:space="preserve">. </w:t>
      </w:r>
      <w:r w:rsidRPr="00A115E6">
        <w:rPr>
          <w:b/>
        </w:rPr>
        <w:t>La taille et la forme de la chambre de combustion ne doivent pas affecter les résultats de l’essai</w:t>
      </w:r>
      <w:r w:rsidRPr="009A4C65">
        <w:rPr>
          <w:b/>
          <w:bCs/>
        </w:rPr>
        <w:t xml:space="preserve">. </w:t>
      </w:r>
      <w:r w:rsidRPr="00A115E6">
        <w:t xml:space="preserve">Avant l’essai, la vitesse verticale de l’air dans la hotte de laboratoire doit être </w:t>
      </w:r>
      <w:r w:rsidR="00E12FC4" w:rsidRPr="00A115E6">
        <w:t>mesurée à 100 </w:t>
      </w:r>
      <w:r w:rsidRPr="00A115E6">
        <w:t>mm en avant et en arrière de l’emplacement prévu de l’appareil d’essai. Elle do</w:t>
      </w:r>
      <w:r w:rsidR="00E12FC4" w:rsidRPr="00A115E6">
        <w:t>it se situer entre 0,10 et 0,30 </w:t>
      </w:r>
      <w:r w:rsidRPr="00A115E6">
        <w:t>m/s, de façon à éviter que l’opérateur soit gêné par les produits de combustion. Il est possible d’utiliser une hotte à ventilation naturelle, à condition que le flux d’air soit suffisant.</w:t>
      </w:r>
      <w:r w:rsidR="00E12FC4" w:rsidRPr="00A115E6">
        <w:t> </w:t>
      </w:r>
      <w:r w:rsidRPr="00A115E6">
        <w:t>».</w:t>
      </w:r>
    </w:p>
    <w:p w:rsidR="000E0009" w:rsidRPr="00A115E6" w:rsidRDefault="000E0009" w:rsidP="006854BC">
      <w:pPr>
        <w:pStyle w:val="SingleTxtG"/>
      </w:pPr>
      <w:r w:rsidRPr="00A115E6">
        <w:rPr>
          <w:i/>
        </w:rPr>
        <w:t>Paragraphes 3.1 et 3.2</w:t>
      </w:r>
      <w:r w:rsidRPr="00A115E6">
        <w:t>, modifier comme suit</w:t>
      </w:r>
      <w:r w:rsidR="00E12FC4" w:rsidRPr="00A115E6">
        <w:t> :</w:t>
      </w:r>
    </w:p>
    <w:p w:rsidR="000E0009" w:rsidRPr="00A115E6" w:rsidRDefault="000E0009" w:rsidP="00E12FC4">
      <w:pPr>
        <w:pStyle w:val="SingleTxtG"/>
        <w:ind w:left="2268" w:hanging="1134"/>
      </w:pPr>
      <w:r w:rsidRPr="00A115E6">
        <w:t>«</w:t>
      </w:r>
      <w:r w:rsidR="00E12FC4" w:rsidRPr="00A115E6">
        <w:t> </w:t>
      </w:r>
      <w:r w:rsidRPr="00A115E6">
        <w:t>3.1</w:t>
      </w:r>
      <w:r w:rsidRPr="00A115E6">
        <w:tab/>
      </w:r>
      <w:r w:rsidRPr="00A115E6">
        <w:rPr>
          <w:b/>
        </w:rPr>
        <w:t xml:space="preserve">Matériaux conformes aux dispositions du </w:t>
      </w:r>
      <w:r w:rsidR="00E12FC4" w:rsidRPr="00A115E6">
        <w:rPr>
          <w:b/>
        </w:rPr>
        <w:t>paragraphe 6</w:t>
      </w:r>
      <w:r w:rsidRPr="00A115E6">
        <w:rPr>
          <w:b/>
        </w:rPr>
        <w:t>.2.3</w:t>
      </w:r>
      <w:r w:rsidR="00E12FC4" w:rsidRPr="00A115E6">
        <w:rPr>
          <w:b/>
        </w:rPr>
        <w:t> :</w:t>
      </w:r>
      <w:r w:rsidRPr="00A115E6">
        <w:t xml:space="preserve"> Les échantillo</w:t>
      </w:r>
      <w:r w:rsidR="00E12FC4" w:rsidRPr="00A115E6">
        <w:t>ns doivent mesurer 560 mm x 170 </w:t>
      </w:r>
      <w:r w:rsidRPr="00A115E6">
        <w:t>mm.</w:t>
      </w:r>
    </w:p>
    <w:p w:rsidR="000E0009" w:rsidRPr="00A115E6" w:rsidRDefault="000E0009" w:rsidP="00E12FC4">
      <w:pPr>
        <w:pStyle w:val="SingleTxtG"/>
        <w:ind w:left="2268"/>
      </w:pPr>
      <w:r w:rsidRPr="00A115E6">
        <w:tab/>
        <w:t xml:space="preserve">Si les dimensions d’un matériau ne permettent pas de prélever un échantillon des dimensions ci-dessus, l’essai doit être exécuté </w:t>
      </w:r>
      <w:r w:rsidRPr="00A115E6">
        <w:rPr>
          <w:b/>
        </w:rPr>
        <w:t>à l’aide d’un échantillon d’une hauteur minimale de 380 mm et d’une largeur minimale de 3 mm</w:t>
      </w:r>
      <w:r w:rsidRPr="00A115E6">
        <w:t xml:space="preserve">. </w:t>
      </w:r>
      <w:r w:rsidRPr="00A115E6">
        <w:rPr>
          <w:strike/>
        </w:rPr>
        <w:t>, en accord avec le service technique, pour les dimensions du matériau effectivement utilisées, qui sont mentionnées dans le procès-verbal d’essai.</w:t>
      </w:r>
    </w:p>
    <w:p w:rsidR="000E0009" w:rsidRPr="00A115E6" w:rsidRDefault="000E0009" w:rsidP="00E12FC4">
      <w:pPr>
        <w:pStyle w:val="SingleTxtG"/>
        <w:ind w:left="2268"/>
      </w:pPr>
      <w:r w:rsidRPr="00A115E6">
        <w:tab/>
      </w:r>
      <w:r w:rsidRPr="00A115E6">
        <w:rPr>
          <w:b/>
        </w:rPr>
        <w:t>Gaines et manchons de câbles</w:t>
      </w:r>
      <w:r w:rsidR="00E12FC4" w:rsidRPr="00A115E6">
        <w:rPr>
          <w:b/>
        </w:rPr>
        <w:t xml:space="preserve"> : </w:t>
      </w:r>
      <w:r w:rsidRPr="00A115E6">
        <w:rPr>
          <w:b/>
        </w:rPr>
        <w:t>Les dimensions de l’échantillon doivent être comme les suivantes</w:t>
      </w:r>
      <w:r w:rsidR="00E12FC4" w:rsidRPr="00A115E6">
        <w:rPr>
          <w:b/>
        </w:rPr>
        <w:t> :</w:t>
      </w:r>
      <w:r w:rsidRPr="00A115E6">
        <w:rPr>
          <w:b/>
        </w:rPr>
        <w:t xml:space="preserve"> longueur</w:t>
      </w:r>
      <w:r w:rsidR="00E12FC4" w:rsidRPr="00A115E6">
        <w:rPr>
          <w:b/>
        </w:rPr>
        <w:t> : 560 </w:t>
      </w:r>
      <w:r w:rsidRPr="00A115E6">
        <w:rPr>
          <w:b/>
        </w:rPr>
        <w:t xml:space="preserve">mm, mais au minimum </w:t>
      </w:r>
      <w:r w:rsidR="00E12FC4" w:rsidRPr="00A115E6">
        <w:rPr>
          <w:b/>
        </w:rPr>
        <w:t>380 </w:t>
      </w:r>
      <w:r w:rsidRPr="00A115E6">
        <w:rPr>
          <w:b/>
        </w:rPr>
        <w:t>mm</w:t>
      </w:r>
      <w:r w:rsidR="00E12FC4" w:rsidRPr="00A115E6">
        <w:rPr>
          <w:b/>
        </w:rPr>
        <w:t> ;</w:t>
      </w:r>
      <w:r w:rsidRPr="00A115E6">
        <w:rPr>
          <w:b/>
        </w:rPr>
        <w:t xml:space="preserve"> largeur</w:t>
      </w:r>
      <w:r w:rsidR="00E12FC4" w:rsidRPr="00A115E6">
        <w:rPr>
          <w:b/>
        </w:rPr>
        <w:t> :</w:t>
      </w:r>
      <w:r w:rsidRPr="00A115E6">
        <w:rPr>
          <w:b/>
        </w:rPr>
        <w:t xml:space="preserve"> dimension initiale</w:t>
      </w:r>
      <w:r w:rsidRPr="00A115E6">
        <w:t>.</w:t>
      </w:r>
    </w:p>
    <w:p w:rsidR="000E0009" w:rsidRPr="00A115E6" w:rsidRDefault="000E0009" w:rsidP="00E12FC4">
      <w:pPr>
        <w:pStyle w:val="SingleTxtG"/>
        <w:ind w:left="2268" w:hanging="1134"/>
      </w:pPr>
      <w:r w:rsidRPr="00A115E6">
        <w:t>3.2</w:t>
      </w:r>
      <w:r w:rsidRPr="00A115E6">
        <w:tab/>
      </w:r>
      <w:r w:rsidRPr="00A115E6">
        <w:rPr>
          <w:b/>
        </w:rPr>
        <w:t xml:space="preserve">Matériaux conformes aux dispositions du </w:t>
      </w:r>
      <w:r w:rsidR="00E12FC4" w:rsidRPr="00A115E6">
        <w:rPr>
          <w:b/>
        </w:rPr>
        <w:t>paragraphe </w:t>
      </w:r>
      <w:r w:rsidRPr="00A115E6">
        <w:rPr>
          <w:b/>
        </w:rPr>
        <w:t>6.2.3</w:t>
      </w:r>
      <w:r w:rsidR="00E12FC4" w:rsidRPr="00A115E6">
        <w:rPr>
          <w:b/>
        </w:rPr>
        <w:t> :</w:t>
      </w:r>
      <w:r w:rsidRPr="00A115E6">
        <w:t xml:space="preserve"> Lorsque l’épaisseur de l’échantillon </w:t>
      </w:r>
      <w:r w:rsidR="00E12FC4" w:rsidRPr="00A115E6">
        <w:t>dépasse 13 </w:t>
      </w:r>
      <w:r w:rsidRPr="00A115E6">
        <w:t xml:space="preserve">mm, il faut la ramener à cette valeur par un procédé mécanique du côté opposé à la surface tournée vers le compartiment concerné (intérieur, moteur, ou compartiment de chauffage séparé). Si cela s’avère impossible, l’essai doit être effectué, en accord avec le service technique, sur la largeur initiale du matériau, et cette précision doit être mentionnée dans le procès-verbal d’essai. Les </w:t>
      </w:r>
      <w:r w:rsidR="00E12FC4" w:rsidRPr="00A115E6">
        <w:t>matériaux composites (voir par. </w:t>
      </w:r>
      <w:r w:rsidRPr="00A115E6">
        <w:t xml:space="preserve">6.1.3 du Règlement) doivent être soumis à l’essai comme s’ils étaient de structure uniforme. S’il y a plusieurs couches de nature différente qui ne sont pas des matériaux composites, toutes celles qui sont </w:t>
      </w:r>
      <w:r w:rsidR="00E12FC4" w:rsidRPr="00A115E6">
        <w:t>situées à moins de 13 </w:t>
      </w:r>
      <w:r w:rsidRPr="00A115E6">
        <w:t>mm de profondeur par rapport à la surface tournée vers le compartiment concerné doivent être soumises à des essais distincts.</w:t>
      </w:r>
      <w:r w:rsidR="00E12FC4" w:rsidRPr="00A115E6">
        <w:t> </w:t>
      </w:r>
      <w:r w:rsidRPr="00A115E6">
        <w:t>».</w:t>
      </w:r>
    </w:p>
    <w:p w:rsidR="000E0009" w:rsidRPr="00A115E6" w:rsidRDefault="000E0009" w:rsidP="006854BC">
      <w:pPr>
        <w:pStyle w:val="SingleTxtG"/>
      </w:pPr>
      <w:r w:rsidRPr="00A115E6">
        <w:rPr>
          <w:i/>
          <w:iCs/>
        </w:rPr>
        <w:t>Ajouter un nouveau paragraphe 3.3</w:t>
      </w:r>
      <w:r w:rsidRPr="00A115E6">
        <w:t>, libellé comme suit</w:t>
      </w:r>
      <w:r w:rsidR="00E12FC4" w:rsidRPr="00A115E6">
        <w:t> :</w:t>
      </w:r>
    </w:p>
    <w:p w:rsidR="000E0009" w:rsidRPr="00A115E6" w:rsidRDefault="000E0009" w:rsidP="00E12FC4">
      <w:pPr>
        <w:pStyle w:val="SingleTxtG"/>
        <w:ind w:left="2268" w:hanging="1134"/>
      </w:pPr>
      <w:r w:rsidRPr="00A115E6">
        <w:t>«</w:t>
      </w:r>
      <w:r w:rsidR="00E12FC4" w:rsidRPr="00A115E6">
        <w:t> </w:t>
      </w:r>
      <w:r w:rsidRPr="00A115E6">
        <w:rPr>
          <w:b/>
        </w:rPr>
        <w:t>3.3</w:t>
      </w:r>
      <w:r w:rsidRPr="00A115E6">
        <w:tab/>
      </w:r>
      <w:r w:rsidRPr="00A115E6">
        <w:rPr>
          <w:b/>
        </w:rPr>
        <w:t>La taille de l’échantillon doit être indiquée dans le procès-verbal d’essai.</w:t>
      </w:r>
      <w:r w:rsidRPr="00A115E6">
        <w:t>».</w:t>
      </w:r>
    </w:p>
    <w:p w:rsidR="000E0009" w:rsidRPr="00A115E6" w:rsidRDefault="000E0009" w:rsidP="006854BC">
      <w:pPr>
        <w:pStyle w:val="SingleTxtG"/>
      </w:pPr>
      <w:r w:rsidRPr="00A115E6">
        <w:rPr>
          <w:i/>
        </w:rPr>
        <w:t xml:space="preserve">Le paragraphe 3.3 </w:t>
      </w:r>
      <w:r w:rsidRPr="00A115E6">
        <w:t>devient le paragraphe 3.4.</w:t>
      </w:r>
    </w:p>
    <w:p w:rsidR="000E0009" w:rsidRPr="00A115E6" w:rsidRDefault="000E0009" w:rsidP="00E12FC4">
      <w:pPr>
        <w:pStyle w:val="SingleTxtG"/>
        <w:keepNext/>
      </w:pPr>
      <w:r w:rsidRPr="00A115E6">
        <w:rPr>
          <w:i/>
        </w:rPr>
        <w:lastRenderedPageBreak/>
        <w:t>Figure 1</w:t>
      </w:r>
      <w:r w:rsidRPr="00A115E6">
        <w:t>, modifier comme suit (en supprimant la légende «</w:t>
      </w:r>
      <w:r w:rsidR="00E12FC4" w:rsidRPr="00A115E6">
        <w:t> </w:t>
      </w:r>
      <w:r w:rsidRPr="00A115E6">
        <w:t>Brûleur</w:t>
      </w:r>
      <w:r w:rsidR="00E12FC4" w:rsidRPr="00A115E6">
        <w:t> </w:t>
      </w:r>
      <w:r w:rsidRPr="00A115E6">
        <w:t>» en bas de la p</w:t>
      </w:r>
      <w:r w:rsidRPr="00A115E6">
        <w:rPr>
          <w:rStyle w:val="Heading1Char"/>
        </w:rPr>
        <w:t>a</w:t>
      </w:r>
      <w:r w:rsidRPr="00A115E6">
        <w:t>ge et en remplaçant «</w:t>
      </w:r>
      <w:r w:rsidR="00E12FC4" w:rsidRPr="00A115E6">
        <w:t> </w:t>
      </w:r>
      <w:r w:rsidRPr="00A115E6">
        <w:t>220</w:t>
      </w:r>
      <w:r w:rsidR="00E12FC4" w:rsidRPr="00A115E6">
        <w:t> </w:t>
      </w:r>
      <w:r w:rsidRPr="00A115E6">
        <w:t>» par «</w:t>
      </w:r>
      <w:r w:rsidR="00E12FC4" w:rsidRPr="00A115E6">
        <w:t> </w:t>
      </w:r>
      <w:r w:rsidRPr="00A115E6">
        <w:t>240</w:t>
      </w:r>
      <w:r w:rsidR="00E12FC4" w:rsidRPr="00A115E6">
        <w:t> </w:t>
      </w:r>
      <w:r w:rsidRPr="00A115E6">
        <w:t>»)</w:t>
      </w:r>
      <w:r w:rsidR="00E12FC4" w:rsidRPr="00A115E6">
        <w:t> :</w:t>
      </w:r>
    </w:p>
    <w:p w:rsidR="000E0009" w:rsidRPr="00A115E6" w:rsidRDefault="000E0009" w:rsidP="006854BC">
      <w:pPr>
        <w:pStyle w:val="Heading1"/>
        <w:rPr>
          <w:rFonts w:eastAsia="Arial"/>
        </w:rPr>
      </w:pPr>
      <w:r w:rsidRPr="00A115E6">
        <w:t>«</w:t>
      </w:r>
      <w:r w:rsidR="00E12FC4" w:rsidRPr="00A115E6">
        <w:t> </w:t>
      </w:r>
      <w:r w:rsidRPr="00A115E6">
        <w:t>Figure 1</w:t>
      </w:r>
      <w:r w:rsidR="00E12FC4" w:rsidRPr="00A115E6">
        <w:br/>
      </w:r>
      <w:r w:rsidRPr="00A115E6">
        <w:rPr>
          <w:b/>
          <w:w w:val="109"/>
        </w:rPr>
        <w:t>Porte-échantillon</w:t>
      </w:r>
      <w:r w:rsidRPr="00A115E6">
        <w:t xml:space="preserve"> (dimensions en millimètres)</w:t>
      </w:r>
    </w:p>
    <w:p w:rsidR="000E0009" w:rsidRPr="00A115E6" w:rsidRDefault="000E0009" w:rsidP="006854BC">
      <w:pPr>
        <w:pStyle w:val="SingleTxtG"/>
        <w:ind w:right="0"/>
      </w:pPr>
      <w:r w:rsidRPr="00A115E6">
        <w:rPr>
          <w:noProof/>
          <w:lang w:val="en-US"/>
        </w:rPr>
        <mc:AlternateContent>
          <mc:Choice Requires="wps">
            <w:drawing>
              <wp:anchor distT="0" distB="0" distL="114300" distR="114300" simplePos="0" relativeHeight="251659264" behindDoc="0" locked="0" layoutInCell="1" allowOverlap="1" wp14:anchorId="3C8C7D7F" wp14:editId="74B745BA">
                <wp:simplePos x="0" y="0"/>
                <wp:positionH relativeFrom="column">
                  <wp:posOffset>3185160</wp:posOffset>
                </wp:positionH>
                <wp:positionV relativeFrom="paragraph">
                  <wp:posOffset>2971165</wp:posOffset>
                </wp:positionV>
                <wp:extent cx="158750" cy="254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54000"/>
                        </a:xfrm>
                        <a:prstGeom prst="rect">
                          <a:avLst/>
                        </a:prstGeom>
                        <a:solidFill>
                          <a:schemeClr val="bg1"/>
                        </a:solidFill>
                        <a:ln>
                          <a:noFill/>
                        </a:ln>
                        <a:extLst/>
                      </wps:spPr>
                      <wps:txbx>
                        <w:txbxContent>
                          <w:p w:rsidR="00E12FC4" w:rsidRPr="00A73814" w:rsidRDefault="00E12FC4" w:rsidP="006854BC">
                            <w:pPr>
                              <w:jc w:val="center"/>
                              <w:rPr>
                                <w:rFonts w:ascii="Arial" w:hAnsi="Arial" w:cs="Arial"/>
                                <w:b/>
                                <w:sz w:val="18"/>
                              </w:rPr>
                            </w:pPr>
                            <w:r w:rsidRPr="006854BC">
                              <w:rPr>
                                <w:rFonts w:ascii="Arial" w:hAnsi="Arial"/>
                                <w:b/>
                                <w:sz w:val="18"/>
                              </w:rPr>
                              <w:t>240</w:t>
                            </w:r>
                          </w:p>
                        </w:txbxContent>
                      </wps:txbx>
                      <wps:bodyPr rot="0" vert="vert270"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C7D7F" id="_x0000_t202" coordsize="21600,21600" o:spt="202" path="m,l,21600r21600,l21600,xe">
                <v:stroke joinstyle="miter"/>
                <v:path gradientshapeok="t" o:connecttype="rect"/>
              </v:shapetype>
              <v:shape id="Text Box 4" o:spid="_x0000_s1026" type="#_x0000_t202" style="position:absolute;left:0;text-align:left;margin-left:250.8pt;margin-top:233.95pt;width:1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" fillcolor="white [3212]" stroked="f">
                <v:textbox style="layout-flow:vertical;mso-layout-flow-alt:bottom-to-top" inset="0,0,0,0">
                  <w:txbxContent>
                    <w:p w:rsidR="00E12FC4" w:rsidRPr="00A73814" w:rsidRDefault="00E12FC4" w:rsidP="006854BC">
                      <w:pPr>
                        <w:jc w:val="center"/>
                        <w:rPr>
                          <w:rFonts w:ascii="Arial" w:hAnsi="Arial" w:cs="Arial"/>
                          <w:b/>
                          <w:sz w:val="18"/>
                        </w:rPr>
                      </w:pPr>
                      <w:r w:rsidRPr="006854BC">
                        <w:rPr>
                          <w:rFonts w:ascii="Arial" w:hAnsi="Arial"/>
                          <w:b/>
                          <w:sz w:val="18"/>
                        </w:rPr>
                        <w:t>240</w:t>
                      </w:r>
                    </w:p>
                  </w:txbxContent>
                </v:textbox>
              </v:shape>
            </w:pict>
          </mc:Fallback>
        </mc:AlternateContent>
      </w:r>
      <w:bookmarkStart w:id="1" w:name="_MON_1363690512"/>
      <w:bookmarkStart w:id="2" w:name="_MON_1363690529"/>
      <w:bookmarkStart w:id="3" w:name="_MON_1382276038"/>
      <w:bookmarkStart w:id="4" w:name="_MON_1382331448"/>
      <w:bookmarkStart w:id="5" w:name="_MON_1382517020"/>
      <w:bookmarkStart w:id="6" w:name="_MON_1382517068"/>
      <w:bookmarkStart w:id="7" w:name="_MON_1532503160"/>
      <w:bookmarkStart w:id="8" w:name="_MON_1363608671"/>
      <w:bookmarkStart w:id="9" w:name="_MON_1363608697"/>
      <w:bookmarkEnd w:id="1"/>
      <w:bookmarkEnd w:id="2"/>
      <w:bookmarkEnd w:id="3"/>
      <w:bookmarkEnd w:id="4"/>
      <w:bookmarkEnd w:id="5"/>
      <w:bookmarkEnd w:id="6"/>
      <w:bookmarkEnd w:id="7"/>
      <w:bookmarkEnd w:id="8"/>
      <w:bookmarkEnd w:id="9"/>
      <w:bookmarkStart w:id="10" w:name="_MON_1363608727"/>
      <w:bookmarkEnd w:id="10"/>
      <w:r w:rsidR="009A4C65" w:rsidRPr="00A115E6">
        <w:object w:dxaOrig="6677" w:dyaOrig="6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345.75pt" o:ole="">
            <v:imagedata r:id="rId8" o:title=""/>
          </v:shape>
          <o:OLEObject Type="Embed" ProgID="Word.Picture.8" ShapeID="_x0000_i1025" DrawAspect="Content" ObjectID="_1533715093" r:id="rId9"/>
        </w:object>
      </w:r>
    </w:p>
    <w:p w:rsidR="000E0009" w:rsidRPr="00A115E6" w:rsidRDefault="000E0009" w:rsidP="000E0009">
      <w:pPr>
        <w:widowControl w:val="0"/>
        <w:spacing w:after="60"/>
        <w:ind w:left="993" w:right="1134" w:hanging="426"/>
        <w:jc w:val="right"/>
      </w:pPr>
      <w:r w:rsidRPr="00A115E6">
        <w:t>».</w:t>
      </w:r>
    </w:p>
    <w:p w:rsidR="000E0009" w:rsidRPr="00A115E6" w:rsidRDefault="000E0009" w:rsidP="00343AB9">
      <w:pPr>
        <w:pStyle w:val="SingleTxtG"/>
        <w:keepNext/>
      </w:pPr>
      <w:r w:rsidRPr="00A115E6">
        <w:rPr>
          <w:i/>
          <w:iCs/>
        </w:rPr>
        <w:t>Ajouter une nouvelle annexe 10</w:t>
      </w:r>
      <w:r w:rsidRPr="00A115E6">
        <w:t>, ainsi conçue</w:t>
      </w:r>
      <w:r w:rsidR="00E12FC4" w:rsidRPr="00A115E6">
        <w:t> :</w:t>
      </w:r>
    </w:p>
    <w:p w:rsidR="000E0009" w:rsidRPr="00A115E6" w:rsidRDefault="000E0009" w:rsidP="00343AB9">
      <w:pPr>
        <w:pStyle w:val="HChG"/>
      </w:pPr>
      <w:r w:rsidRPr="00A115E6">
        <w:rPr>
          <w:sz w:val="20"/>
        </w:rPr>
        <w:t>« </w:t>
      </w:r>
      <w:r w:rsidRPr="00A115E6">
        <w:t>ANNEXE 10</w:t>
      </w:r>
    </w:p>
    <w:p w:rsidR="000E0009" w:rsidRPr="00A115E6" w:rsidRDefault="000E0009" w:rsidP="00343AB9">
      <w:pPr>
        <w:pStyle w:val="HChG"/>
      </w:pPr>
      <w:r w:rsidRPr="00A115E6">
        <w:tab/>
      </w:r>
      <w:r w:rsidRPr="00A115E6">
        <w:tab/>
        <w:t>Essai visant à déterminer la résistance des câbles électriques à la propagation des flammes</w:t>
      </w:r>
    </w:p>
    <w:p w:rsidR="000E0009" w:rsidRPr="00A115E6" w:rsidRDefault="000E0009" w:rsidP="00E12FC4">
      <w:pPr>
        <w:pStyle w:val="SingleTxtG"/>
        <w:ind w:left="2268" w:hanging="1134"/>
        <w:rPr>
          <w:b/>
        </w:rPr>
      </w:pPr>
      <w:r w:rsidRPr="00A115E6">
        <w:rPr>
          <w:b/>
        </w:rPr>
        <w:t>1.</w:t>
      </w:r>
      <w:r w:rsidRPr="00A115E6">
        <w:tab/>
      </w:r>
      <w:r w:rsidRPr="00A115E6">
        <w:rPr>
          <w:b/>
        </w:rPr>
        <w:t>Champ d’application</w:t>
      </w:r>
    </w:p>
    <w:p w:rsidR="000E0009" w:rsidRPr="00A115E6" w:rsidRDefault="000E0009" w:rsidP="00E12FC4">
      <w:pPr>
        <w:pStyle w:val="SingleTxtG"/>
        <w:ind w:left="2268"/>
        <w:rPr>
          <w:b/>
          <w:bCs/>
        </w:rPr>
      </w:pPr>
      <w:r w:rsidRPr="00A115E6">
        <w:rPr>
          <w:b/>
          <w:bCs/>
        </w:rPr>
        <w:tab/>
        <w:t>La présente annexe énumère les prescriptions à appliquer pour éprouver la résistance à la propagation des flammes des câbles électriques utilisés dans le véhicule.</w:t>
      </w:r>
    </w:p>
    <w:p w:rsidR="000E0009" w:rsidRPr="00A115E6" w:rsidRDefault="000E0009" w:rsidP="00E12FC4">
      <w:pPr>
        <w:pStyle w:val="SingleTxtG"/>
        <w:ind w:left="2268" w:hanging="1134"/>
        <w:rPr>
          <w:b/>
        </w:rPr>
      </w:pPr>
      <w:r w:rsidRPr="00A115E6">
        <w:rPr>
          <w:b/>
        </w:rPr>
        <w:t>2.</w:t>
      </w:r>
      <w:r w:rsidRPr="00A115E6">
        <w:tab/>
      </w:r>
      <w:r w:rsidRPr="00A115E6">
        <w:rPr>
          <w:b/>
        </w:rPr>
        <w:t>Prélèvement et principe</w:t>
      </w:r>
    </w:p>
    <w:p w:rsidR="000E0009" w:rsidRPr="00A115E6" w:rsidRDefault="000E0009" w:rsidP="00E12FC4">
      <w:pPr>
        <w:pStyle w:val="SingleTxtG"/>
        <w:ind w:left="2268" w:hanging="1134"/>
        <w:rPr>
          <w:b/>
        </w:rPr>
      </w:pPr>
      <w:r w:rsidRPr="00A115E6">
        <w:rPr>
          <w:b/>
        </w:rPr>
        <w:t>2.1</w:t>
      </w:r>
      <w:r w:rsidRPr="00A115E6">
        <w:tab/>
      </w:r>
      <w:r w:rsidRPr="00A115E6">
        <w:rPr>
          <w:b/>
        </w:rPr>
        <w:t>Cinq échantillons doivent être soumis à l’essai.</w:t>
      </w:r>
    </w:p>
    <w:p w:rsidR="000E0009" w:rsidRPr="00A115E6" w:rsidRDefault="000E0009" w:rsidP="009A4C65">
      <w:pPr>
        <w:pStyle w:val="SingleTxtG"/>
        <w:keepNext/>
        <w:ind w:left="2268" w:hanging="1134"/>
        <w:rPr>
          <w:b/>
        </w:rPr>
      </w:pPr>
      <w:r w:rsidRPr="00A115E6">
        <w:rPr>
          <w:b/>
        </w:rPr>
        <w:lastRenderedPageBreak/>
        <w:t>3.</w:t>
      </w:r>
      <w:r w:rsidRPr="00A115E6">
        <w:tab/>
      </w:r>
      <w:r w:rsidRPr="00A115E6">
        <w:rPr>
          <w:b/>
        </w:rPr>
        <w:t>Échantillons</w:t>
      </w:r>
    </w:p>
    <w:p w:rsidR="000E0009" w:rsidRPr="00A115E6" w:rsidRDefault="000E0009" w:rsidP="00E12FC4">
      <w:pPr>
        <w:pStyle w:val="SingleTxtG"/>
        <w:ind w:left="2268" w:hanging="1134"/>
        <w:rPr>
          <w:b/>
        </w:rPr>
      </w:pPr>
      <w:r w:rsidRPr="00A115E6">
        <w:rPr>
          <w:b/>
        </w:rPr>
        <w:t>3.1</w:t>
      </w:r>
      <w:r w:rsidRPr="00A115E6">
        <w:tab/>
      </w:r>
      <w:r w:rsidRPr="00A115E6">
        <w:rPr>
          <w:b/>
        </w:rPr>
        <w:t>Le matériau isolant des échantillons doit être d’une longueur minimale de 600 mm.</w:t>
      </w:r>
    </w:p>
    <w:p w:rsidR="000E0009" w:rsidRPr="00A115E6" w:rsidRDefault="000E0009" w:rsidP="00E12FC4">
      <w:pPr>
        <w:pStyle w:val="SingleTxtG"/>
        <w:ind w:left="2268" w:hanging="1134"/>
        <w:rPr>
          <w:b/>
        </w:rPr>
      </w:pPr>
      <w:r w:rsidRPr="00A115E6">
        <w:rPr>
          <w:b/>
        </w:rPr>
        <w:t>4.</w:t>
      </w:r>
      <w:r w:rsidRPr="00A115E6">
        <w:tab/>
      </w:r>
      <w:r w:rsidRPr="00A115E6">
        <w:rPr>
          <w:b/>
        </w:rPr>
        <w:t>Procédure</w:t>
      </w:r>
    </w:p>
    <w:p w:rsidR="000E0009" w:rsidRPr="00A115E6" w:rsidRDefault="000E0009" w:rsidP="00343AB9">
      <w:pPr>
        <w:pStyle w:val="SingleTxtG"/>
        <w:ind w:left="2268"/>
        <w:rPr>
          <w:b/>
        </w:rPr>
      </w:pPr>
      <w:r w:rsidRPr="00A115E6">
        <w:tab/>
      </w:r>
      <w:r w:rsidRPr="00A115E6">
        <w:rPr>
          <w:b/>
        </w:rPr>
        <w:t>Déterminer la résistance à la propagation des flammes à l’aide d’un bec Bunsen alimenté par un gaz approp</w:t>
      </w:r>
      <w:r w:rsidR="00343AB9" w:rsidRPr="00A115E6">
        <w:rPr>
          <w:b/>
        </w:rPr>
        <w:t>rié et doté d’une cheminée de 9 </w:t>
      </w:r>
      <w:r w:rsidRPr="00A115E6">
        <w:rPr>
          <w:b/>
        </w:rPr>
        <w:t>mm de diamètre interne</w:t>
      </w:r>
      <w:r w:rsidR="00E12FC4" w:rsidRPr="00A115E6">
        <w:rPr>
          <w:b/>
        </w:rPr>
        <w:t> ;</w:t>
      </w:r>
      <w:r w:rsidRPr="00A115E6">
        <w:rPr>
          <w:b/>
        </w:rPr>
        <w:t xml:space="preserve"> la température à l’extrémité de la partie bleu</w:t>
      </w:r>
      <w:r w:rsidR="00343AB9" w:rsidRPr="00A115E6">
        <w:rPr>
          <w:b/>
        </w:rPr>
        <w:t>e de la flamme doit être de 950 </w:t>
      </w:r>
      <w:r w:rsidR="00343AB9" w:rsidRPr="00A115E6">
        <w:rPr>
          <w:b/>
        </w:rPr>
        <w:sym w:font="Symbol" w:char="F0B1"/>
      </w:r>
      <w:r w:rsidR="00343AB9" w:rsidRPr="00A115E6">
        <w:rPr>
          <w:b/>
        </w:rPr>
        <w:t>50 </w:t>
      </w:r>
      <w:r w:rsidRPr="00A115E6">
        <w:rPr>
          <w:b/>
        </w:rPr>
        <w:t>°C.</w:t>
      </w:r>
    </w:p>
    <w:p w:rsidR="000E0009" w:rsidRPr="00A115E6" w:rsidRDefault="000E0009" w:rsidP="009A4C65">
      <w:pPr>
        <w:pStyle w:val="SingleTxtG"/>
        <w:ind w:left="2268"/>
        <w:rPr>
          <w:b/>
        </w:rPr>
      </w:pPr>
      <w:r w:rsidRPr="00A115E6">
        <w:tab/>
      </w:r>
      <w:r w:rsidRPr="00A115E6">
        <w:rPr>
          <w:b/>
        </w:rPr>
        <w:t xml:space="preserve">Mettre l’échantillon en suspension dans une chambre sans courant d’air et l’exposer à l’extrémité de la partie bleue de la flamme, comme il est </w:t>
      </w:r>
      <w:r w:rsidR="00343AB9" w:rsidRPr="00A115E6">
        <w:rPr>
          <w:b/>
        </w:rPr>
        <w:t>indiqué à la figure </w:t>
      </w:r>
      <w:r w:rsidRPr="00A115E6">
        <w:rPr>
          <w:b/>
        </w:rPr>
        <w:t xml:space="preserve">1. L’extrémité supérieure du câble doit être orientée à l’opposé de la plus proche paroi de la chambre. L’échantillon doit être soumis à une contrainte, par exemple au moyen d’un poids suspendu à une poulie, pour être maintenu droit à tout moment. L’angle du câble par rapport </w:t>
      </w:r>
      <w:r w:rsidR="009A4C65">
        <w:rPr>
          <w:b/>
        </w:rPr>
        <w:t>à la verticale doit être de 45° </w:t>
      </w:r>
      <w:r w:rsidR="009A4C65" w:rsidRPr="00A115E6">
        <w:rPr>
          <w:b/>
        </w:rPr>
        <w:sym w:font="Symbol" w:char="F0B1"/>
      </w:r>
      <w:r w:rsidRPr="00A115E6">
        <w:rPr>
          <w:b/>
        </w:rPr>
        <w:t>1°. Dans tous les cas, aucune partie de l’échantillon ne doit se trouver à moins de 100 mm d’une des parois de la chambre. Appliquer l’ext</w:t>
      </w:r>
      <w:r w:rsidR="009A4C65">
        <w:rPr>
          <w:b/>
        </w:rPr>
        <w:t>rémité de la flamme bleue à 500 </w:t>
      </w:r>
      <w:r w:rsidR="009A4C65" w:rsidRPr="00A115E6">
        <w:rPr>
          <w:b/>
        </w:rPr>
        <w:sym w:font="Symbol" w:char="F0B1"/>
      </w:r>
      <w:r w:rsidRPr="00A115E6">
        <w:rPr>
          <w:b/>
        </w:rPr>
        <w:t>5 mm de l’isolant au sommet de l’échantillon.</w:t>
      </w:r>
    </w:p>
    <w:p w:rsidR="000E0009" w:rsidRPr="00A115E6" w:rsidRDefault="000E0009" w:rsidP="00343AB9">
      <w:pPr>
        <w:pStyle w:val="Heading1"/>
        <w:spacing w:after="120"/>
        <w:rPr>
          <w:b/>
          <w:bCs/>
        </w:rPr>
      </w:pPr>
      <w:r w:rsidRPr="00A115E6">
        <w:rPr>
          <w:b/>
          <w:bCs/>
        </w:rPr>
        <w:t>Figure 1</w:t>
      </w:r>
      <w:r w:rsidR="00343AB9" w:rsidRPr="00A115E6">
        <w:rPr>
          <w:b/>
          <w:bCs/>
        </w:rPr>
        <w:br/>
      </w:r>
      <w:r w:rsidRPr="00A115E6">
        <w:rPr>
          <w:b/>
          <w:bCs/>
        </w:rPr>
        <w:t xml:space="preserve">Appareillage de mesure de la résistance à la propagation des flammes </w:t>
      </w:r>
      <w:r w:rsidR="002814A0" w:rsidRPr="00A115E6">
        <w:rPr>
          <w:b/>
          <w:bCs/>
        </w:rPr>
        <w:br/>
      </w:r>
      <w:r w:rsidRPr="00A115E6">
        <w:rPr>
          <w:b/>
          <w:bCs/>
        </w:rPr>
        <w:t>(dimensions en millimètres)</w:t>
      </w:r>
    </w:p>
    <w:p w:rsidR="000E0009" w:rsidRPr="00A115E6" w:rsidRDefault="00343AB9" w:rsidP="00343AB9">
      <w:pPr>
        <w:pStyle w:val="SingleTxtG"/>
      </w:pPr>
      <w:r w:rsidRPr="00A115E6">
        <w:rPr>
          <w:noProof/>
          <w:lang w:val="en-US"/>
        </w:rPr>
        <mc:AlternateContent>
          <mc:Choice Requires="wps">
            <w:drawing>
              <wp:anchor distT="0" distB="0" distL="114300" distR="114300" simplePos="0" relativeHeight="251660288" behindDoc="0" locked="0" layoutInCell="1" allowOverlap="1" wp14:anchorId="35FAF38C" wp14:editId="775E08D0">
                <wp:simplePos x="0" y="0"/>
                <wp:positionH relativeFrom="column">
                  <wp:posOffset>3375660</wp:posOffset>
                </wp:positionH>
                <wp:positionV relativeFrom="paragraph">
                  <wp:posOffset>1202690</wp:posOffset>
                </wp:positionV>
                <wp:extent cx="793750" cy="571500"/>
                <wp:effectExtent l="0" t="0" r="6350" b="0"/>
                <wp:wrapNone/>
                <wp:docPr id="6" name="Zone de texte 6"/>
                <wp:cNvGraphicFramePr/>
                <a:graphic xmlns:a="http://schemas.openxmlformats.org/drawingml/2006/main">
                  <a:graphicData uri="http://schemas.microsoft.com/office/word/2010/wordprocessingShape">
                    <wps:wsp>
                      <wps:cNvSpPr txBox="1"/>
                      <wps:spPr>
                        <a:xfrm>
                          <a:off x="0" y="0"/>
                          <a:ext cx="7937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AB9" w:rsidRPr="00343AB9" w:rsidRDefault="00343AB9" w:rsidP="00343AB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noProof/>
                                <w:sz w:val="18"/>
                                <w:szCs w:val="18"/>
                              </w:rPr>
                            </w:pPr>
                            <w:r w:rsidRPr="00343AB9">
                              <w:rPr>
                                <w:rFonts w:asciiTheme="majorBidi" w:hAnsiTheme="majorBidi" w:cstheme="majorBidi"/>
                                <w:b/>
                                <w:noProof/>
                                <w:sz w:val="18"/>
                                <w:szCs w:val="18"/>
                              </w:rPr>
                              <w:t>Légende</w:t>
                            </w:r>
                          </w:p>
                          <w:p w:rsidR="00343AB9" w:rsidRPr="00343AB9" w:rsidRDefault="00343AB9" w:rsidP="00343AB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b/>
                                <w:noProof/>
                                <w:sz w:val="18"/>
                                <w:szCs w:val="18"/>
                              </w:rPr>
                            </w:pPr>
                            <w:r w:rsidRPr="00343AB9">
                              <w:rPr>
                                <w:rFonts w:asciiTheme="majorBidi" w:hAnsiTheme="majorBidi" w:cstheme="majorBidi"/>
                                <w:b/>
                                <w:noProof/>
                                <w:sz w:val="18"/>
                                <w:szCs w:val="18"/>
                              </w:rPr>
                              <w:t xml:space="preserve">1 </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Échantillon</w:t>
                            </w:r>
                          </w:p>
                          <w:p w:rsidR="00343AB9" w:rsidRPr="00343AB9" w:rsidRDefault="00343AB9" w:rsidP="00343AB9">
                            <w:pPr>
                              <w:rPr>
                                <w:sz w:val="18"/>
                                <w:szCs w:val="18"/>
                              </w:rPr>
                            </w:pPr>
                            <w:r w:rsidRPr="00343AB9">
                              <w:rPr>
                                <w:rFonts w:asciiTheme="majorBidi" w:hAnsiTheme="majorBidi" w:cstheme="majorBidi"/>
                                <w:b/>
                                <w:noProof/>
                                <w:sz w:val="18"/>
                                <w:szCs w:val="18"/>
                              </w:rPr>
                              <w:t xml:space="preserve">2 </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Bec Bunsen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F38C" id="Zone de texte 6" o:spid="_x0000_s1027" type="#_x0000_t202" style="position:absolute;left:0;text-align:left;margin-left:265.8pt;margin-top:94.7pt;width:6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" fillcolor="white [3201]" stroked="f" strokeweight=".5pt">
                <v:textbox inset="0,0,0,0">
                  <w:txbxContent>
                    <w:p w:rsidR="00343AB9" w:rsidRPr="00343AB9" w:rsidRDefault="00343AB9" w:rsidP="00343AB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noProof/>
                          <w:sz w:val="18"/>
                          <w:szCs w:val="18"/>
                        </w:rPr>
                      </w:pPr>
                      <w:r w:rsidRPr="00343AB9">
                        <w:rPr>
                          <w:rFonts w:asciiTheme="majorBidi" w:hAnsiTheme="majorBidi" w:cstheme="majorBidi"/>
                          <w:b/>
                          <w:noProof/>
                          <w:sz w:val="18"/>
                          <w:szCs w:val="18"/>
                        </w:rPr>
                        <w:t>Légende</w:t>
                      </w:r>
                    </w:p>
                    <w:p w:rsidR="00343AB9" w:rsidRPr="00343AB9" w:rsidRDefault="00343AB9" w:rsidP="00343AB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rPr>
                          <w:rFonts w:asciiTheme="majorBidi" w:hAnsiTheme="majorBidi" w:cstheme="majorBidi"/>
                          <w:b/>
                          <w:noProof/>
                          <w:sz w:val="18"/>
                          <w:szCs w:val="18"/>
                        </w:rPr>
                      </w:pPr>
                      <w:r w:rsidRPr="00343AB9">
                        <w:rPr>
                          <w:rFonts w:asciiTheme="majorBidi" w:hAnsiTheme="majorBidi" w:cstheme="majorBidi"/>
                          <w:b/>
                          <w:noProof/>
                          <w:sz w:val="18"/>
                          <w:szCs w:val="18"/>
                        </w:rPr>
                        <w:t xml:space="preserve">1 </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Échantillon</w:t>
                      </w:r>
                    </w:p>
                    <w:p w:rsidR="00343AB9" w:rsidRPr="00343AB9" w:rsidRDefault="00343AB9" w:rsidP="00343AB9">
                      <w:pPr>
                        <w:rPr>
                          <w:sz w:val="18"/>
                          <w:szCs w:val="18"/>
                        </w:rPr>
                      </w:pPr>
                      <w:r w:rsidRPr="00343AB9">
                        <w:rPr>
                          <w:rFonts w:asciiTheme="majorBidi" w:hAnsiTheme="majorBidi" w:cstheme="majorBidi"/>
                          <w:b/>
                          <w:noProof/>
                          <w:sz w:val="18"/>
                          <w:szCs w:val="18"/>
                        </w:rPr>
                        <w:t xml:space="preserve">2 </w:t>
                      </w:r>
                      <w:r>
                        <w:rPr>
                          <w:rFonts w:asciiTheme="majorBidi" w:hAnsiTheme="majorBidi" w:cstheme="majorBidi"/>
                          <w:b/>
                          <w:noProof/>
                          <w:sz w:val="18"/>
                          <w:szCs w:val="18"/>
                        </w:rPr>
                        <w:t xml:space="preserve"> </w:t>
                      </w:r>
                      <w:r w:rsidRPr="00343AB9">
                        <w:rPr>
                          <w:rFonts w:asciiTheme="majorBidi" w:hAnsiTheme="majorBidi" w:cstheme="majorBidi"/>
                          <w:b/>
                          <w:noProof/>
                          <w:sz w:val="18"/>
                          <w:szCs w:val="18"/>
                        </w:rPr>
                        <w:t>Bec Bunsen</w:t>
                      </w:r>
                    </w:p>
                  </w:txbxContent>
                </v:textbox>
              </v:shape>
            </w:pict>
          </mc:Fallback>
        </mc:AlternateContent>
      </w:r>
      <w:r w:rsidR="000E0009" w:rsidRPr="00A115E6">
        <w:rPr>
          <w:noProof/>
          <w:lang w:val="en-US"/>
        </w:rPr>
        <w:drawing>
          <wp:inline distT="0" distB="0" distL="0" distR="0" wp14:anchorId="6D851449" wp14:editId="256836F9">
            <wp:extent cx="4324350" cy="192587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l="1" r="-104948"/>
                    <a:stretch/>
                  </pic:blipFill>
                  <pic:spPr bwMode="auto">
                    <a:xfrm>
                      <a:off x="0" y="0"/>
                      <a:ext cx="4329656" cy="1928235"/>
                    </a:xfrm>
                    <a:prstGeom prst="rect">
                      <a:avLst/>
                    </a:prstGeom>
                    <a:noFill/>
                    <a:ln>
                      <a:noFill/>
                    </a:ln>
                    <a:extLst>
                      <a:ext uri="{53640926-AAD7-44D8-BBD7-CCE9431645EC}">
                        <a14:shadowObscured xmlns:a14="http://schemas.microsoft.com/office/drawing/2010/main"/>
                      </a:ext>
                    </a:extLst>
                  </pic:spPr>
                </pic:pic>
              </a:graphicData>
            </a:graphic>
          </wp:inline>
        </w:drawing>
      </w:r>
      <w:r w:rsidRPr="00A115E6">
        <w:t> ».</w:t>
      </w:r>
    </w:p>
    <w:p w:rsidR="000E0009" w:rsidRPr="00A115E6" w:rsidRDefault="000E0009" w:rsidP="000E0009">
      <w:pPr>
        <w:pStyle w:val="HChG"/>
      </w:pPr>
      <w:r w:rsidRPr="00A115E6">
        <w:tab/>
        <w:t>II.</w:t>
      </w:r>
      <w:r w:rsidRPr="00A115E6">
        <w:tab/>
        <w:t>Justification</w:t>
      </w:r>
    </w:p>
    <w:p w:rsidR="000E0009" w:rsidRPr="00A115E6" w:rsidRDefault="000E0009" w:rsidP="000E0009">
      <w:pPr>
        <w:pStyle w:val="ParNoG"/>
      </w:pPr>
      <w:r w:rsidRPr="00A115E6">
        <w:t xml:space="preserve">La présente proposition apporte des améliorations et des éclaircissements concernant les prescriptions relatives à l’homologation de matériaux intérieurs, de câbles et de matériaux isolants. Elle ajoute de nouvelles prescriptions relatives aux gaines et manchons de câbles. En outre, les prescriptions de l’annexe 8 concernant l’essai visant à déterminer la vitesse de combustion verticale des matériaux sont modifiées afin de permettre que soient éprouvés des échantillons de petite taille et de préciser les modalités de leur fixation au porte-échantillon. </w:t>
      </w:r>
    </w:p>
    <w:p w:rsidR="000E0009" w:rsidRPr="00A115E6" w:rsidRDefault="000E0009" w:rsidP="000E0009">
      <w:pPr>
        <w:pStyle w:val="ParNoG"/>
      </w:pPr>
      <w:r w:rsidRPr="00A115E6">
        <w:t>Est ajoutée une nouvelle annexe 10 où figurent les dispositions relatives à l’essai de câbles électriques.</w:t>
      </w:r>
    </w:p>
    <w:p w:rsidR="00F9573C" w:rsidRPr="00A115E6" w:rsidRDefault="000E0009" w:rsidP="000E0009">
      <w:pPr>
        <w:pStyle w:val="SingleTxtG"/>
        <w:spacing w:before="240" w:after="0"/>
        <w:jc w:val="center"/>
        <w:rPr>
          <w:u w:val="single"/>
        </w:rPr>
      </w:pPr>
      <w:r w:rsidRPr="00A115E6">
        <w:rPr>
          <w:u w:val="single"/>
        </w:rPr>
        <w:tab/>
      </w:r>
      <w:r w:rsidRPr="00A115E6">
        <w:rPr>
          <w:u w:val="single"/>
        </w:rPr>
        <w:tab/>
      </w:r>
      <w:r w:rsidRPr="00A115E6">
        <w:rPr>
          <w:u w:val="single"/>
        </w:rPr>
        <w:tab/>
      </w:r>
    </w:p>
    <w:sectPr w:rsidR="00F9573C" w:rsidRPr="00A115E6" w:rsidSect="000E0009">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C4" w:rsidRDefault="00E12FC4" w:rsidP="00F95C08">
      <w:pPr>
        <w:spacing w:line="240" w:lineRule="auto"/>
      </w:pPr>
    </w:p>
  </w:endnote>
  <w:endnote w:type="continuationSeparator" w:id="0">
    <w:p w:rsidR="00E12FC4" w:rsidRPr="00AC3823" w:rsidRDefault="00E12FC4" w:rsidP="00AC3823">
      <w:pPr>
        <w:pStyle w:val="Footer"/>
      </w:pPr>
    </w:p>
  </w:endnote>
  <w:endnote w:type="continuationNotice" w:id="1">
    <w:p w:rsidR="00E12FC4" w:rsidRDefault="00E12F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C4" w:rsidRPr="000E0009" w:rsidRDefault="00E12FC4" w:rsidP="000E0009">
    <w:pPr>
      <w:pStyle w:val="Footer"/>
      <w:tabs>
        <w:tab w:val="right" w:pos="9638"/>
      </w:tabs>
    </w:pPr>
    <w:r w:rsidRPr="000E0009">
      <w:rPr>
        <w:b/>
        <w:sz w:val="18"/>
      </w:rPr>
      <w:fldChar w:fldCharType="begin"/>
    </w:r>
    <w:r w:rsidRPr="000E0009">
      <w:rPr>
        <w:b/>
        <w:sz w:val="18"/>
      </w:rPr>
      <w:instrText xml:space="preserve"> PAGE  \* MERGEFORMAT </w:instrText>
    </w:r>
    <w:r w:rsidRPr="000E0009">
      <w:rPr>
        <w:b/>
        <w:sz w:val="18"/>
      </w:rPr>
      <w:fldChar w:fldCharType="separate"/>
    </w:r>
    <w:r w:rsidR="005F2809">
      <w:rPr>
        <w:b/>
        <w:noProof/>
        <w:sz w:val="18"/>
      </w:rPr>
      <w:t>2</w:t>
    </w:r>
    <w:r w:rsidRPr="000E0009">
      <w:rPr>
        <w:b/>
        <w:sz w:val="18"/>
      </w:rPr>
      <w:fldChar w:fldCharType="end"/>
    </w:r>
    <w:r>
      <w:rPr>
        <w:b/>
        <w:sz w:val="18"/>
      </w:rPr>
      <w:tab/>
    </w:r>
    <w:r>
      <w:t>GE.16-12831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C4" w:rsidRPr="000E0009" w:rsidRDefault="00E12FC4" w:rsidP="000E0009">
    <w:pPr>
      <w:pStyle w:val="Footer"/>
      <w:tabs>
        <w:tab w:val="right" w:pos="9638"/>
      </w:tabs>
      <w:rPr>
        <w:b/>
        <w:sz w:val="18"/>
      </w:rPr>
    </w:pPr>
    <w:r>
      <w:t>GE.16-12831</w:t>
    </w:r>
    <w:r>
      <w:tab/>
    </w:r>
    <w:r w:rsidRPr="000E0009">
      <w:rPr>
        <w:b/>
        <w:sz w:val="18"/>
      </w:rPr>
      <w:fldChar w:fldCharType="begin"/>
    </w:r>
    <w:r w:rsidRPr="000E0009">
      <w:rPr>
        <w:b/>
        <w:sz w:val="18"/>
      </w:rPr>
      <w:instrText xml:space="preserve"> PAGE  \* MERGEFORMAT </w:instrText>
    </w:r>
    <w:r w:rsidRPr="000E0009">
      <w:rPr>
        <w:b/>
        <w:sz w:val="18"/>
      </w:rPr>
      <w:fldChar w:fldCharType="separate"/>
    </w:r>
    <w:r w:rsidR="005F2809">
      <w:rPr>
        <w:b/>
        <w:noProof/>
        <w:sz w:val="18"/>
      </w:rPr>
      <w:t>3</w:t>
    </w:r>
    <w:r w:rsidRPr="000E00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C4" w:rsidRPr="000E0009" w:rsidRDefault="00E12FC4" w:rsidP="000E0009">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4EDC4578" wp14:editId="7361DF0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16-12831  (F)    150816    240816</w:t>
    </w:r>
    <w:r>
      <w:rPr>
        <w:sz w:val="20"/>
      </w:rPr>
      <w:br/>
    </w:r>
    <w:r w:rsidRPr="000E0009">
      <w:rPr>
        <w:rFonts w:ascii="C39T30Lfz" w:hAnsi="C39T30Lfz"/>
        <w:sz w:val="56"/>
      </w:rPr>
      <w:t></w:t>
    </w:r>
    <w:r w:rsidRPr="000E0009">
      <w:rPr>
        <w:rFonts w:ascii="C39T30Lfz" w:hAnsi="C39T30Lfz"/>
        <w:sz w:val="56"/>
      </w:rPr>
      <w:t></w:t>
    </w:r>
    <w:r w:rsidRPr="000E0009">
      <w:rPr>
        <w:rFonts w:ascii="C39T30Lfz" w:hAnsi="C39T30Lfz"/>
        <w:sz w:val="56"/>
      </w:rPr>
      <w:t></w:t>
    </w:r>
    <w:r w:rsidRPr="000E0009">
      <w:rPr>
        <w:rFonts w:ascii="C39T30Lfz" w:hAnsi="C39T30Lfz"/>
        <w:sz w:val="56"/>
      </w:rPr>
      <w:t></w:t>
    </w:r>
    <w:r w:rsidRPr="000E0009">
      <w:rPr>
        <w:rFonts w:ascii="C39T30Lfz" w:hAnsi="C39T30Lfz"/>
        <w:sz w:val="56"/>
      </w:rPr>
      <w:t></w:t>
    </w:r>
    <w:r w:rsidRPr="000E0009">
      <w:rPr>
        <w:rFonts w:ascii="C39T30Lfz" w:hAnsi="C39T30Lfz"/>
        <w:sz w:val="56"/>
      </w:rPr>
      <w:t></w:t>
    </w:r>
    <w:r w:rsidRPr="000E0009">
      <w:rPr>
        <w:rFonts w:ascii="C39T30Lfz" w:hAnsi="C39T30Lfz"/>
        <w:sz w:val="56"/>
      </w:rPr>
      <w:t></w:t>
    </w:r>
    <w:r w:rsidRPr="000E0009">
      <w:rPr>
        <w:rFonts w:ascii="C39T30Lfz" w:hAnsi="C39T30Lfz"/>
        <w:sz w:val="56"/>
      </w:rPr>
      <w:t></w:t>
    </w:r>
    <w:r w:rsidRPr="000E0009">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C4" w:rsidRPr="00AC3823" w:rsidRDefault="00E12FC4" w:rsidP="00AC3823">
      <w:pPr>
        <w:pStyle w:val="Footer"/>
        <w:tabs>
          <w:tab w:val="right" w:pos="2155"/>
        </w:tabs>
        <w:spacing w:after="80" w:line="240" w:lineRule="atLeast"/>
        <w:ind w:left="680"/>
        <w:rPr>
          <w:u w:val="single"/>
        </w:rPr>
      </w:pPr>
      <w:r>
        <w:rPr>
          <w:u w:val="single"/>
        </w:rPr>
        <w:tab/>
      </w:r>
    </w:p>
  </w:footnote>
  <w:footnote w:type="continuationSeparator" w:id="0">
    <w:p w:rsidR="00E12FC4" w:rsidRPr="00AC3823" w:rsidRDefault="00E12FC4" w:rsidP="00AC3823">
      <w:pPr>
        <w:pStyle w:val="Footer"/>
        <w:tabs>
          <w:tab w:val="right" w:pos="2155"/>
        </w:tabs>
        <w:spacing w:after="80" w:line="240" w:lineRule="atLeast"/>
        <w:ind w:left="680"/>
        <w:rPr>
          <w:u w:val="single"/>
        </w:rPr>
      </w:pPr>
      <w:r>
        <w:rPr>
          <w:u w:val="single"/>
        </w:rPr>
        <w:tab/>
      </w:r>
    </w:p>
  </w:footnote>
  <w:footnote w:type="continuationNotice" w:id="1">
    <w:p w:rsidR="00E12FC4" w:rsidRPr="00AC3823" w:rsidRDefault="00E12FC4">
      <w:pPr>
        <w:spacing w:line="240" w:lineRule="auto"/>
        <w:rPr>
          <w:sz w:val="2"/>
          <w:szCs w:val="2"/>
        </w:rPr>
      </w:pPr>
    </w:p>
  </w:footnote>
  <w:footnote w:id="2">
    <w:p w:rsidR="00E12FC4" w:rsidRPr="00F8318D" w:rsidRDefault="00E12FC4" w:rsidP="000E0009">
      <w:pPr>
        <w:pStyle w:val="FootnoteText"/>
        <w:rPr>
          <w:spacing w:val="-2"/>
        </w:rPr>
      </w:pPr>
      <w:r w:rsidRPr="00F8318D">
        <w:rPr>
          <w:sz w:val="20"/>
        </w:rPr>
        <w:tab/>
        <w:t>*</w:t>
      </w:r>
      <w:r w:rsidRPr="00F8318D">
        <w:rPr>
          <w:sz w:val="20"/>
        </w:rPr>
        <w:tab/>
      </w:r>
      <w:r w:rsidRPr="00F8318D">
        <w:rPr>
          <w:spacing w:val="-2"/>
        </w:rPr>
        <w:t>Conformément au programme de travail du Comité des transports intérieurs pour la période 2016-2017 (ECE/TRANS/254, par. 159, et ECE/TRANS/2016/28/Add.1, module 3.1), le Forum mondial a pour mission d</w:t>
      </w:r>
      <w:r w:rsidR="00A115E6">
        <w:rPr>
          <w:spacing w:val="-2"/>
        </w:rPr>
        <w:t>’</w:t>
      </w:r>
      <w:r w:rsidRPr="00F8318D">
        <w:rPr>
          <w:spacing w:val="-2"/>
        </w:rPr>
        <w:t>élaborer, d</w:t>
      </w:r>
      <w:r w:rsidR="00A115E6">
        <w:rPr>
          <w:spacing w:val="-2"/>
        </w:rPr>
        <w:t>’</w:t>
      </w:r>
      <w:r w:rsidRPr="00F8318D">
        <w:rPr>
          <w:spacing w:val="-2"/>
        </w:rPr>
        <w:t>harmoniser et de mettre à jour les Règlements en vue d</w:t>
      </w:r>
      <w:r w:rsidR="00A115E6">
        <w:rPr>
          <w:spacing w:val="-2"/>
        </w:rPr>
        <w:t>’</w:t>
      </w:r>
      <w:r w:rsidRPr="00F8318D">
        <w:rPr>
          <w:spacing w:val="-2"/>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C4" w:rsidRPr="000E0009" w:rsidRDefault="00E12FC4">
    <w:pPr>
      <w:pStyle w:val="Header"/>
    </w:pPr>
    <w:r>
      <w:t>ECE/TRANS/WP.29/GRSG/2016/24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C4" w:rsidRPr="000E0009" w:rsidRDefault="00E12FC4" w:rsidP="000E0009">
    <w:pPr>
      <w:pStyle w:val="Header"/>
      <w:jc w:val="right"/>
    </w:pPr>
    <w:r>
      <w:t>ECE/TRANS/WP.29/GRSG/2016/24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72"/>
    <w:rsid w:val="00017F94"/>
    <w:rsid w:val="00023842"/>
    <w:rsid w:val="000334F9"/>
    <w:rsid w:val="0007796D"/>
    <w:rsid w:val="000B7790"/>
    <w:rsid w:val="000E0009"/>
    <w:rsid w:val="00111F2F"/>
    <w:rsid w:val="0014365E"/>
    <w:rsid w:val="00143C66"/>
    <w:rsid w:val="00176178"/>
    <w:rsid w:val="001F525A"/>
    <w:rsid w:val="00223272"/>
    <w:rsid w:val="0024779E"/>
    <w:rsid w:val="00257168"/>
    <w:rsid w:val="002744B8"/>
    <w:rsid w:val="002814A0"/>
    <w:rsid w:val="002832AC"/>
    <w:rsid w:val="002D1072"/>
    <w:rsid w:val="002D7C93"/>
    <w:rsid w:val="00305801"/>
    <w:rsid w:val="00343AB9"/>
    <w:rsid w:val="003916DE"/>
    <w:rsid w:val="00441C3B"/>
    <w:rsid w:val="00446FE5"/>
    <w:rsid w:val="00452396"/>
    <w:rsid w:val="00455B7F"/>
    <w:rsid w:val="004837D8"/>
    <w:rsid w:val="004E468C"/>
    <w:rsid w:val="005505B7"/>
    <w:rsid w:val="00573BE5"/>
    <w:rsid w:val="00586ED3"/>
    <w:rsid w:val="00596AA9"/>
    <w:rsid w:val="005F2809"/>
    <w:rsid w:val="006854BC"/>
    <w:rsid w:val="0071601D"/>
    <w:rsid w:val="007A62E6"/>
    <w:rsid w:val="007F20FA"/>
    <w:rsid w:val="0080684C"/>
    <w:rsid w:val="00871C75"/>
    <w:rsid w:val="008776DC"/>
    <w:rsid w:val="009705C8"/>
    <w:rsid w:val="009A4C65"/>
    <w:rsid w:val="009C1CF4"/>
    <w:rsid w:val="009F6B74"/>
    <w:rsid w:val="00A115E6"/>
    <w:rsid w:val="00A30353"/>
    <w:rsid w:val="00AC3823"/>
    <w:rsid w:val="00AE323C"/>
    <w:rsid w:val="00AF0CB5"/>
    <w:rsid w:val="00B00181"/>
    <w:rsid w:val="00B00B0D"/>
    <w:rsid w:val="00B765F7"/>
    <w:rsid w:val="00BA0CA9"/>
    <w:rsid w:val="00C02897"/>
    <w:rsid w:val="00D3439C"/>
    <w:rsid w:val="00DB1831"/>
    <w:rsid w:val="00DD3BFD"/>
    <w:rsid w:val="00DF6678"/>
    <w:rsid w:val="00E12FC4"/>
    <w:rsid w:val="00E85C74"/>
    <w:rsid w:val="00EA6547"/>
    <w:rsid w:val="00EF2E22"/>
    <w:rsid w:val="00F35BAF"/>
    <w:rsid w:val="00F660DF"/>
    <w:rsid w:val="00F8318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360F2C-F22C-47C0-90E3-A033BB6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0E0009"/>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9831</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ECE/TRANS/WP.29/GRSG/2016/24</vt:lpstr>
      <vt:lpstr>ECE/TRANS/WP.29/GRSG/2016/24</vt:lpstr>
    </vt:vector>
  </TitlesOfParts>
  <Company>DCM</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ECE/TRANS/WP.29/GRSG/2016/24</dc:title>
  <dc:subject/>
  <dc:creator>Morin</dc:creator>
  <cp:keywords/>
  <dc:description/>
  <cp:lastModifiedBy>Caillot</cp:lastModifiedBy>
  <cp:revision>2</cp:revision>
  <cp:lastPrinted>2014-05-14T10:59:00Z</cp:lastPrinted>
  <dcterms:created xsi:type="dcterms:W3CDTF">2016-08-26T09:12:00Z</dcterms:created>
  <dcterms:modified xsi:type="dcterms:W3CDTF">2016-08-26T09:12:00Z</dcterms:modified>
</cp:coreProperties>
</file>