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page" w:horzAnchor="page" w:tblpX="1135" w:tblpY="568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268"/>
        <w:gridCol w:w="3260"/>
        <w:gridCol w:w="2835"/>
      </w:tblGrid>
      <w:tr w:rsidR="00F35BAF" w:rsidRPr="00DB58B5" w:rsidTr="007F20FA">
        <w:trPr>
          <w:trHeight w:hRule="exact" w:val="851"/>
        </w:trPr>
        <w:tc>
          <w:tcPr>
            <w:tcW w:w="1276" w:type="dxa"/>
            <w:tcBorders>
              <w:bottom w:val="single" w:sz="4" w:space="0" w:color="auto"/>
            </w:tcBorders>
          </w:tcPr>
          <w:p w:rsidR="00F35BAF" w:rsidRPr="00DB58B5" w:rsidRDefault="00F35BAF" w:rsidP="00F72EE6">
            <w:bookmarkStart w:id="0" w:name="_GoBack"/>
            <w:bookmarkEnd w:id="0"/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:rsidR="00F35BAF" w:rsidRPr="00DB58B5" w:rsidRDefault="00F35BAF" w:rsidP="00892A2F">
            <w:pPr>
              <w:spacing w:after="80" w:line="300" w:lineRule="exact"/>
              <w:rPr>
                <w:sz w:val="28"/>
              </w:rPr>
            </w:pPr>
            <w:r w:rsidRPr="00DB58B5">
              <w:rPr>
                <w:sz w:val="28"/>
              </w:rPr>
              <w:t>Nations Unies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vAlign w:val="bottom"/>
          </w:tcPr>
          <w:p w:rsidR="00F35BAF" w:rsidRPr="00DB58B5" w:rsidRDefault="00F72EE6" w:rsidP="00F72EE6">
            <w:pPr>
              <w:jc w:val="right"/>
            </w:pPr>
            <w:r w:rsidRPr="00F72EE6">
              <w:rPr>
                <w:sz w:val="40"/>
              </w:rPr>
              <w:t>ECE</w:t>
            </w:r>
            <w:r>
              <w:t>/TRANS/WP.29/GRSG/2016/18</w:t>
            </w:r>
          </w:p>
        </w:tc>
      </w:tr>
      <w:tr w:rsidR="00F35BAF" w:rsidRPr="00DB58B5" w:rsidTr="00892A2F">
        <w:trPr>
          <w:trHeight w:hRule="exact" w:val="2835"/>
        </w:trPr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</w:tcPr>
          <w:p w:rsidR="00F35BAF" w:rsidRPr="00DB58B5" w:rsidRDefault="00F35BAF" w:rsidP="00892A2F">
            <w:pPr>
              <w:spacing w:before="12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36B1E73" wp14:editId="3F7BE30A">
                  <wp:extent cx="714375" cy="590550"/>
                  <wp:effectExtent l="0" t="0" r="9525" b="0"/>
                  <wp:docPr id="1" name="Image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F35BAF" w:rsidRPr="00740562" w:rsidRDefault="00F35BAF" w:rsidP="00892A2F">
            <w:pPr>
              <w:spacing w:before="120" w:line="420" w:lineRule="exact"/>
              <w:rPr>
                <w:b/>
                <w:sz w:val="40"/>
                <w:szCs w:val="40"/>
              </w:rPr>
            </w:pPr>
            <w:r w:rsidRPr="00FB77FF">
              <w:rPr>
                <w:b/>
                <w:sz w:val="40"/>
                <w:szCs w:val="40"/>
              </w:rPr>
              <w:t>Conseil économique</w:t>
            </w:r>
            <w:r>
              <w:rPr>
                <w:b/>
                <w:sz w:val="40"/>
                <w:szCs w:val="40"/>
              </w:rPr>
              <w:t xml:space="preserve"> </w:t>
            </w:r>
            <w:r w:rsidRPr="00FB77FF">
              <w:rPr>
                <w:b/>
                <w:sz w:val="40"/>
                <w:szCs w:val="40"/>
              </w:rPr>
              <w:t>et social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</w:tcPr>
          <w:p w:rsidR="00F35BAF" w:rsidRDefault="00F72EE6" w:rsidP="00892A2F">
            <w:pPr>
              <w:spacing w:before="240"/>
            </w:pPr>
            <w:r>
              <w:t>Distr. générale</w:t>
            </w:r>
          </w:p>
          <w:p w:rsidR="00F72EE6" w:rsidRDefault="00F72EE6" w:rsidP="00F72EE6">
            <w:pPr>
              <w:spacing w:line="240" w:lineRule="exact"/>
            </w:pPr>
            <w:r>
              <w:t>2</w:t>
            </w:r>
            <w:r w:rsidR="00CE7A43">
              <w:t>2</w:t>
            </w:r>
            <w:r>
              <w:t xml:space="preserve"> juillet 2016</w:t>
            </w:r>
          </w:p>
          <w:p w:rsidR="00F72EE6" w:rsidRDefault="00F72EE6" w:rsidP="00F72EE6">
            <w:pPr>
              <w:spacing w:line="240" w:lineRule="exact"/>
            </w:pPr>
            <w:r>
              <w:t>Français</w:t>
            </w:r>
          </w:p>
          <w:p w:rsidR="00F72EE6" w:rsidRPr="00DB58B5" w:rsidRDefault="00F72EE6" w:rsidP="00F72EE6">
            <w:pPr>
              <w:spacing w:line="240" w:lineRule="exact"/>
            </w:pPr>
            <w:r>
              <w:t>Original : anglais</w:t>
            </w:r>
          </w:p>
        </w:tc>
      </w:tr>
    </w:tbl>
    <w:p w:rsidR="007F20FA" w:rsidRPr="000312C0" w:rsidRDefault="007F20FA" w:rsidP="007F20FA">
      <w:pPr>
        <w:spacing w:before="120"/>
        <w:rPr>
          <w:b/>
          <w:sz w:val="28"/>
          <w:szCs w:val="28"/>
        </w:rPr>
      </w:pPr>
      <w:r w:rsidRPr="000312C0">
        <w:rPr>
          <w:b/>
          <w:sz w:val="28"/>
          <w:szCs w:val="28"/>
        </w:rPr>
        <w:t>Commission économique pour l’Europe</w:t>
      </w:r>
    </w:p>
    <w:p w:rsidR="007F20FA" w:rsidRDefault="007F20FA" w:rsidP="007F20FA">
      <w:pPr>
        <w:spacing w:before="120"/>
        <w:rPr>
          <w:sz w:val="28"/>
          <w:szCs w:val="28"/>
        </w:rPr>
      </w:pPr>
      <w:r w:rsidRPr="00685843">
        <w:rPr>
          <w:sz w:val="28"/>
          <w:szCs w:val="28"/>
        </w:rPr>
        <w:t>Comité des transports intérieurs</w:t>
      </w:r>
    </w:p>
    <w:p w:rsidR="00327D07" w:rsidRDefault="00327D07" w:rsidP="00AF0CB5">
      <w:pPr>
        <w:spacing w:before="120"/>
        <w:rPr>
          <w:b/>
          <w:sz w:val="24"/>
          <w:szCs w:val="24"/>
        </w:rPr>
      </w:pPr>
      <w:r w:rsidRPr="00685843">
        <w:rPr>
          <w:b/>
          <w:sz w:val="24"/>
          <w:szCs w:val="24"/>
        </w:rPr>
        <w:t>Forum mondial de l’harmonisation</w:t>
      </w:r>
      <w:r>
        <w:rPr>
          <w:b/>
          <w:sz w:val="24"/>
          <w:szCs w:val="24"/>
        </w:rPr>
        <w:br/>
      </w:r>
      <w:r w:rsidRPr="00685843">
        <w:rPr>
          <w:b/>
          <w:sz w:val="24"/>
          <w:szCs w:val="24"/>
        </w:rPr>
        <w:t>des Règlements</w:t>
      </w:r>
      <w:r>
        <w:rPr>
          <w:b/>
          <w:sz w:val="24"/>
          <w:szCs w:val="24"/>
        </w:rPr>
        <w:t xml:space="preserve"> </w:t>
      </w:r>
      <w:r w:rsidRPr="00685843">
        <w:rPr>
          <w:b/>
          <w:sz w:val="24"/>
          <w:szCs w:val="24"/>
        </w:rPr>
        <w:t>concernant les véhicules</w:t>
      </w:r>
    </w:p>
    <w:p w:rsidR="00327D07" w:rsidRDefault="00327D07" w:rsidP="00257168">
      <w:pPr>
        <w:spacing w:before="120" w:after="120" w:line="240" w:lineRule="exact"/>
        <w:rPr>
          <w:b/>
        </w:rPr>
      </w:pPr>
      <w:r>
        <w:rPr>
          <w:b/>
        </w:rPr>
        <w:t>Groupe de travail des dispositions générales de sécurité</w:t>
      </w:r>
    </w:p>
    <w:p w:rsidR="00327D07" w:rsidRDefault="00327D07" w:rsidP="00257168">
      <w:pPr>
        <w:spacing w:before="120" w:line="240" w:lineRule="exact"/>
        <w:rPr>
          <w:b/>
        </w:rPr>
      </w:pPr>
      <w:r>
        <w:rPr>
          <w:b/>
        </w:rPr>
        <w:t>111</w:t>
      </w:r>
      <w:r w:rsidRPr="00327D07">
        <w:rPr>
          <w:b/>
          <w:vertAlign w:val="superscript"/>
        </w:rPr>
        <w:t>e</w:t>
      </w:r>
      <w:r>
        <w:rPr>
          <w:b/>
        </w:rPr>
        <w:t xml:space="preserve"> session</w:t>
      </w:r>
    </w:p>
    <w:p w:rsidR="00327D07" w:rsidRPr="00B4050C" w:rsidRDefault="00CB7E65" w:rsidP="00327D07">
      <w:r>
        <w:t xml:space="preserve">Genève, </w:t>
      </w:r>
      <w:r w:rsidR="00327D07" w:rsidRPr="00B4050C">
        <w:t>11</w:t>
      </w:r>
      <w:r w:rsidR="00327D07">
        <w:t>-</w:t>
      </w:r>
      <w:r w:rsidR="00327D07" w:rsidRPr="00B4050C">
        <w:t>14 octobre 2016</w:t>
      </w:r>
    </w:p>
    <w:p w:rsidR="00327D07" w:rsidRPr="00B4050C" w:rsidRDefault="00327D07" w:rsidP="00327D07">
      <w:r w:rsidRPr="00B4050C">
        <w:t>Point 8 de l’ordre du jour provisoire</w:t>
      </w:r>
    </w:p>
    <w:p w:rsidR="00327D07" w:rsidRPr="00B4050C" w:rsidRDefault="00327D07" w:rsidP="00327D07">
      <w:pPr>
        <w:rPr>
          <w:b/>
        </w:rPr>
      </w:pPr>
      <w:r w:rsidRPr="00B4050C">
        <w:rPr>
          <w:b/>
        </w:rPr>
        <w:t xml:space="preserve">Règlement </w:t>
      </w:r>
      <w:r w:rsidRPr="00327D07">
        <w:rPr>
          <w:rFonts w:eastAsia="MS Mincho"/>
          <w:b/>
        </w:rPr>
        <w:t>n</w:t>
      </w:r>
      <w:r w:rsidRPr="00327D07">
        <w:rPr>
          <w:rFonts w:eastAsia="MS Mincho"/>
          <w:b/>
          <w:vertAlign w:val="superscript"/>
        </w:rPr>
        <w:t>o</w:t>
      </w:r>
      <w:r>
        <w:rPr>
          <w:b/>
        </w:rPr>
        <w:t> </w:t>
      </w:r>
      <w:r w:rsidRPr="00B4050C">
        <w:rPr>
          <w:b/>
        </w:rPr>
        <w:t>73 (Dispositifs de protection latérale)</w:t>
      </w:r>
    </w:p>
    <w:p w:rsidR="00327D07" w:rsidRPr="00B4050C" w:rsidRDefault="00327D07" w:rsidP="00327D07">
      <w:pPr>
        <w:pStyle w:val="HChG"/>
      </w:pPr>
      <w:r>
        <w:tab/>
      </w:r>
      <w:r>
        <w:tab/>
      </w:r>
      <w:r w:rsidRPr="00B4050C">
        <w:t>Proposition d’</w:t>
      </w:r>
      <w:r w:rsidRPr="00B4050C">
        <w:rPr>
          <w:szCs w:val="28"/>
        </w:rPr>
        <w:t xml:space="preserve">amendements au Règlement </w:t>
      </w:r>
      <w:r w:rsidRPr="00327D07">
        <w:rPr>
          <w:rFonts w:eastAsia="MS Mincho"/>
          <w:szCs w:val="28"/>
        </w:rPr>
        <w:t>n</w:t>
      </w:r>
      <w:r w:rsidRPr="00327D07">
        <w:rPr>
          <w:rFonts w:eastAsia="MS Mincho"/>
          <w:szCs w:val="28"/>
          <w:vertAlign w:val="superscript"/>
        </w:rPr>
        <w:t>o</w:t>
      </w:r>
      <w:r>
        <w:rPr>
          <w:szCs w:val="28"/>
        </w:rPr>
        <w:t> </w:t>
      </w:r>
      <w:r w:rsidRPr="00B4050C">
        <w:rPr>
          <w:szCs w:val="28"/>
        </w:rPr>
        <w:t>73</w:t>
      </w:r>
      <w:r>
        <w:rPr>
          <w:szCs w:val="28"/>
        </w:rPr>
        <w:br/>
      </w:r>
      <w:r w:rsidRPr="00B4050C">
        <w:t>(Dispositifs de protection latérale)</w:t>
      </w:r>
    </w:p>
    <w:p w:rsidR="00327D07" w:rsidRPr="00B4050C" w:rsidRDefault="00327D07" w:rsidP="00327D07">
      <w:pPr>
        <w:pStyle w:val="H1G"/>
        <w:rPr>
          <w:vertAlign w:val="superscript"/>
        </w:rPr>
      </w:pPr>
      <w:r>
        <w:tab/>
      </w:r>
      <w:r>
        <w:tab/>
      </w:r>
      <w:r w:rsidRPr="00B4050C">
        <w:t>Communication de l’expert de l’Association internationale</w:t>
      </w:r>
      <w:r>
        <w:br/>
      </w:r>
      <w:r w:rsidRPr="00B4050C">
        <w:t>de la construction de carrosseries et de remorques</w:t>
      </w:r>
      <w:r w:rsidRPr="00327D07">
        <w:rPr>
          <w:rStyle w:val="FootnoteReference"/>
          <w:b w:val="0"/>
          <w:sz w:val="20"/>
          <w:vertAlign w:val="baseline"/>
        </w:rPr>
        <w:footnoteReference w:customMarkFollows="1" w:id="2"/>
        <w:t>*</w:t>
      </w:r>
    </w:p>
    <w:p w:rsidR="00F72EE6" w:rsidRDefault="00327D07" w:rsidP="00327D07">
      <w:pPr>
        <w:pStyle w:val="SingleTxtG"/>
        <w:ind w:firstLine="567"/>
      </w:pPr>
      <w:r w:rsidRPr="00B4050C">
        <w:t>Le texte</w:t>
      </w:r>
      <w:r>
        <w:t xml:space="preserve"> ci-après, établi par l’</w:t>
      </w:r>
      <w:r w:rsidRPr="00B4050C">
        <w:t xml:space="preserve">expert de l’Association internationale de la construction de carrosseries et de remorques, </w:t>
      </w:r>
      <w:r>
        <w:t xml:space="preserve">a pour objet de </w:t>
      </w:r>
      <w:r w:rsidRPr="00B4050C">
        <w:t xml:space="preserve">faire en sorte </w:t>
      </w:r>
      <w:r>
        <w:t>que le plus grand nombre possible</w:t>
      </w:r>
      <w:r w:rsidRPr="00B4050C">
        <w:t xml:space="preserve"> de véhicules</w:t>
      </w:r>
      <w:r>
        <w:t xml:space="preserve"> soient équip</w:t>
      </w:r>
      <w:r w:rsidRPr="00B4050C">
        <w:t xml:space="preserve">és de dispositifs de protection latérale. </w:t>
      </w:r>
      <w:r>
        <w:t>Il est fondé sur le document</w:t>
      </w:r>
      <w:r w:rsidRPr="00B4050C">
        <w:t xml:space="preserve"> ECE/TRANS/WP.29/GRSG/2016/2 </w:t>
      </w:r>
      <w:r>
        <w:t>et le</w:t>
      </w:r>
      <w:r w:rsidRPr="00B4050C">
        <w:t xml:space="preserve"> document </w:t>
      </w:r>
      <w:r>
        <w:t xml:space="preserve">informel </w:t>
      </w:r>
      <w:r w:rsidRPr="00B4050C">
        <w:t xml:space="preserve">GRSG-110-20-Rev.1, </w:t>
      </w:r>
      <w:r>
        <w:t xml:space="preserve">tous deux distribués pendant la </w:t>
      </w:r>
      <w:r w:rsidRPr="00B4050C">
        <w:t>110</w:t>
      </w:r>
      <w:r>
        <w:rPr>
          <w:vertAlign w:val="superscript"/>
        </w:rPr>
        <w:t>e</w:t>
      </w:r>
      <w:r>
        <w:t> </w:t>
      </w:r>
      <w:r w:rsidRPr="00B4050C">
        <w:t xml:space="preserve">session </w:t>
      </w:r>
      <w:r>
        <w:t>du Groupe de travail des dispositions générales de sécurité</w:t>
      </w:r>
      <w:r w:rsidRPr="00B4050C">
        <w:t xml:space="preserve"> (GRSG) (</w:t>
      </w:r>
      <w:r>
        <w:t>voir le rapport</w:t>
      </w:r>
      <w:r w:rsidRPr="00B4050C">
        <w:t xml:space="preserve"> ECE/TRANS/WP.29/GRSG/89</w:t>
      </w:r>
      <w:r>
        <w:t>, par</w:t>
      </w:r>
      <w:r w:rsidRPr="00B4050C">
        <w:t xml:space="preserve">. 27 </w:t>
      </w:r>
      <w:r>
        <w:t xml:space="preserve">et </w:t>
      </w:r>
      <w:r w:rsidRPr="00B4050C">
        <w:t xml:space="preserve">28). </w:t>
      </w:r>
      <w:r w:rsidRPr="00C65E00">
        <w:rPr>
          <w:lang w:val="fr-FR"/>
        </w:rPr>
        <w:t xml:space="preserve">Les modifications qu’il est proposé d’apporter au texte actuel du Règlement </w:t>
      </w:r>
      <w:r w:rsidRPr="00327D07">
        <w:rPr>
          <w:rFonts w:eastAsia="MS Mincho"/>
          <w:lang w:val="fr-FR"/>
        </w:rPr>
        <w:t>n</w:t>
      </w:r>
      <w:r w:rsidRPr="00327D07">
        <w:rPr>
          <w:rFonts w:eastAsia="MS Mincho"/>
          <w:vertAlign w:val="superscript"/>
          <w:lang w:val="fr-FR"/>
        </w:rPr>
        <w:t>o</w:t>
      </w:r>
      <w:r w:rsidRPr="001426AF">
        <w:rPr>
          <w:rFonts w:eastAsia="MS Mincho"/>
          <w:lang w:val="fr-FR"/>
        </w:rPr>
        <w:t> </w:t>
      </w:r>
      <w:r w:rsidRPr="00C65E00">
        <w:rPr>
          <w:lang w:val="fr-FR"/>
        </w:rPr>
        <w:t>73 sont signalées en caractères gras pour les ajouts ou biffés pour les suppressions</w:t>
      </w:r>
      <w:r w:rsidRPr="00B4050C">
        <w:t>.</w:t>
      </w:r>
    </w:p>
    <w:p w:rsidR="00327D07" w:rsidRPr="00B4050C" w:rsidRDefault="00327D07" w:rsidP="000D6B8D">
      <w:pPr>
        <w:pStyle w:val="HChG"/>
      </w:pPr>
      <w:r>
        <w:br w:type="page"/>
      </w:r>
      <w:r w:rsidR="000D6B8D">
        <w:lastRenderedPageBreak/>
        <w:tab/>
        <w:t>I.</w:t>
      </w:r>
      <w:r w:rsidR="000D6B8D">
        <w:tab/>
      </w:r>
      <w:r>
        <w:t>Proposition</w:t>
      </w:r>
    </w:p>
    <w:p w:rsidR="00327D07" w:rsidRPr="00B4050C" w:rsidRDefault="00327D07" w:rsidP="00327D07">
      <w:pPr>
        <w:pStyle w:val="SingleTxtG"/>
      </w:pPr>
      <w:r w:rsidRPr="00B4050C">
        <w:rPr>
          <w:i/>
        </w:rPr>
        <w:t>Paragraph</w:t>
      </w:r>
      <w:r>
        <w:rPr>
          <w:i/>
        </w:rPr>
        <w:t>e</w:t>
      </w:r>
      <w:r w:rsidRPr="00B4050C">
        <w:rPr>
          <w:i/>
        </w:rPr>
        <w:t xml:space="preserve"> 1</w:t>
      </w:r>
      <w:r>
        <w:rPr>
          <w:i/>
        </w:rPr>
        <w:t>.2</w:t>
      </w:r>
      <w:r w:rsidRPr="008416D7">
        <w:t>,</w:t>
      </w:r>
      <w:r w:rsidRPr="00B4050C">
        <w:t xml:space="preserve"> </w:t>
      </w:r>
      <w:r>
        <w:t xml:space="preserve">modifier comme suit </w:t>
      </w:r>
      <w:r w:rsidRPr="00B4050C">
        <w:t>(</w:t>
      </w:r>
      <w:r>
        <w:t>en supprimant le paragraphe </w:t>
      </w:r>
      <w:r w:rsidRPr="00B4050C">
        <w:t>1.2.2)</w:t>
      </w:r>
      <w:r w:rsidR="00204F2B">
        <w:t> </w:t>
      </w:r>
      <w:r w:rsidRPr="00B4050C">
        <w:t>:</w:t>
      </w:r>
    </w:p>
    <w:p w:rsidR="00327D07" w:rsidRPr="00B4050C" w:rsidRDefault="00327D07" w:rsidP="000D6B8D">
      <w:pPr>
        <w:pStyle w:val="SingleTxtG"/>
        <w:ind w:left="2268" w:hanging="1134"/>
      </w:pPr>
      <w:r>
        <w:t>« </w:t>
      </w:r>
      <w:r w:rsidRPr="00B4050C">
        <w:t>1.2</w:t>
      </w:r>
      <w:r w:rsidRPr="00B4050C">
        <w:tab/>
      </w:r>
      <w:r w:rsidRPr="002A5075">
        <w:rPr>
          <w:lang w:val="fr-FR"/>
        </w:rPr>
        <w:t>Le présent Règlement ne s’applique pas</w:t>
      </w:r>
      <w:r>
        <w:rPr>
          <w:lang w:val="fr-FR"/>
        </w:rPr>
        <w:t> </w:t>
      </w:r>
      <w:r w:rsidRPr="00B4050C">
        <w:t>:</w:t>
      </w:r>
    </w:p>
    <w:p w:rsidR="00327D07" w:rsidRPr="00B4050C" w:rsidRDefault="00327D07" w:rsidP="000D6B8D">
      <w:pPr>
        <w:pStyle w:val="SingleTxtG"/>
        <w:ind w:left="2268" w:hanging="1134"/>
      </w:pPr>
      <w:r>
        <w:t>1.2.1</w:t>
      </w:r>
      <w:r w:rsidRPr="00B4050C">
        <w:tab/>
      </w:r>
      <w:r w:rsidRPr="002A5075">
        <w:rPr>
          <w:lang w:val="fr-FR"/>
        </w:rPr>
        <w:t>A</w:t>
      </w:r>
      <w:r>
        <w:rPr>
          <w:lang w:val="fr-FR"/>
        </w:rPr>
        <w:t>ux tracteurs des semi</w:t>
      </w:r>
      <w:r w:rsidR="000D6B8D">
        <w:rPr>
          <w:lang w:val="fr-FR"/>
        </w:rPr>
        <w:noBreakHyphen/>
      </w:r>
      <w:r>
        <w:rPr>
          <w:lang w:val="fr-FR"/>
        </w:rPr>
        <w:t>remorques</w:t>
      </w:r>
      <w:r w:rsidRPr="00B4050C">
        <w:t>.</w:t>
      </w:r>
    </w:p>
    <w:p w:rsidR="00327D07" w:rsidRPr="00B4050C" w:rsidRDefault="00327D07" w:rsidP="000D6B8D">
      <w:pPr>
        <w:pStyle w:val="SingleTxtG"/>
        <w:ind w:left="2268" w:hanging="1134"/>
      </w:pPr>
      <w:r w:rsidRPr="00B4050C">
        <w:rPr>
          <w:strike/>
        </w:rPr>
        <w:t>1.2.2</w:t>
      </w:r>
      <w:r w:rsidRPr="00B4050C">
        <w:tab/>
      </w:r>
      <w:r w:rsidRPr="002A5075">
        <w:rPr>
          <w:strike/>
          <w:lang w:val="fr-FR"/>
        </w:rPr>
        <w:t>Aux véhicules conçus et construits pour des usages spéciaux, sur lesquels il n’est pas possible, pour des raisons pratiques, d’installer des dispositifs de protection latérale</w:t>
      </w:r>
      <w:r w:rsidRPr="00B4050C">
        <w:rPr>
          <w:strike/>
        </w:rPr>
        <w:t>.</w:t>
      </w:r>
      <w:r>
        <w:t> ».</w:t>
      </w:r>
    </w:p>
    <w:p w:rsidR="00327D07" w:rsidRPr="00B4050C" w:rsidRDefault="00327D07" w:rsidP="00327D07">
      <w:pPr>
        <w:pStyle w:val="SingleTxtG"/>
        <w:rPr>
          <w:lang w:eastAsia="ar-SA"/>
        </w:rPr>
      </w:pPr>
      <w:r>
        <w:rPr>
          <w:i/>
          <w:lang w:eastAsia="ar-SA"/>
        </w:rPr>
        <w:t>Ajouter un nouveau</w:t>
      </w:r>
      <w:r w:rsidRPr="00B4050C">
        <w:rPr>
          <w:i/>
          <w:lang w:eastAsia="ar-SA"/>
        </w:rPr>
        <w:t xml:space="preserve"> </w:t>
      </w:r>
      <w:r>
        <w:rPr>
          <w:i/>
          <w:lang w:eastAsia="ar-SA"/>
        </w:rPr>
        <w:t>paragraphe </w:t>
      </w:r>
      <w:r w:rsidRPr="00B4050C">
        <w:rPr>
          <w:i/>
          <w:lang w:eastAsia="ar-SA"/>
        </w:rPr>
        <w:t>13.3</w:t>
      </w:r>
      <w:r>
        <w:rPr>
          <w:lang w:eastAsia="ar-SA"/>
        </w:rPr>
        <w:t>, ainsi conçu</w:t>
      </w:r>
      <w:r w:rsidR="00204F2B">
        <w:rPr>
          <w:lang w:eastAsia="ar-SA"/>
        </w:rPr>
        <w:t> </w:t>
      </w:r>
      <w:r w:rsidRPr="00B4050C">
        <w:rPr>
          <w:lang w:eastAsia="ar-SA"/>
        </w:rPr>
        <w:t>:</w:t>
      </w:r>
    </w:p>
    <w:p w:rsidR="00327D07" w:rsidRPr="00B4050C" w:rsidRDefault="00327D07" w:rsidP="000D6B8D">
      <w:pPr>
        <w:pStyle w:val="SingleTxtG"/>
        <w:ind w:left="2268" w:hanging="1134"/>
        <w:rPr>
          <w:lang w:eastAsia="ar-SA"/>
        </w:rPr>
      </w:pPr>
      <w:r>
        <w:rPr>
          <w:lang w:eastAsia="ar-SA"/>
        </w:rPr>
        <w:t>« </w:t>
      </w:r>
      <w:r>
        <w:rPr>
          <w:b/>
          <w:lang w:eastAsia="ar-SA"/>
        </w:rPr>
        <w:t>13.3</w:t>
      </w:r>
      <w:r w:rsidRPr="00B4050C">
        <w:rPr>
          <w:b/>
          <w:lang w:eastAsia="ar-SA"/>
        </w:rPr>
        <w:tab/>
      </w:r>
      <w:r w:rsidRPr="00617286">
        <w:rPr>
          <w:b/>
          <w:lang w:val="fr-FR" w:eastAsia="ar-SA"/>
        </w:rPr>
        <w:t>Les véhicules dont l’usage sur</w:t>
      </w:r>
      <w:r>
        <w:rPr>
          <w:b/>
          <w:lang w:val="fr-FR" w:eastAsia="ar-SA"/>
        </w:rPr>
        <w:t xml:space="preserve"> route est incompatible avec un dispositif de</w:t>
      </w:r>
      <w:r w:rsidRPr="00617286">
        <w:rPr>
          <w:b/>
          <w:lang w:val="fr-FR" w:eastAsia="ar-SA"/>
        </w:rPr>
        <w:t xml:space="preserve"> protection </w:t>
      </w:r>
      <w:r>
        <w:rPr>
          <w:b/>
          <w:lang w:val="fr-FR" w:eastAsia="ar-SA"/>
        </w:rPr>
        <w:t xml:space="preserve">latérale </w:t>
      </w:r>
      <w:r w:rsidRPr="00617286">
        <w:rPr>
          <w:b/>
          <w:lang w:val="fr-FR" w:eastAsia="ar-SA"/>
        </w:rPr>
        <w:t>(par exemple</w:t>
      </w:r>
      <w:r w:rsidR="00204F2B">
        <w:rPr>
          <w:b/>
          <w:lang w:val="fr-FR" w:eastAsia="ar-SA"/>
        </w:rPr>
        <w:t> </w:t>
      </w:r>
      <w:r w:rsidRPr="00617286">
        <w:rPr>
          <w:b/>
          <w:lang w:val="fr-FR" w:eastAsia="ar-SA"/>
        </w:rPr>
        <w:t>: fixe, démontable, pliable, ajustable) peuvent être partiellement ou totalement exemptés du présent Règlement, sous réserve de la décision de l’autorité d’homologation de type</w:t>
      </w:r>
      <w:r>
        <w:rPr>
          <w:b/>
          <w:lang w:val="fr-FR" w:eastAsia="ar-SA"/>
        </w:rPr>
        <w:t>.</w:t>
      </w:r>
      <w:r>
        <w:rPr>
          <w:lang w:eastAsia="ar-SA"/>
        </w:rPr>
        <w:t> ».</w:t>
      </w:r>
    </w:p>
    <w:p w:rsidR="00327D07" w:rsidRPr="00B4050C" w:rsidRDefault="00327D07" w:rsidP="00327D07">
      <w:pPr>
        <w:pStyle w:val="SingleTxtG"/>
        <w:rPr>
          <w:lang w:eastAsia="ar-SA"/>
        </w:rPr>
      </w:pPr>
      <w:r>
        <w:rPr>
          <w:i/>
          <w:lang w:eastAsia="ar-SA"/>
        </w:rPr>
        <w:t>Ajouter un nouveau</w:t>
      </w:r>
      <w:r w:rsidRPr="00B4050C">
        <w:rPr>
          <w:i/>
          <w:lang w:eastAsia="ar-SA"/>
        </w:rPr>
        <w:t xml:space="preserve"> </w:t>
      </w:r>
      <w:r>
        <w:rPr>
          <w:i/>
          <w:lang w:eastAsia="ar-SA"/>
        </w:rPr>
        <w:t>paragraphe </w:t>
      </w:r>
      <w:r w:rsidRPr="00B4050C">
        <w:rPr>
          <w:i/>
          <w:lang w:eastAsia="ar-SA"/>
        </w:rPr>
        <w:t>16.2</w:t>
      </w:r>
      <w:r w:rsidRPr="00B4050C">
        <w:rPr>
          <w:lang w:eastAsia="ar-SA"/>
        </w:rPr>
        <w:t xml:space="preserve">, </w:t>
      </w:r>
      <w:r>
        <w:rPr>
          <w:lang w:eastAsia="ar-SA"/>
        </w:rPr>
        <w:t>ainsi conçu</w:t>
      </w:r>
      <w:r w:rsidR="00204F2B">
        <w:rPr>
          <w:lang w:eastAsia="ar-SA"/>
        </w:rPr>
        <w:t> </w:t>
      </w:r>
      <w:r w:rsidRPr="00B4050C">
        <w:rPr>
          <w:lang w:eastAsia="ar-SA"/>
        </w:rPr>
        <w:t>:</w:t>
      </w:r>
    </w:p>
    <w:p w:rsidR="00327D07" w:rsidRPr="00B4050C" w:rsidRDefault="00327D07" w:rsidP="000D6B8D">
      <w:pPr>
        <w:pStyle w:val="SingleTxtG"/>
        <w:ind w:left="2268" w:hanging="1134"/>
        <w:rPr>
          <w:lang w:eastAsia="ar-SA"/>
        </w:rPr>
      </w:pPr>
      <w:r>
        <w:rPr>
          <w:lang w:eastAsia="ar-SA"/>
        </w:rPr>
        <w:t>« </w:t>
      </w:r>
      <w:r>
        <w:rPr>
          <w:b/>
          <w:lang w:eastAsia="ar-SA"/>
        </w:rPr>
        <w:t>16.2</w:t>
      </w:r>
      <w:r w:rsidRPr="00B4050C">
        <w:rPr>
          <w:b/>
          <w:lang w:eastAsia="ar-SA"/>
        </w:rPr>
        <w:tab/>
      </w:r>
      <w:r w:rsidRPr="00617286">
        <w:rPr>
          <w:b/>
          <w:lang w:val="fr-FR" w:eastAsia="ar-SA"/>
        </w:rPr>
        <w:t>Les véhicules dont l’usage sur</w:t>
      </w:r>
      <w:r>
        <w:rPr>
          <w:b/>
          <w:lang w:val="fr-FR" w:eastAsia="ar-SA"/>
        </w:rPr>
        <w:t xml:space="preserve"> route est incompatible avec un dispositif de</w:t>
      </w:r>
      <w:r w:rsidRPr="00617286">
        <w:rPr>
          <w:b/>
          <w:lang w:val="fr-FR" w:eastAsia="ar-SA"/>
        </w:rPr>
        <w:t xml:space="preserve"> protection </w:t>
      </w:r>
      <w:r>
        <w:rPr>
          <w:b/>
          <w:lang w:val="fr-FR" w:eastAsia="ar-SA"/>
        </w:rPr>
        <w:t xml:space="preserve">latérale </w:t>
      </w:r>
      <w:r w:rsidRPr="00617286">
        <w:rPr>
          <w:b/>
          <w:lang w:val="fr-FR" w:eastAsia="ar-SA"/>
        </w:rPr>
        <w:t>(par exemple</w:t>
      </w:r>
      <w:r w:rsidR="00204F2B">
        <w:rPr>
          <w:b/>
          <w:lang w:val="fr-FR" w:eastAsia="ar-SA"/>
        </w:rPr>
        <w:t> </w:t>
      </w:r>
      <w:r w:rsidRPr="00617286">
        <w:rPr>
          <w:b/>
          <w:lang w:val="fr-FR" w:eastAsia="ar-SA"/>
        </w:rPr>
        <w:t>: fixe, démontable, pliable, ajustable) peuvent être partiellement ou totalement exemptés du présent Règlement, sous réserve de la décision de l’autorité d’homologation de type</w:t>
      </w:r>
      <w:r>
        <w:rPr>
          <w:b/>
          <w:lang w:val="fr-FR" w:eastAsia="ar-SA"/>
        </w:rPr>
        <w:t>.</w:t>
      </w:r>
      <w:r>
        <w:rPr>
          <w:lang w:eastAsia="ar-SA"/>
        </w:rPr>
        <w:t> ».</w:t>
      </w:r>
    </w:p>
    <w:p w:rsidR="00327D07" w:rsidRPr="00B4050C" w:rsidRDefault="00327D07" w:rsidP="000D6B8D">
      <w:pPr>
        <w:pStyle w:val="HChG"/>
      </w:pPr>
      <w:r w:rsidRPr="00B4050C">
        <w:tab/>
        <w:t>II.</w:t>
      </w:r>
      <w:r w:rsidRPr="00B4050C">
        <w:tab/>
        <w:t>Justification</w:t>
      </w:r>
    </w:p>
    <w:p w:rsidR="00327D07" w:rsidRPr="00B4050C" w:rsidRDefault="000D6B8D" w:rsidP="000D6B8D">
      <w:pPr>
        <w:pStyle w:val="SingleTxtG"/>
        <w:rPr>
          <w:lang w:eastAsia="ar-SA"/>
        </w:rPr>
      </w:pPr>
      <w:r>
        <w:t>1.</w:t>
      </w:r>
      <w:r>
        <w:tab/>
      </w:r>
      <w:r w:rsidR="00327D07">
        <w:t>L</w:t>
      </w:r>
      <w:r w:rsidR="00327D07" w:rsidRPr="00B4050C">
        <w:t>’Association internationale de la construction de carrosseries et de remorques</w:t>
      </w:r>
      <w:r w:rsidR="00327D07" w:rsidRPr="00B4050C">
        <w:rPr>
          <w:lang w:eastAsia="ar-SA"/>
        </w:rPr>
        <w:t xml:space="preserve"> </w:t>
      </w:r>
      <w:r w:rsidR="00327D07">
        <w:rPr>
          <w:lang w:eastAsia="ar-SA"/>
        </w:rPr>
        <w:t>est favorable au principe du document</w:t>
      </w:r>
      <w:r w:rsidR="00327D07" w:rsidRPr="00B4050C">
        <w:rPr>
          <w:lang w:eastAsia="ar-SA"/>
        </w:rPr>
        <w:t xml:space="preserve"> ECE/TRANS/WP.29/GRSG/2016/2</w:t>
      </w:r>
      <w:r>
        <w:rPr>
          <w:lang w:eastAsia="ar-SA"/>
        </w:rPr>
        <w:t>, établi par le Royaume</w:t>
      </w:r>
      <w:r>
        <w:rPr>
          <w:lang w:eastAsia="ar-SA"/>
        </w:rPr>
        <w:noBreakHyphen/>
      </w:r>
      <w:r w:rsidR="00327D07">
        <w:rPr>
          <w:lang w:eastAsia="ar-SA"/>
        </w:rPr>
        <w:t>Uni de Grande-Bretagne et d’Irlande du Nord</w:t>
      </w:r>
      <w:r w:rsidR="00327D07" w:rsidRPr="00B4050C">
        <w:rPr>
          <w:lang w:eastAsia="ar-SA"/>
        </w:rPr>
        <w:t>.</w:t>
      </w:r>
    </w:p>
    <w:p w:rsidR="00327D07" w:rsidRPr="00B4050C" w:rsidRDefault="000D6B8D" w:rsidP="000D6B8D">
      <w:pPr>
        <w:pStyle w:val="SingleTxtG"/>
        <w:rPr>
          <w:lang w:eastAsia="ar-SA"/>
        </w:rPr>
      </w:pPr>
      <w:r>
        <w:rPr>
          <w:lang w:eastAsia="ar-SA"/>
        </w:rPr>
        <w:t>2.</w:t>
      </w:r>
      <w:r>
        <w:rPr>
          <w:lang w:eastAsia="ar-SA"/>
        </w:rPr>
        <w:tab/>
      </w:r>
      <w:r w:rsidR="00327D07">
        <w:rPr>
          <w:lang w:eastAsia="ar-SA"/>
        </w:rPr>
        <w:t>La suppression du</w:t>
      </w:r>
      <w:r w:rsidR="00327D07" w:rsidRPr="00B4050C">
        <w:rPr>
          <w:lang w:eastAsia="ar-SA"/>
        </w:rPr>
        <w:t xml:space="preserve"> </w:t>
      </w:r>
      <w:r w:rsidR="00327D07">
        <w:rPr>
          <w:lang w:eastAsia="ar-SA"/>
        </w:rPr>
        <w:t>paragraphe </w:t>
      </w:r>
      <w:r w:rsidR="00327D07" w:rsidRPr="00B4050C">
        <w:rPr>
          <w:lang w:eastAsia="ar-SA"/>
        </w:rPr>
        <w:t>1.2.2</w:t>
      </w:r>
      <w:r w:rsidR="00327D07">
        <w:rPr>
          <w:lang w:eastAsia="ar-SA"/>
        </w:rPr>
        <w:t xml:space="preserve">, si elle n’était pas accompagnée de l’ajout des nouveaux paragraphes </w:t>
      </w:r>
      <w:r w:rsidR="00327D07" w:rsidRPr="00B4050C">
        <w:rPr>
          <w:lang w:eastAsia="ar-SA"/>
        </w:rPr>
        <w:t>13.3</w:t>
      </w:r>
      <w:r w:rsidR="00327D07">
        <w:rPr>
          <w:lang w:eastAsia="ar-SA"/>
        </w:rPr>
        <w:t xml:space="preserve"> et</w:t>
      </w:r>
      <w:r w:rsidR="00327D07" w:rsidRPr="00B4050C">
        <w:rPr>
          <w:lang w:eastAsia="ar-SA"/>
        </w:rPr>
        <w:t xml:space="preserve"> 16.2</w:t>
      </w:r>
      <w:r w:rsidR="00327D07">
        <w:rPr>
          <w:lang w:eastAsia="ar-SA"/>
        </w:rPr>
        <w:t>, causerait aux autorités d’homologation de type des difficultés</w:t>
      </w:r>
      <w:r w:rsidR="00327D07" w:rsidRPr="00B4050C">
        <w:rPr>
          <w:lang w:eastAsia="ar-SA"/>
        </w:rPr>
        <w:t xml:space="preserve"> </w:t>
      </w:r>
      <w:r w:rsidR="00327D07">
        <w:rPr>
          <w:lang w:eastAsia="ar-SA"/>
        </w:rPr>
        <w:t xml:space="preserve">dans le cadre des processus de </w:t>
      </w:r>
      <w:r w:rsidR="00327D07" w:rsidRPr="00B4050C">
        <w:rPr>
          <w:lang w:eastAsia="ar-SA"/>
        </w:rPr>
        <w:t xml:space="preserve">certification </w:t>
      </w:r>
      <w:r w:rsidR="00327D07">
        <w:rPr>
          <w:lang w:eastAsia="ar-SA"/>
        </w:rPr>
        <w:t>et d’</w:t>
      </w:r>
      <w:r w:rsidR="00327D07" w:rsidRPr="00B4050C">
        <w:rPr>
          <w:lang w:eastAsia="ar-SA"/>
        </w:rPr>
        <w:t>homologation</w:t>
      </w:r>
      <w:r w:rsidR="00327D07">
        <w:rPr>
          <w:lang w:eastAsia="ar-SA"/>
        </w:rPr>
        <w:t xml:space="preserve"> de produits de niche</w:t>
      </w:r>
      <w:r w:rsidR="00327D07" w:rsidRPr="00B4050C">
        <w:rPr>
          <w:lang w:eastAsia="ar-SA"/>
        </w:rPr>
        <w:t>.</w:t>
      </w:r>
    </w:p>
    <w:p w:rsidR="00327D07" w:rsidRPr="00B4050C" w:rsidRDefault="000D6B8D" w:rsidP="000D6B8D">
      <w:pPr>
        <w:pStyle w:val="SingleTxtG"/>
        <w:rPr>
          <w:lang w:eastAsia="ar-SA"/>
        </w:rPr>
      </w:pPr>
      <w:r>
        <w:rPr>
          <w:lang w:eastAsia="ar-SA"/>
        </w:rPr>
        <w:t>3.</w:t>
      </w:r>
      <w:r>
        <w:rPr>
          <w:lang w:eastAsia="ar-SA"/>
        </w:rPr>
        <w:tab/>
      </w:r>
      <w:r w:rsidR="00327D07">
        <w:rPr>
          <w:lang w:eastAsia="ar-SA"/>
        </w:rPr>
        <w:t xml:space="preserve">La branche d’activité concernée n’est pas en mesure de fournir une liste exhaustive des dérogations prévues au paragraphe 13 du Règlement </w:t>
      </w:r>
      <w:r w:rsidRPr="000D6B8D">
        <w:rPr>
          <w:rFonts w:eastAsia="MS Mincho"/>
          <w:lang w:eastAsia="ar-SA"/>
        </w:rPr>
        <w:t>n</w:t>
      </w:r>
      <w:r w:rsidRPr="000D6B8D">
        <w:rPr>
          <w:rFonts w:eastAsia="MS Mincho"/>
          <w:vertAlign w:val="superscript"/>
          <w:lang w:eastAsia="ar-SA"/>
        </w:rPr>
        <w:t>o</w:t>
      </w:r>
      <w:r>
        <w:rPr>
          <w:lang w:eastAsia="ar-SA"/>
        </w:rPr>
        <w:t> </w:t>
      </w:r>
      <w:r w:rsidR="00327D07">
        <w:rPr>
          <w:lang w:eastAsia="ar-SA"/>
        </w:rPr>
        <w:t>73</w:t>
      </w:r>
      <w:r w:rsidR="00327D07" w:rsidRPr="00B4050C">
        <w:rPr>
          <w:lang w:eastAsia="ar-SA"/>
        </w:rPr>
        <w:t xml:space="preserve">. </w:t>
      </w:r>
      <w:r w:rsidR="00327D07">
        <w:rPr>
          <w:lang w:eastAsia="ar-SA"/>
        </w:rPr>
        <w:t>Une part importante des membres de l’Association sont spécialisés dans les produits de niche et doivent offrir des solutions à leurs clients nationaux et internationaux</w:t>
      </w:r>
      <w:r w:rsidR="00327D07" w:rsidRPr="00B4050C">
        <w:rPr>
          <w:lang w:eastAsia="ar-SA"/>
        </w:rPr>
        <w:t xml:space="preserve">. </w:t>
      </w:r>
      <w:r w:rsidR="00327D07">
        <w:rPr>
          <w:lang w:eastAsia="ar-SA"/>
        </w:rPr>
        <w:t xml:space="preserve">Si les entreprises du secteur sont prêtes à se plier, autant que possible, aux prescriptions du Règlement </w:t>
      </w:r>
      <w:r w:rsidRPr="000D6B8D">
        <w:rPr>
          <w:rFonts w:eastAsia="MS Mincho"/>
          <w:lang w:eastAsia="ar-SA"/>
        </w:rPr>
        <w:t>n</w:t>
      </w:r>
      <w:r w:rsidRPr="000D6B8D">
        <w:rPr>
          <w:rFonts w:eastAsia="MS Mincho"/>
          <w:vertAlign w:val="superscript"/>
          <w:lang w:eastAsia="ar-SA"/>
        </w:rPr>
        <w:t>o</w:t>
      </w:r>
      <w:r>
        <w:rPr>
          <w:lang w:eastAsia="ar-SA"/>
        </w:rPr>
        <w:t> </w:t>
      </w:r>
      <w:r w:rsidR="00327D07">
        <w:rPr>
          <w:lang w:eastAsia="ar-SA"/>
        </w:rPr>
        <w:t>73</w:t>
      </w:r>
      <w:r w:rsidR="00327D07" w:rsidRPr="00B4050C">
        <w:rPr>
          <w:lang w:eastAsia="ar-SA"/>
        </w:rPr>
        <w:t xml:space="preserve">, </w:t>
      </w:r>
      <w:r w:rsidR="00327D07">
        <w:rPr>
          <w:lang w:eastAsia="ar-SA"/>
        </w:rPr>
        <w:t>elles ne sont pas toujours en mesure de le faire</w:t>
      </w:r>
      <w:r w:rsidR="00327D07" w:rsidRPr="00B4050C">
        <w:rPr>
          <w:lang w:eastAsia="ar-SA"/>
        </w:rPr>
        <w:t xml:space="preserve">. </w:t>
      </w:r>
      <w:r w:rsidR="00327D07">
        <w:rPr>
          <w:lang w:eastAsia="ar-SA"/>
        </w:rPr>
        <w:t>C’est pourquoi les autorités d’homologation de type</w:t>
      </w:r>
      <w:r w:rsidR="00327D07" w:rsidRPr="00B4050C">
        <w:rPr>
          <w:lang w:eastAsia="ar-SA"/>
        </w:rPr>
        <w:t xml:space="preserve"> </w:t>
      </w:r>
      <w:r w:rsidR="00327D07">
        <w:rPr>
          <w:lang w:eastAsia="ar-SA"/>
        </w:rPr>
        <w:t xml:space="preserve">devraient pouvoir certifier les produits de niche lorsque des prescriptions ne peuvent pas être </w:t>
      </w:r>
      <w:r w:rsidR="00204F2B">
        <w:rPr>
          <w:lang w:eastAsia="ar-SA"/>
        </w:rPr>
        <w:t>pleinement respectées</w:t>
      </w:r>
      <w:r w:rsidR="00327D07" w:rsidRPr="00B4050C">
        <w:rPr>
          <w:lang w:eastAsia="ar-SA"/>
        </w:rPr>
        <w:t>.</w:t>
      </w:r>
    </w:p>
    <w:p w:rsidR="00327D07" w:rsidRPr="00B4050C" w:rsidRDefault="000D6B8D" w:rsidP="000D6B8D">
      <w:pPr>
        <w:pStyle w:val="SingleTxtG"/>
        <w:rPr>
          <w:lang w:eastAsia="ar-SA"/>
        </w:rPr>
      </w:pPr>
      <w:r>
        <w:t>4.</w:t>
      </w:r>
      <w:r>
        <w:tab/>
      </w:r>
      <w:r w:rsidR="00327D07">
        <w:t>L</w:t>
      </w:r>
      <w:r w:rsidR="00327D07" w:rsidRPr="00B4050C">
        <w:t>’Association internationale de la construction de carrosseries et de remorques</w:t>
      </w:r>
      <w:r w:rsidR="00327D07" w:rsidRPr="00B4050C">
        <w:rPr>
          <w:lang w:eastAsia="ar-SA"/>
        </w:rPr>
        <w:t xml:space="preserve"> </w:t>
      </w:r>
      <w:r w:rsidR="00327D07">
        <w:rPr>
          <w:lang w:eastAsia="ar-SA"/>
        </w:rPr>
        <w:t xml:space="preserve">propose d’ajouter les </w:t>
      </w:r>
      <w:r w:rsidR="00327D07" w:rsidRPr="00B4050C">
        <w:rPr>
          <w:lang w:eastAsia="ar-SA"/>
        </w:rPr>
        <w:t>paragraph</w:t>
      </w:r>
      <w:r w:rsidR="00327D07">
        <w:rPr>
          <w:lang w:eastAsia="ar-SA"/>
        </w:rPr>
        <w:t>e</w:t>
      </w:r>
      <w:r w:rsidR="00327D07" w:rsidRPr="00B4050C">
        <w:rPr>
          <w:lang w:eastAsia="ar-SA"/>
        </w:rPr>
        <w:t xml:space="preserve">s 13.3 </w:t>
      </w:r>
      <w:r w:rsidR="00327D07">
        <w:rPr>
          <w:lang w:eastAsia="ar-SA"/>
        </w:rPr>
        <w:t xml:space="preserve">et </w:t>
      </w:r>
      <w:r w:rsidR="00327D07" w:rsidRPr="00B4050C">
        <w:rPr>
          <w:lang w:eastAsia="ar-SA"/>
        </w:rPr>
        <w:t>16.2</w:t>
      </w:r>
      <w:r w:rsidR="00327D07">
        <w:rPr>
          <w:lang w:eastAsia="ar-SA"/>
        </w:rPr>
        <w:t>, dont le libellé s’inspire du paragraphe </w:t>
      </w:r>
      <w:r w:rsidR="00327D07" w:rsidRPr="00B4050C">
        <w:rPr>
          <w:lang w:eastAsia="ar-SA"/>
        </w:rPr>
        <w:t>1.3</w:t>
      </w:r>
      <w:r w:rsidR="00327D07">
        <w:rPr>
          <w:lang w:eastAsia="ar-SA"/>
        </w:rPr>
        <w:t xml:space="preserve"> du document</w:t>
      </w:r>
      <w:r w:rsidR="00327D07" w:rsidRPr="00B4050C">
        <w:rPr>
          <w:lang w:eastAsia="ar-SA"/>
        </w:rPr>
        <w:t xml:space="preserve"> ECE/TRANS/WP.29/GRSG/2015/17, </w:t>
      </w:r>
      <w:r w:rsidR="00327D07">
        <w:rPr>
          <w:lang w:eastAsia="ar-SA"/>
        </w:rPr>
        <w:t>qui porte modification du Règlement</w:t>
      </w:r>
      <w:r w:rsidR="00327D07" w:rsidRPr="00B4050C">
        <w:rPr>
          <w:lang w:eastAsia="ar-SA"/>
        </w:rPr>
        <w:t xml:space="preserve"> </w:t>
      </w:r>
      <w:r w:rsidRPr="000D6B8D">
        <w:rPr>
          <w:rFonts w:eastAsia="MS Mincho"/>
          <w:lang w:eastAsia="ar-SA"/>
        </w:rPr>
        <w:t>n</w:t>
      </w:r>
      <w:r w:rsidRPr="000D6B8D">
        <w:rPr>
          <w:rFonts w:eastAsia="MS Mincho"/>
          <w:vertAlign w:val="superscript"/>
          <w:lang w:eastAsia="ar-SA"/>
        </w:rPr>
        <w:t>o</w:t>
      </w:r>
      <w:r>
        <w:rPr>
          <w:lang w:eastAsia="ar-SA"/>
        </w:rPr>
        <w:t> </w:t>
      </w:r>
      <w:r w:rsidR="00327D07" w:rsidRPr="00B4050C">
        <w:rPr>
          <w:lang w:eastAsia="ar-SA"/>
        </w:rPr>
        <w:t>58 (</w:t>
      </w:r>
      <w:r w:rsidR="00327D07" w:rsidRPr="00F47822">
        <w:rPr>
          <w:lang w:val="fr-FR" w:eastAsia="ar-SA"/>
        </w:rPr>
        <w:t>Dispositifs arrière de protection antiencastrement</w:t>
      </w:r>
      <w:r w:rsidR="00327D07" w:rsidRPr="00B4050C">
        <w:rPr>
          <w:lang w:eastAsia="ar-SA"/>
        </w:rPr>
        <w:t xml:space="preserve">), </w:t>
      </w:r>
      <w:r w:rsidR="00327D07">
        <w:rPr>
          <w:lang w:eastAsia="ar-SA"/>
        </w:rPr>
        <w:t xml:space="preserve">tel qu’il a été adopté à la </w:t>
      </w:r>
      <w:r w:rsidR="00327D07" w:rsidRPr="00B4050C">
        <w:rPr>
          <w:lang w:eastAsia="ar-SA"/>
        </w:rPr>
        <w:t>108</w:t>
      </w:r>
      <w:r w:rsidR="00327D07">
        <w:rPr>
          <w:vertAlign w:val="superscript"/>
          <w:lang w:eastAsia="ar-SA"/>
        </w:rPr>
        <w:t>e</w:t>
      </w:r>
      <w:r w:rsidR="00327D07" w:rsidRPr="00B4050C">
        <w:rPr>
          <w:lang w:eastAsia="ar-SA"/>
        </w:rPr>
        <w:t xml:space="preserve"> session </w:t>
      </w:r>
      <w:r w:rsidR="00327D07">
        <w:rPr>
          <w:lang w:eastAsia="ar-SA"/>
        </w:rPr>
        <w:t xml:space="preserve">du </w:t>
      </w:r>
      <w:r w:rsidR="00327D07" w:rsidRPr="00B4050C">
        <w:rPr>
          <w:lang w:eastAsia="ar-SA"/>
        </w:rPr>
        <w:t>GRSG.</w:t>
      </w:r>
    </w:p>
    <w:p w:rsidR="00327D07" w:rsidRDefault="000D6B8D" w:rsidP="00204F2B">
      <w:pPr>
        <w:pStyle w:val="SingleTxtG"/>
        <w:keepNext/>
        <w:rPr>
          <w:lang w:eastAsia="ar-SA"/>
        </w:rPr>
      </w:pPr>
      <w:r>
        <w:rPr>
          <w:lang w:eastAsia="ar-SA"/>
        </w:rPr>
        <w:lastRenderedPageBreak/>
        <w:t>5.</w:t>
      </w:r>
      <w:r>
        <w:rPr>
          <w:lang w:eastAsia="ar-SA"/>
        </w:rPr>
        <w:tab/>
      </w:r>
      <w:r w:rsidR="00327D07">
        <w:rPr>
          <w:lang w:eastAsia="ar-SA"/>
        </w:rPr>
        <w:t>On trouvera ci-après quelques exemples de produits de niche</w:t>
      </w:r>
      <w:r w:rsidR="00204F2B">
        <w:rPr>
          <w:lang w:eastAsia="ar-SA"/>
        </w:rPr>
        <w:t> </w:t>
      </w:r>
      <w:r w:rsidR="00327D07" w:rsidRPr="00B4050C">
        <w:rPr>
          <w:lang w:eastAsia="ar-SA"/>
        </w:rPr>
        <w:t>:</w:t>
      </w:r>
    </w:p>
    <w:p w:rsidR="00204F2B" w:rsidRDefault="00204F2B" w:rsidP="00204F2B">
      <w:pPr>
        <w:keepNext/>
        <w:spacing w:after="120"/>
        <w:ind w:left="1134"/>
      </w:pPr>
      <w:r w:rsidRPr="00E53F2E">
        <w:t xml:space="preserve">Figure </w:t>
      </w:r>
      <w:r>
        <w:t>1</w:t>
      </w:r>
    </w:p>
    <w:p w:rsidR="00204F2B" w:rsidRDefault="00204F2B" w:rsidP="00204F2B">
      <w:pPr>
        <w:ind w:left="1134"/>
      </w:pPr>
      <w:r w:rsidRPr="004D0A26">
        <w:rPr>
          <w:noProof/>
          <w:lang w:val="en-US"/>
        </w:rPr>
        <w:drawing>
          <wp:inline distT="0" distB="0" distL="0" distR="0" wp14:anchorId="327E4D76" wp14:editId="326E7857">
            <wp:extent cx="5396400" cy="2052000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4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2B" w:rsidRPr="004D0A26" w:rsidRDefault="00204F2B" w:rsidP="006C538D">
      <w:pPr>
        <w:spacing w:before="480" w:after="120"/>
        <w:ind w:left="1134"/>
      </w:pPr>
      <w:r>
        <w:t>Figure 2</w:t>
      </w:r>
    </w:p>
    <w:p w:rsidR="00204F2B" w:rsidRDefault="00204F2B" w:rsidP="00204F2B">
      <w:pPr>
        <w:ind w:left="1134"/>
      </w:pPr>
      <w:r w:rsidRPr="004D0A26">
        <w:rPr>
          <w:noProof/>
          <w:lang w:val="en-US"/>
        </w:rPr>
        <w:drawing>
          <wp:inline distT="0" distB="0" distL="0" distR="0" wp14:anchorId="530B7E97" wp14:editId="7B0450A7">
            <wp:extent cx="5385600" cy="2703600"/>
            <wp:effectExtent l="0" t="0" r="571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600" cy="27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2B" w:rsidRPr="004D0A26" w:rsidRDefault="00204F2B" w:rsidP="00204F2B">
      <w:pPr>
        <w:keepNext/>
        <w:spacing w:after="120"/>
        <w:ind w:left="1134"/>
      </w:pPr>
      <w:r>
        <w:lastRenderedPageBreak/>
        <w:t>Figure 3</w:t>
      </w:r>
    </w:p>
    <w:p w:rsidR="00204F2B" w:rsidRPr="004D0A26" w:rsidRDefault="00204F2B" w:rsidP="00204F2B">
      <w:pPr>
        <w:ind w:left="1134"/>
      </w:pPr>
      <w:r w:rsidRPr="004D0A26">
        <w:rPr>
          <w:noProof/>
          <w:lang w:val="en-US"/>
        </w:rPr>
        <w:drawing>
          <wp:inline distT="0" distB="0" distL="0" distR="0" wp14:anchorId="6F9702C9" wp14:editId="0F52DD6C">
            <wp:extent cx="5400000" cy="291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2B" w:rsidRPr="004D0A26" w:rsidRDefault="00204F2B" w:rsidP="006C538D">
      <w:pPr>
        <w:spacing w:before="480" w:after="120"/>
        <w:ind w:left="1134"/>
      </w:pPr>
      <w:r>
        <w:t>Figure 4</w:t>
      </w:r>
    </w:p>
    <w:p w:rsidR="00204F2B" w:rsidRPr="004D0A26" w:rsidRDefault="00204F2B" w:rsidP="00204F2B">
      <w:pPr>
        <w:ind w:left="1134"/>
      </w:pPr>
      <w:r w:rsidRPr="004D0A26">
        <w:rPr>
          <w:noProof/>
          <w:lang w:val="en-US"/>
        </w:rPr>
        <w:drawing>
          <wp:inline distT="0" distB="0" distL="0" distR="0" wp14:anchorId="79052A35" wp14:editId="56313960">
            <wp:extent cx="5392800" cy="2664000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800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2B" w:rsidRPr="00204F2B" w:rsidRDefault="00204F2B" w:rsidP="00204F2B">
      <w:pPr>
        <w:pStyle w:val="SingleTxtG"/>
        <w:spacing w:before="240" w:after="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204F2B" w:rsidRPr="00204F2B" w:rsidSect="00F72EE6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endnotePr>
        <w:numFmt w:val="decimal"/>
      </w:endnotePr>
      <w:pgSz w:w="11906" w:h="16838" w:code="9"/>
      <w:pgMar w:top="1701" w:right="1134" w:bottom="2268" w:left="1134" w:header="1134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68E" w:rsidRDefault="007B468E" w:rsidP="00F95C08">
      <w:pPr>
        <w:spacing w:line="240" w:lineRule="auto"/>
      </w:pPr>
    </w:p>
  </w:endnote>
  <w:endnote w:type="continuationSeparator" w:id="0">
    <w:p w:rsidR="007B468E" w:rsidRPr="00AC3823" w:rsidRDefault="007B468E" w:rsidP="00AC3823">
      <w:pPr>
        <w:pStyle w:val="Footer"/>
      </w:pPr>
    </w:p>
  </w:endnote>
  <w:endnote w:type="continuationNotice" w:id="1">
    <w:p w:rsidR="007B468E" w:rsidRDefault="007B468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EE6" w:rsidRPr="00F72EE6" w:rsidRDefault="00F72EE6" w:rsidP="00F72EE6">
    <w:pPr>
      <w:pStyle w:val="Footer"/>
      <w:tabs>
        <w:tab w:val="right" w:pos="9638"/>
      </w:tabs>
    </w:pPr>
    <w:r w:rsidRPr="00F72EE6">
      <w:rPr>
        <w:b/>
        <w:sz w:val="18"/>
      </w:rPr>
      <w:fldChar w:fldCharType="begin"/>
    </w:r>
    <w:r w:rsidRPr="00F72EE6">
      <w:rPr>
        <w:b/>
        <w:sz w:val="18"/>
      </w:rPr>
      <w:instrText xml:space="preserve"> PAGE  \* MERGEFORMAT </w:instrText>
    </w:r>
    <w:r w:rsidRPr="00F72EE6">
      <w:rPr>
        <w:b/>
        <w:sz w:val="18"/>
      </w:rPr>
      <w:fldChar w:fldCharType="separate"/>
    </w:r>
    <w:r w:rsidR="0052234A">
      <w:rPr>
        <w:b/>
        <w:noProof/>
        <w:sz w:val="18"/>
      </w:rPr>
      <w:t>2</w:t>
    </w:r>
    <w:r w:rsidRPr="00F72EE6">
      <w:rPr>
        <w:b/>
        <w:sz w:val="18"/>
      </w:rPr>
      <w:fldChar w:fldCharType="end"/>
    </w:r>
    <w:r>
      <w:rPr>
        <w:b/>
        <w:sz w:val="18"/>
      </w:rPr>
      <w:tab/>
    </w:r>
    <w:r>
      <w:t>GE.16-12723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EE6" w:rsidRPr="00F72EE6" w:rsidRDefault="00F72EE6" w:rsidP="00F72EE6">
    <w:pPr>
      <w:pStyle w:val="Footer"/>
      <w:tabs>
        <w:tab w:val="right" w:pos="9638"/>
      </w:tabs>
      <w:rPr>
        <w:b/>
        <w:sz w:val="18"/>
      </w:rPr>
    </w:pPr>
    <w:r>
      <w:t>GE.16-12723</w:t>
    </w:r>
    <w:r>
      <w:tab/>
    </w:r>
    <w:r w:rsidRPr="00F72EE6">
      <w:rPr>
        <w:b/>
        <w:sz w:val="18"/>
      </w:rPr>
      <w:fldChar w:fldCharType="begin"/>
    </w:r>
    <w:r w:rsidRPr="00F72EE6">
      <w:rPr>
        <w:b/>
        <w:sz w:val="18"/>
      </w:rPr>
      <w:instrText xml:space="preserve"> PAGE  \* MERGEFORMAT </w:instrText>
    </w:r>
    <w:r w:rsidRPr="00F72EE6">
      <w:rPr>
        <w:b/>
        <w:sz w:val="18"/>
      </w:rPr>
      <w:fldChar w:fldCharType="separate"/>
    </w:r>
    <w:r w:rsidR="0052234A">
      <w:rPr>
        <w:b/>
        <w:noProof/>
        <w:sz w:val="18"/>
      </w:rPr>
      <w:t>3</w:t>
    </w:r>
    <w:r w:rsidRPr="00F72EE6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20FA" w:rsidRPr="00F72EE6" w:rsidRDefault="00F72EE6" w:rsidP="00F72EE6">
    <w:pPr>
      <w:pStyle w:val="Footer"/>
      <w:spacing w:before="120"/>
      <w:rPr>
        <w:sz w:val="20"/>
      </w:rPr>
    </w:pPr>
    <w:r>
      <w:rPr>
        <w:sz w:val="20"/>
      </w:rPr>
      <w:t>GE.</w:t>
    </w:r>
    <w:r w:rsidR="007F20FA">
      <w:rPr>
        <w:noProof/>
        <w:lang w:val="en-US"/>
      </w:rPr>
      <w:drawing>
        <wp:anchor distT="0" distB="0" distL="114300" distR="114300" simplePos="0" relativeHeight="251659264" behindDoc="0" locked="0" layoutInCell="1" allowOverlap="0" wp14:anchorId="35D9C07E" wp14:editId="7DBA65F4">
          <wp:simplePos x="0" y="0"/>
          <wp:positionH relativeFrom="margin">
            <wp:posOffset>4319905</wp:posOffset>
          </wp:positionH>
          <wp:positionV relativeFrom="margin">
            <wp:posOffset>8279765</wp:posOffset>
          </wp:positionV>
          <wp:extent cx="1105200" cy="234000"/>
          <wp:effectExtent l="0" t="0" r="0" b="0"/>
          <wp:wrapNone/>
          <wp:docPr id="2" name="Image 2" descr="recycle_Fren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Fren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200" cy="23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>16-12723  (F)</w:t>
    </w:r>
    <w:r w:rsidR="00327D07">
      <w:rPr>
        <w:sz w:val="20"/>
      </w:rPr>
      <w:t xml:space="preserve">    180816    190816</w:t>
    </w:r>
    <w:r>
      <w:rPr>
        <w:sz w:val="20"/>
      </w:rPr>
      <w:br/>
    </w:r>
    <w:r w:rsidRPr="00F72EE6">
      <w:rPr>
        <w:rFonts w:ascii="C39T30Lfz" w:hAnsi="C39T30Lfz"/>
        <w:sz w:val="56"/>
      </w:rPr>
      <w:t></w:t>
    </w:r>
    <w:r w:rsidRPr="00F72EE6">
      <w:rPr>
        <w:rFonts w:ascii="C39T30Lfz" w:hAnsi="C39T30Lfz"/>
        <w:sz w:val="56"/>
      </w:rPr>
      <w:t></w:t>
    </w:r>
    <w:r w:rsidRPr="00F72EE6">
      <w:rPr>
        <w:rFonts w:ascii="C39T30Lfz" w:hAnsi="C39T30Lfz"/>
        <w:sz w:val="56"/>
      </w:rPr>
      <w:t></w:t>
    </w:r>
    <w:r w:rsidRPr="00F72EE6">
      <w:rPr>
        <w:rFonts w:ascii="C39T30Lfz" w:hAnsi="C39T30Lfz"/>
        <w:sz w:val="56"/>
      </w:rPr>
      <w:t></w:t>
    </w:r>
    <w:r w:rsidRPr="00F72EE6">
      <w:rPr>
        <w:rFonts w:ascii="C39T30Lfz" w:hAnsi="C39T30Lfz"/>
        <w:sz w:val="56"/>
      </w:rPr>
      <w:t></w:t>
    </w:r>
    <w:r w:rsidRPr="00F72EE6">
      <w:rPr>
        <w:rFonts w:ascii="C39T30Lfz" w:hAnsi="C39T30Lfz"/>
        <w:sz w:val="56"/>
      </w:rPr>
      <w:t></w:t>
    </w:r>
    <w:r w:rsidRPr="00F72EE6">
      <w:rPr>
        <w:rFonts w:ascii="C39T30Lfz" w:hAnsi="C39T30Lfz"/>
        <w:sz w:val="56"/>
      </w:rPr>
      <w:t></w:t>
    </w:r>
    <w:r w:rsidRPr="00F72EE6">
      <w:rPr>
        <w:rFonts w:ascii="C39T30Lfz" w:hAnsi="C39T30Lfz"/>
        <w:sz w:val="56"/>
      </w:rPr>
      <w:t></w:t>
    </w:r>
    <w:r w:rsidRPr="00F72EE6">
      <w:rPr>
        <w:rFonts w:ascii="C39T30Lfz" w:hAnsi="C39T30Lfz"/>
        <w:sz w:val="56"/>
      </w:rPr>
      <w:t></w:t>
    </w:r>
    <w:r>
      <w:rPr>
        <w:noProof/>
        <w:sz w:val="20"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5489575</wp:posOffset>
          </wp:positionH>
          <wp:positionV relativeFrom="margin">
            <wp:posOffset>8027670</wp:posOffset>
          </wp:positionV>
          <wp:extent cx="638175" cy="638175"/>
          <wp:effectExtent l="0" t="0" r="9525" b="9525"/>
          <wp:wrapNone/>
          <wp:docPr id="3" name="Image 1" descr="http://undocs.org/m2/QRCode.ashx?DS=ECE/TRANS/WP.29/GRSG/2016/18&amp;Size=2&amp;Lang=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undocs.org/m2/QRCode.ashx?DS=ECE/TRANS/WP.29/GRSG/2016/18&amp;Size=2&amp;Lang=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68E" w:rsidRPr="00AC3823" w:rsidRDefault="007B468E" w:rsidP="00AC3823">
      <w:pPr>
        <w:pStyle w:val="Footer"/>
        <w:tabs>
          <w:tab w:val="right" w:pos="2155"/>
        </w:tabs>
        <w:spacing w:after="80" w:line="240" w:lineRule="atLeast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7B468E" w:rsidRPr="00AC3823" w:rsidRDefault="007B468E" w:rsidP="00AC3823">
      <w:pPr>
        <w:pStyle w:val="Footer"/>
        <w:tabs>
          <w:tab w:val="right" w:pos="2155"/>
        </w:tabs>
        <w:spacing w:after="80" w:line="240" w:lineRule="atLeast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:rsidR="007B468E" w:rsidRPr="00AC3823" w:rsidRDefault="007B468E">
      <w:pPr>
        <w:spacing w:line="240" w:lineRule="auto"/>
        <w:rPr>
          <w:sz w:val="2"/>
          <w:szCs w:val="2"/>
        </w:rPr>
      </w:pPr>
    </w:p>
  </w:footnote>
  <w:footnote w:id="2">
    <w:p w:rsidR="00327D07" w:rsidRPr="00327D07" w:rsidRDefault="00327D07">
      <w:pPr>
        <w:pStyle w:val="FootnoteText"/>
      </w:pPr>
      <w:r>
        <w:rPr>
          <w:rStyle w:val="FootnoteReference"/>
        </w:rPr>
        <w:tab/>
      </w:r>
      <w:r w:rsidRPr="00327D07">
        <w:rPr>
          <w:rStyle w:val="FootnoteReference"/>
          <w:sz w:val="20"/>
          <w:vertAlign w:val="baseline"/>
        </w:rPr>
        <w:t>*</w:t>
      </w:r>
      <w:r>
        <w:rPr>
          <w:rStyle w:val="FootnoteReference"/>
          <w:sz w:val="20"/>
          <w:vertAlign w:val="baseline"/>
        </w:rPr>
        <w:tab/>
      </w:r>
      <w:r w:rsidRPr="00C65E00">
        <w:rPr>
          <w:lang w:val="fr-FR"/>
        </w:rPr>
        <w:t>Conformément au programme de travail du Comité des transports intérieurs pour la période 2016</w:t>
      </w:r>
      <w:r>
        <w:rPr>
          <w:lang w:val="fr-FR"/>
        </w:rPr>
        <w:noBreakHyphen/>
      </w:r>
      <w:r w:rsidRPr="00C65E00">
        <w:rPr>
          <w:lang w:val="fr-FR"/>
        </w:rPr>
        <w:t>2017 (ECE/TRANS/254, par. 159, et ECE/TRANS/2016/28/Add.1, module 3.1), le Forum mondial a pour mission d’élaborer, d’harmoniser et de mettre à jour les Règlements en vue d’améliorer les caractéristiques fonctionnelles des véhicules. Le présent document est soumis en vertu de ce mandat</w:t>
      </w:r>
      <w:r w:rsidRPr="00C65E00">
        <w:rPr>
          <w:szCs w:val="18"/>
          <w:lang w:val="fr-FR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EE6" w:rsidRPr="00F72EE6" w:rsidRDefault="00F72EE6">
    <w:pPr>
      <w:pStyle w:val="Header"/>
    </w:pPr>
    <w:r>
      <w:t>ECE/TRANS/WP.29/GRSG/2016/18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EE6" w:rsidRPr="00F72EE6" w:rsidRDefault="00F72EE6" w:rsidP="00F72EE6">
    <w:pPr>
      <w:pStyle w:val="Header"/>
      <w:jc w:val="right"/>
    </w:pPr>
    <w:r>
      <w:t>ECE/TRANS/WP.29/GRSG/2016/18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34EEA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0844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D5003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4CBC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A624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9AED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A9AA6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1AE6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5C69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0402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954887"/>
    <w:multiLevelType w:val="hybridMultilevel"/>
    <w:tmpl w:val="5A48E46A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CF4EB2"/>
    <w:multiLevelType w:val="hybridMultilevel"/>
    <w:tmpl w:val="3F2CCC0E"/>
    <w:lvl w:ilvl="0" w:tplc="78607ACC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68AD07B2"/>
    <w:multiLevelType w:val="hybridMultilevel"/>
    <w:tmpl w:val="D7D47906"/>
    <w:lvl w:ilvl="0" w:tplc="3B64B3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567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68E"/>
    <w:rsid w:val="00017F94"/>
    <w:rsid w:val="00023842"/>
    <w:rsid w:val="000334F9"/>
    <w:rsid w:val="0007796D"/>
    <w:rsid w:val="000B7790"/>
    <w:rsid w:val="000D6B8D"/>
    <w:rsid w:val="00111F2F"/>
    <w:rsid w:val="001426AF"/>
    <w:rsid w:val="0014365E"/>
    <w:rsid w:val="00143C66"/>
    <w:rsid w:val="00176178"/>
    <w:rsid w:val="001F525A"/>
    <w:rsid w:val="00204F2B"/>
    <w:rsid w:val="00223272"/>
    <w:rsid w:val="0024779E"/>
    <w:rsid w:val="00257168"/>
    <w:rsid w:val="002744B8"/>
    <w:rsid w:val="002832AC"/>
    <w:rsid w:val="002D7C93"/>
    <w:rsid w:val="00305801"/>
    <w:rsid w:val="00327D07"/>
    <w:rsid w:val="003916DE"/>
    <w:rsid w:val="00441C3B"/>
    <w:rsid w:val="00446FE5"/>
    <w:rsid w:val="00452396"/>
    <w:rsid w:val="004837D8"/>
    <w:rsid w:val="004E468C"/>
    <w:rsid w:val="00516804"/>
    <w:rsid w:val="0052234A"/>
    <w:rsid w:val="005505B7"/>
    <w:rsid w:val="00573BE5"/>
    <w:rsid w:val="00586ED3"/>
    <w:rsid w:val="00596AA9"/>
    <w:rsid w:val="00655577"/>
    <w:rsid w:val="006C538D"/>
    <w:rsid w:val="0071601D"/>
    <w:rsid w:val="007A62E6"/>
    <w:rsid w:val="007B468E"/>
    <w:rsid w:val="007F20FA"/>
    <w:rsid w:val="0080684C"/>
    <w:rsid w:val="00871C75"/>
    <w:rsid w:val="008776DC"/>
    <w:rsid w:val="008822E1"/>
    <w:rsid w:val="009705C8"/>
    <w:rsid w:val="009C1CF4"/>
    <w:rsid w:val="009F6B74"/>
    <w:rsid w:val="00A30353"/>
    <w:rsid w:val="00AC3823"/>
    <w:rsid w:val="00AE323C"/>
    <w:rsid w:val="00AF0CB5"/>
    <w:rsid w:val="00B00181"/>
    <w:rsid w:val="00B00B0D"/>
    <w:rsid w:val="00B765F7"/>
    <w:rsid w:val="00BA0CA9"/>
    <w:rsid w:val="00C02897"/>
    <w:rsid w:val="00CB7E65"/>
    <w:rsid w:val="00CE7A43"/>
    <w:rsid w:val="00D3439C"/>
    <w:rsid w:val="00DB1831"/>
    <w:rsid w:val="00DD3BFD"/>
    <w:rsid w:val="00DF6678"/>
    <w:rsid w:val="00E85C74"/>
    <w:rsid w:val="00EA6547"/>
    <w:rsid w:val="00EF2E22"/>
    <w:rsid w:val="00F35BAF"/>
    <w:rsid w:val="00F660DF"/>
    <w:rsid w:val="00F72EE6"/>
    <w:rsid w:val="00F94664"/>
    <w:rsid w:val="00F9573C"/>
    <w:rsid w:val="00F9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53259F2-7BDB-4CD1-B2A9-85CE53E75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fr-CH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iPriority="0" w:unhideWhenUsed="1" w:qFormat="1"/>
    <w:lsdException w:name="endnote text" w:semiHidden="1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32AC"/>
    <w:pPr>
      <w:suppressAutoHyphens/>
      <w:kinsoku w:val="0"/>
      <w:overflowPunct w:val="0"/>
      <w:autoSpaceDE w:val="0"/>
      <w:autoSpaceDN w:val="0"/>
      <w:adjustRightInd w:val="0"/>
      <w:snapToGrid w:val="0"/>
      <w:spacing w:after="0" w:line="240" w:lineRule="atLeast"/>
    </w:pPr>
    <w:rPr>
      <w:rFonts w:ascii="Times New Roman" w:hAnsi="Times New Roman" w:cs="Times New Roman"/>
      <w:sz w:val="20"/>
      <w:szCs w:val="20"/>
      <w:lang w:eastAsia="en-US"/>
    </w:rPr>
  </w:style>
  <w:style w:type="paragraph" w:styleId="Heading1">
    <w:name w:val="heading 1"/>
    <w:aliases w:val="Table_G"/>
    <w:basedOn w:val="SingleTxtG"/>
    <w:next w:val="SingleTxtG"/>
    <w:link w:val="Heading1Char"/>
    <w:qFormat/>
    <w:rsid w:val="0080684C"/>
    <w:pPr>
      <w:keepNext/>
      <w:keepLines/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link w:val="Heading2Char"/>
    <w:semiHidden/>
    <w:qFormat/>
    <w:rsid w:val="00023842"/>
    <w:pPr>
      <w:outlineLvl w:val="1"/>
    </w:pPr>
  </w:style>
  <w:style w:type="paragraph" w:styleId="Heading3">
    <w:name w:val="heading 3"/>
    <w:basedOn w:val="Normal"/>
    <w:next w:val="Normal"/>
    <w:link w:val="Heading3Char"/>
    <w:semiHidden/>
    <w:qFormat/>
    <w:rsid w:val="00023842"/>
    <w:pPr>
      <w:outlineLvl w:val="2"/>
    </w:pPr>
  </w:style>
  <w:style w:type="paragraph" w:styleId="Heading4">
    <w:name w:val="heading 4"/>
    <w:basedOn w:val="Normal"/>
    <w:next w:val="Normal"/>
    <w:link w:val="Heading4Char"/>
    <w:semiHidden/>
    <w:qFormat/>
    <w:rsid w:val="00023842"/>
    <w:pPr>
      <w:outlineLvl w:val="3"/>
    </w:pPr>
  </w:style>
  <w:style w:type="paragraph" w:styleId="Heading5">
    <w:name w:val="heading 5"/>
    <w:basedOn w:val="Normal"/>
    <w:next w:val="Normal"/>
    <w:link w:val="Heading5Char"/>
    <w:semiHidden/>
    <w:qFormat/>
    <w:rsid w:val="00023842"/>
    <w:pPr>
      <w:outlineLvl w:val="4"/>
    </w:pPr>
  </w:style>
  <w:style w:type="paragraph" w:styleId="Heading6">
    <w:name w:val="heading 6"/>
    <w:basedOn w:val="Normal"/>
    <w:next w:val="Normal"/>
    <w:link w:val="Heading6Char"/>
    <w:semiHidden/>
    <w:qFormat/>
    <w:rsid w:val="00023842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qFormat/>
    <w:rsid w:val="00023842"/>
    <w:pPr>
      <w:outlineLvl w:val="6"/>
    </w:pPr>
  </w:style>
  <w:style w:type="paragraph" w:styleId="Heading8">
    <w:name w:val="heading 8"/>
    <w:basedOn w:val="Normal"/>
    <w:next w:val="Normal"/>
    <w:link w:val="Heading8Char"/>
    <w:semiHidden/>
    <w:qFormat/>
    <w:rsid w:val="00023842"/>
    <w:pPr>
      <w:outlineLvl w:val="7"/>
    </w:pPr>
  </w:style>
  <w:style w:type="paragraph" w:styleId="Heading9">
    <w:name w:val="heading 9"/>
    <w:basedOn w:val="Normal"/>
    <w:next w:val="Normal"/>
    <w:link w:val="Heading9Char"/>
    <w:semiHidden/>
    <w:qFormat/>
    <w:rsid w:val="00023842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6_G"/>
    <w:basedOn w:val="Normal"/>
    <w:next w:val="Normal"/>
    <w:link w:val="HeaderChar"/>
    <w:qFormat/>
    <w:rsid w:val="0080684C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HeaderChar">
    <w:name w:val="Header Char"/>
    <w:aliases w:val="6_G Char"/>
    <w:basedOn w:val="DefaultParagraphFont"/>
    <w:link w:val="Header"/>
    <w:rsid w:val="0080684C"/>
    <w:rPr>
      <w:rFonts w:ascii="Times New Roman" w:eastAsia="Times New Roman" w:hAnsi="Times New Roman" w:cs="Times New Roman"/>
      <w:b/>
      <w:sz w:val="18"/>
      <w:szCs w:val="20"/>
      <w:lang w:eastAsia="en-US"/>
    </w:rPr>
  </w:style>
  <w:style w:type="paragraph" w:styleId="Footer">
    <w:name w:val="footer"/>
    <w:aliases w:val="3_G"/>
    <w:basedOn w:val="Normal"/>
    <w:next w:val="Normal"/>
    <w:link w:val="FooterChar"/>
    <w:qFormat/>
    <w:rsid w:val="0080684C"/>
    <w:pPr>
      <w:spacing w:line="240" w:lineRule="auto"/>
    </w:pPr>
    <w:rPr>
      <w:sz w:val="16"/>
    </w:rPr>
  </w:style>
  <w:style w:type="character" w:customStyle="1" w:styleId="FooterChar">
    <w:name w:val="Footer Char"/>
    <w:aliases w:val="3_G Char"/>
    <w:basedOn w:val="DefaultParagraphFont"/>
    <w:link w:val="Footer"/>
    <w:rsid w:val="0080684C"/>
    <w:rPr>
      <w:rFonts w:ascii="Times New Roman" w:eastAsia="Times New Roman" w:hAnsi="Times New Roman" w:cs="Times New Roman"/>
      <w:sz w:val="16"/>
      <w:szCs w:val="20"/>
      <w:lang w:eastAsia="en-US"/>
    </w:rPr>
  </w:style>
  <w:style w:type="paragraph" w:customStyle="1" w:styleId="HMG">
    <w:name w:val="_ H __M_G"/>
    <w:basedOn w:val="Normal"/>
    <w:next w:val="Normal"/>
    <w:qFormat/>
    <w:rsid w:val="0080684C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qFormat/>
    <w:rsid w:val="0080684C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paragraph" w:customStyle="1" w:styleId="H1G">
    <w:name w:val="_ H_1_G"/>
    <w:basedOn w:val="Normal"/>
    <w:next w:val="Normal"/>
    <w:qFormat/>
    <w:rsid w:val="0080684C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qFormat/>
    <w:rsid w:val="0080684C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qFormat/>
    <w:rsid w:val="0080684C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qFormat/>
    <w:rsid w:val="00871C75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paragraph" w:customStyle="1" w:styleId="SingleTxtG">
    <w:name w:val="_ Single Txt_G"/>
    <w:basedOn w:val="Normal"/>
    <w:qFormat/>
    <w:rsid w:val="0080684C"/>
    <w:pPr>
      <w:spacing w:after="120"/>
      <w:ind w:left="1134" w:right="1134"/>
      <w:jc w:val="both"/>
    </w:pPr>
  </w:style>
  <w:style w:type="paragraph" w:customStyle="1" w:styleId="SLG">
    <w:name w:val="__S_L_G"/>
    <w:basedOn w:val="Normal"/>
    <w:next w:val="Normal"/>
    <w:rsid w:val="0080684C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MG">
    <w:name w:val="__S_M_G"/>
    <w:basedOn w:val="Normal"/>
    <w:next w:val="Normal"/>
    <w:rsid w:val="0080684C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SG">
    <w:name w:val="__S_S_G"/>
    <w:basedOn w:val="Normal"/>
    <w:next w:val="Normal"/>
    <w:rsid w:val="0080684C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paragraph" w:customStyle="1" w:styleId="XLargeG">
    <w:name w:val="__XLarge_G"/>
    <w:basedOn w:val="Normal"/>
    <w:next w:val="Normal"/>
    <w:rsid w:val="00871C75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qFormat/>
    <w:rsid w:val="0080684C"/>
    <w:pPr>
      <w:numPr>
        <w:numId w:val="1"/>
      </w:numPr>
      <w:spacing w:after="120"/>
      <w:ind w:right="1134"/>
      <w:jc w:val="both"/>
    </w:pPr>
  </w:style>
  <w:style w:type="paragraph" w:customStyle="1" w:styleId="Bullet2G">
    <w:name w:val="_Bullet 2_G"/>
    <w:basedOn w:val="Normal"/>
    <w:qFormat/>
    <w:rsid w:val="0080684C"/>
    <w:pPr>
      <w:numPr>
        <w:numId w:val="2"/>
      </w:numPr>
      <w:spacing w:after="120"/>
      <w:ind w:right="1134"/>
      <w:jc w:val="both"/>
    </w:pPr>
  </w:style>
  <w:style w:type="paragraph" w:customStyle="1" w:styleId="ParNoG">
    <w:name w:val="_ParNo_G"/>
    <w:basedOn w:val="Normal"/>
    <w:qFormat/>
    <w:rsid w:val="00DF6678"/>
    <w:pPr>
      <w:numPr>
        <w:numId w:val="3"/>
      </w:numPr>
      <w:tabs>
        <w:tab w:val="clear" w:pos="1701"/>
      </w:tabs>
      <w:spacing w:after="120"/>
      <w:ind w:right="1134"/>
      <w:jc w:val="both"/>
    </w:pPr>
  </w:style>
  <w:style w:type="character" w:styleId="FootnoteReference">
    <w:name w:val="footnote reference"/>
    <w:aliases w:val="4_G"/>
    <w:basedOn w:val="DefaultParagraphFont"/>
    <w:qFormat/>
    <w:rsid w:val="00023842"/>
    <w:rPr>
      <w:rFonts w:ascii="Times New Roman" w:hAnsi="Times New Roman"/>
      <w:sz w:val="18"/>
      <w:vertAlign w:val="superscript"/>
      <w:lang w:val="fr-CH"/>
    </w:rPr>
  </w:style>
  <w:style w:type="character" w:styleId="EndnoteReference">
    <w:name w:val="endnote reference"/>
    <w:aliases w:val="1_G"/>
    <w:basedOn w:val="FootnoteReference"/>
    <w:qFormat/>
    <w:rsid w:val="00023842"/>
    <w:rPr>
      <w:rFonts w:ascii="Times New Roman" w:hAnsi="Times New Roman"/>
      <w:sz w:val="18"/>
      <w:vertAlign w:val="superscript"/>
      <w:lang w:val="fr-CH"/>
    </w:rPr>
  </w:style>
  <w:style w:type="table" w:styleId="TableGrid">
    <w:name w:val="Table Grid"/>
    <w:basedOn w:val="TableNormal"/>
    <w:rsid w:val="00023842"/>
    <w:pPr>
      <w:suppressAutoHyphens/>
      <w:spacing w:after="0" w:line="240" w:lineRule="atLeast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nhideWhenUsed/>
    <w:rsid w:val="004837D8"/>
    <w:rPr>
      <w:color w:val="0000FF"/>
      <w:u w:val="none"/>
    </w:rPr>
  </w:style>
  <w:style w:type="character" w:styleId="FollowedHyperlink">
    <w:name w:val="FollowedHyperlink"/>
    <w:basedOn w:val="DefaultParagraphFont"/>
    <w:unhideWhenUsed/>
    <w:rsid w:val="004837D8"/>
    <w:rPr>
      <w:color w:val="0000FF"/>
      <w:u w:val="none"/>
    </w:rPr>
  </w:style>
  <w:style w:type="paragraph" w:styleId="FootnoteText">
    <w:name w:val="footnote text"/>
    <w:aliases w:val="5_G"/>
    <w:basedOn w:val="Normal"/>
    <w:link w:val="FootnoteTextChar"/>
    <w:qFormat/>
    <w:rsid w:val="0080684C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character" w:customStyle="1" w:styleId="FootnoteTextChar">
    <w:name w:val="Footnote Text Char"/>
    <w:aliases w:val="5_G Char"/>
    <w:basedOn w:val="DefaultParagraphFont"/>
    <w:link w:val="FootnoteText"/>
    <w:rsid w:val="0080684C"/>
    <w:rPr>
      <w:rFonts w:ascii="Times New Roman" w:eastAsia="Times New Roman" w:hAnsi="Times New Roman" w:cs="Times New Roman"/>
      <w:sz w:val="18"/>
      <w:szCs w:val="20"/>
      <w:lang w:eastAsia="en-US"/>
    </w:rPr>
  </w:style>
  <w:style w:type="paragraph" w:styleId="EndnoteText">
    <w:name w:val="endnote text"/>
    <w:aliases w:val="2_G"/>
    <w:basedOn w:val="FootnoteText"/>
    <w:link w:val="EndnoteTextChar"/>
    <w:qFormat/>
    <w:rsid w:val="0080684C"/>
  </w:style>
  <w:style w:type="character" w:customStyle="1" w:styleId="EndnoteTextChar">
    <w:name w:val="Endnote Text Char"/>
    <w:aliases w:val="2_G Char"/>
    <w:basedOn w:val="DefaultParagraphFont"/>
    <w:link w:val="EndnoteText"/>
    <w:rsid w:val="0080684C"/>
    <w:rPr>
      <w:rFonts w:ascii="Times New Roman" w:eastAsia="Times New Roman" w:hAnsi="Times New Roman" w:cs="Times New Roman"/>
      <w:sz w:val="18"/>
      <w:szCs w:val="20"/>
      <w:lang w:eastAsia="en-US"/>
    </w:rPr>
  </w:style>
  <w:style w:type="character" w:styleId="PageNumber">
    <w:name w:val="page number"/>
    <w:aliases w:val="7_G"/>
    <w:basedOn w:val="DefaultParagraphFont"/>
    <w:qFormat/>
    <w:rsid w:val="00023842"/>
    <w:rPr>
      <w:rFonts w:ascii="Times New Roman" w:hAnsi="Times New Roman"/>
      <w:b/>
      <w:sz w:val="18"/>
      <w:lang w:val="fr-CH"/>
    </w:rPr>
  </w:style>
  <w:style w:type="character" w:customStyle="1" w:styleId="Heading1Char">
    <w:name w:val="Heading 1 Char"/>
    <w:aliases w:val="Table_G Char"/>
    <w:basedOn w:val="DefaultParagraphFont"/>
    <w:link w:val="Heading1"/>
    <w:rsid w:val="0080684C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B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BA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gif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603</Words>
  <Characters>3441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ECE/TRANS/WP.29/GRSG/2016/18</vt:lpstr>
      <vt:lpstr>ECE/TRANS/WP.29/GRSG/2016/18</vt:lpstr>
    </vt:vector>
  </TitlesOfParts>
  <Company>DCM</Company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ECE/TRANS/WP.29/GRSG/2016/18</dc:title>
  <dc:subject>final</dc:subject>
  <dc:creator>Devouass</dc:creator>
  <cp:keywords/>
  <dc:description/>
  <cp:lastModifiedBy>Caillot</cp:lastModifiedBy>
  <cp:revision>2</cp:revision>
  <cp:lastPrinted>2016-08-19T09:21:00Z</cp:lastPrinted>
  <dcterms:created xsi:type="dcterms:W3CDTF">2016-08-23T15:41:00Z</dcterms:created>
  <dcterms:modified xsi:type="dcterms:W3CDTF">2016-08-23T15:41:00Z</dcterms:modified>
</cp:coreProperties>
</file>