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10AA2">
              <w:fldChar w:fldCharType="begin"/>
            </w:r>
            <w:r w:rsidR="00710AA2">
              <w:instrText xml:space="preserve"> FILLIN  "Введите символ после ЕCE/"  \* MERGEFORMAT </w:instrText>
            </w:r>
            <w:r w:rsidR="00710AA2">
              <w:fldChar w:fldCharType="separate"/>
            </w:r>
            <w:r w:rsidR="00D401CA">
              <w:t>TRANS/WP.29/GRSG/2016/16</w:t>
            </w:r>
            <w:r w:rsidR="00710AA2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10AA2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D401CA">
                <w:t>22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10AA2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07DF2" w:rsidRPr="00C77D6A" w:rsidRDefault="00207DF2" w:rsidP="00C77D6A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C77D6A">
        <w:rPr>
          <w:sz w:val="28"/>
          <w:szCs w:val="28"/>
        </w:rPr>
        <w:t>Комитет по внутреннему транспорту</w:t>
      </w:r>
    </w:p>
    <w:p w:rsidR="00207DF2" w:rsidRPr="00C77D6A" w:rsidRDefault="00207DF2" w:rsidP="00B47C3C">
      <w:pPr>
        <w:pStyle w:val="SingleTxtGR"/>
        <w:spacing w:after="0"/>
        <w:ind w:left="0" w:right="1138"/>
        <w:jc w:val="left"/>
        <w:rPr>
          <w:b/>
          <w:bCs/>
          <w:sz w:val="24"/>
          <w:szCs w:val="24"/>
        </w:rPr>
      </w:pPr>
      <w:r w:rsidRPr="00C77D6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B47C3C" w:rsidRPr="00C77D6A">
        <w:rPr>
          <w:b/>
          <w:bCs/>
          <w:sz w:val="24"/>
          <w:szCs w:val="24"/>
        </w:rPr>
        <w:br/>
      </w:r>
      <w:r w:rsidRPr="00C77D6A">
        <w:rPr>
          <w:b/>
          <w:bCs/>
          <w:sz w:val="24"/>
          <w:szCs w:val="24"/>
        </w:rPr>
        <w:t>в области транспортных средств</w:t>
      </w:r>
    </w:p>
    <w:p w:rsidR="00207DF2" w:rsidRPr="00207DF2" w:rsidRDefault="00207DF2" w:rsidP="00C77D6A">
      <w:pPr>
        <w:pStyle w:val="SingleTxtGR"/>
        <w:spacing w:before="120" w:after="0"/>
        <w:ind w:left="0" w:right="1138"/>
        <w:jc w:val="left"/>
        <w:rPr>
          <w:b/>
          <w:bCs/>
        </w:rPr>
      </w:pPr>
      <w:r w:rsidRPr="00207DF2">
        <w:rPr>
          <w:b/>
          <w:bCs/>
        </w:rPr>
        <w:t xml:space="preserve">Рабочая группа по общим предписаниям, </w:t>
      </w:r>
      <w:r w:rsidR="00B47C3C" w:rsidRPr="00B47C3C">
        <w:rPr>
          <w:b/>
          <w:bCs/>
        </w:rPr>
        <w:br/>
      </w:r>
      <w:r w:rsidRPr="00207DF2">
        <w:rPr>
          <w:b/>
          <w:bCs/>
        </w:rPr>
        <w:t>касающимся безопасности</w:t>
      </w:r>
    </w:p>
    <w:p w:rsidR="00207DF2" w:rsidRPr="00207DF2" w:rsidRDefault="00207DF2" w:rsidP="00C77D6A">
      <w:pPr>
        <w:pStyle w:val="SingleTxtGR"/>
        <w:spacing w:before="120" w:after="0"/>
        <w:ind w:left="0" w:right="1138"/>
        <w:jc w:val="left"/>
        <w:rPr>
          <w:b/>
          <w:bCs/>
        </w:rPr>
      </w:pPr>
      <w:r w:rsidRPr="00207DF2">
        <w:rPr>
          <w:b/>
          <w:bCs/>
        </w:rPr>
        <w:t>111-я сессия</w:t>
      </w:r>
    </w:p>
    <w:p w:rsidR="00207DF2" w:rsidRPr="00207DF2" w:rsidRDefault="00207DF2" w:rsidP="00B47C3C">
      <w:pPr>
        <w:pStyle w:val="SingleTxtGR"/>
        <w:spacing w:after="0"/>
        <w:ind w:left="0" w:right="1138"/>
        <w:jc w:val="left"/>
      </w:pPr>
      <w:r w:rsidRPr="00207DF2">
        <w:t>Женева, 11–14 октября 2016 года</w:t>
      </w:r>
    </w:p>
    <w:p w:rsidR="00207DF2" w:rsidRPr="00207DF2" w:rsidRDefault="00207DF2" w:rsidP="00B47C3C">
      <w:pPr>
        <w:pStyle w:val="SingleTxtGR"/>
        <w:spacing w:after="0"/>
        <w:ind w:left="0" w:right="1138"/>
        <w:jc w:val="left"/>
      </w:pPr>
      <w:r w:rsidRPr="00207DF2">
        <w:t>Пункт 9 предварительной повестки дня</w:t>
      </w:r>
    </w:p>
    <w:p w:rsidR="00207DF2" w:rsidRPr="00207DF2" w:rsidRDefault="00207DF2" w:rsidP="00B47C3C">
      <w:pPr>
        <w:pStyle w:val="SingleTxtGR"/>
        <w:spacing w:after="0"/>
        <w:ind w:left="0" w:right="1138"/>
        <w:jc w:val="left"/>
        <w:rPr>
          <w:b/>
          <w:bCs/>
        </w:rPr>
      </w:pPr>
      <w:r w:rsidRPr="00207DF2">
        <w:rPr>
          <w:b/>
          <w:bCs/>
        </w:rPr>
        <w:t xml:space="preserve">Правила № 110 (транспортные средства, </w:t>
      </w:r>
      <w:r w:rsidR="00B47C3C" w:rsidRPr="00B47C3C">
        <w:rPr>
          <w:b/>
          <w:bCs/>
        </w:rPr>
        <w:br/>
      </w:r>
      <w:r w:rsidRPr="00207DF2">
        <w:rPr>
          <w:b/>
          <w:bCs/>
        </w:rPr>
        <w:t>работающие на КПГ и СПГ)</w:t>
      </w:r>
    </w:p>
    <w:p w:rsidR="00207DF2" w:rsidRPr="00207DF2" w:rsidRDefault="00207DF2" w:rsidP="00B47C3C">
      <w:pPr>
        <w:pStyle w:val="HChGR"/>
      </w:pPr>
      <w:r w:rsidRPr="00207DF2">
        <w:tab/>
      </w:r>
      <w:r w:rsidRPr="00207DF2">
        <w:tab/>
        <w:t>Предложение по поправкам к Правилам № 110 (транспортные средства, работающие на КПГ и СПГ)</w:t>
      </w:r>
    </w:p>
    <w:p w:rsidR="00207DF2" w:rsidRPr="00207DF2" w:rsidRDefault="00207DF2" w:rsidP="00B47C3C">
      <w:pPr>
        <w:pStyle w:val="H1GR"/>
      </w:pPr>
      <w:r w:rsidRPr="00207DF2">
        <w:tab/>
      </w:r>
      <w:r w:rsidRPr="00207DF2">
        <w:tab/>
        <w:t>Представлено экспертом от Франции</w:t>
      </w:r>
      <w:r w:rsidRPr="00B47C3C">
        <w:rPr>
          <w:b w:val="0"/>
          <w:sz w:val="20"/>
        </w:rPr>
        <w:footnoteReference w:customMarkFollows="1" w:id="1"/>
        <w:t>*</w:t>
      </w:r>
    </w:p>
    <w:p w:rsidR="00207DF2" w:rsidRPr="00207DF2" w:rsidRDefault="00003255" w:rsidP="00207DF2">
      <w:pPr>
        <w:pStyle w:val="SingleTxtGR"/>
      </w:pPr>
      <w:r w:rsidRPr="003551F2">
        <w:tab/>
      </w:r>
      <w:r w:rsidR="00207DF2" w:rsidRPr="00207DF2">
        <w:t>Воспроизведенный ниже текст был подготовлен экспертом от Франции. В</w:t>
      </w:r>
      <w:r w:rsidR="00E632C1">
        <w:rPr>
          <w:lang w:val="en-US"/>
        </w:rPr>
        <w:t> </w:t>
      </w:r>
      <w:r w:rsidR="00207DF2" w:rsidRPr="00207DF2">
        <w:t>нем предлагается внести поправки в Правила № 110 ООН для включения п</w:t>
      </w:r>
      <w:r w:rsidR="00207DF2" w:rsidRPr="00207DF2">
        <w:t>о</w:t>
      </w:r>
      <w:r w:rsidR="00207DF2" w:rsidRPr="00207DF2">
        <w:t>ложений, касающихся систем охлаждения, подсоединенных к системе компр</w:t>
      </w:r>
      <w:r w:rsidR="00207DF2" w:rsidRPr="00207DF2">
        <w:t>и</w:t>
      </w:r>
      <w:r w:rsidR="00207DF2" w:rsidRPr="00207DF2">
        <w:t>мированного природного газа (КПГ) и/или сжиженного природного газа (СПГ), в грузовом отделении. Изменения к существующему тексту Правил выделены жирным шрифтом в случае новых положений или зачеркиванием в случае и</w:t>
      </w:r>
      <w:r w:rsidR="00207DF2" w:rsidRPr="00207DF2">
        <w:t>с</w:t>
      </w:r>
      <w:r w:rsidR="00207DF2" w:rsidRPr="00207DF2">
        <w:t>ключенных элементов. В основу настоящего документа положены док</w:t>
      </w:r>
      <w:r w:rsidR="00207DF2" w:rsidRPr="00207DF2">
        <w:t>у</w:t>
      </w:r>
      <w:r w:rsidR="00207DF2" w:rsidRPr="00207DF2">
        <w:t>мент</w:t>
      </w:r>
      <w:r w:rsidR="00E632C1">
        <w:rPr>
          <w:lang w:val="en-US"/>
        </w:rPr>
        <w:t> E</w:t>
      </w:r>
      <w:r w:rsidR="00207DF2" w:rsidRPr="00207DF2">
        <w:t>CE/TRANS/WP.29/GRSG/2015/36, а также неофициальный док</w:t>
      </w:r>
      <w:r w:rsidR="00207DF2" w:rsidRPr="00207DF2">
        <w:t>у</w:t>
      </w:r>
      <w:r w:rsidR="00207DF2" w:rsidRPr="00207DF2">
        <w:t>мент</w:t>
      </w:r>
      <w:r w:rsidR="003918C9">
        <w:rPr>
          <w:lang w:val="en-US"/>
        </w:rPr>
        <w:t> </w:t>
      </w:r>
      <w:r w:rsidR="00207DF2" w:rsidRPr="00207DF2">
        <w:t>GRSG-110-23, представленный в ходе 110-й сессии Рабочей группы по общим предписаниям, касающимся безопасности (GRSG) (см. доклад ECE/</w:t>
      </w:r>
      <w:r w:rsidR="00486AE6" w:rsidRPr="00177DFE">
        <w:t xml:space="preserve"> </w:t>
      </w:r>
      <w:r w:rsidR="00207DF2" w:rsidRPr="00207DF2">
        <w:t>TRANS/WP.29/</w:t>
      </w:r>
      <w:r w:rsidR="00B47C3C" w:rsidRPr="008F05E0">
        <w:t xml:space="preserve"> </w:t>
      </w:r>
      <w:r w:rsidR="00207DF2" w:rsidRPr="00207DF2">
        <w:t>GRSG/89, пункты 31, 32 и 39).</w:t>
      </w:r>
    </w:p>
    <w:p w:rsidR="00207DF2" w:rsidRPr="00207DF2" w:rsidRDefault="00207DF2" w:rsidP="00207DF2">
      <w:pPr>
        <w:pStyle w:val="SingleTxtGR"/>
      </w:pPr>
      <w:r w:rsidRPr="00207DF2">
        <w:br w:type="page"/>
      </w:r>
    </w:p>
    <w:p w:rsidR="00207DF2" w:rsidRPr="00207DF2" w:rsidRDefault="00207DF2" w:rsidP="008F05E0">
      <w:pPr>
        <w:pStyle w:val="HChGR"/>
      </w:pPr>
      <w:r w:rsidRPr="00207DF2">
        <w:lastRenderedPageBreak/>
        <w:tab/>
        <w:t>I.</w:t>
      </w:r>
      <w:r w:rsidRPr="00207DF2">
        <w:tab/>
        <w:t>Предложение</w:t>
      </w:r>
    </w:p>
    <w:p w:rsidR="00207DF2" w:rsidRPr="00207DF2" w:rsidRDefault="00207DF2" w:rsidP="00207DF2">
      <w:pPr>
        <w:pStyle w:val="SingleTxtGR"/>
      </w:pPr>
      <w:r w:rsidRPr="00207DF2">
        <w:t>Часть II</w:t>
      </w:r>
    </w:p>
    <w:p w:rsidR="00207DF2" w:rsidRPr="00207DF2" w:rsidRDefault="00207DF2" w:rsidP="00207DF2">
      <w:pPr>
        <w:pStyle w:val="SingleTxtGR"/>
      </w:pPr>
      <w:r w:rsidRPr="00207DF2">
        <w:t>Официальное утверждение транспортных средств в отношении установки эл</w:t>
      </w:r>
      <w:r w:rsidRPr="00207DF2">
        <w:t>е</w:t>
      </w:r>
      <w:r w:rsidRPr="00207DF2">
        <w:t>ментов специального оборудования официально утвержденного типа для и</w:t>
      </w:r>
      <w:r w:rsidRPr="00207DF2">
        <w:t>с</w:t>
      </w:r>
      <w:r w:rsidRPr="00207DF2">
        <w:t>пользования в их двигателях компримированного природного газа (КПГ) и/или сжиженного природного газа (СПГ)</w:t>
      </w:r>
    </w:p>
    <w:p w:rsidR="00207DF2" w:rsidRPr="00207DF2" w:rsidRDefault="00207DF2" w:rsidP="00207DF2">
      <w:pPr>
        <w:pStyle w:val="SingleTxtGR"/>
      </w:pPr>
      <w:r w:rsidRPr="00207DF2">
        <w:rPr>
          <w:i/>
          <w:iCs/>
        </w:rPr>
        <w:t>Пункты 18.1.7.1 и 18.1.7.2</w:t>
      </w:r>
      <w:r w:rsidRPr="00207DF2">
        <w:t xml:space="preserve"> изменить следующим образом:</w:t>
      </w:r>
    </w:p>
    <w:p w:rsidR="00207DF2" w:rsidRPr="00207DF2" w:rsidRDefault="00207DF2" w:rsidP="008F05E0">
      <w:pPr>
        <w:pStyle w:val="SingleTxtGR"/>
        <w:ind w:left="2268" w:hanging="1134"/>
      </w:pPr>
      <w:r w:rsidRPr="00207DF2">
        <w:t>«18.1.7.1</w:t>
      </w:r>
      <w:r w:rsidRPr="00207DF2">
        <w:tab/>
        <w:t xml:space="preserve">Независимо от положений пункта 18.1.7 транспортное средство может оснащаться системой обогрева пассажирского салона и/или грузового отделения </w:t>
      </w:r>
      <w:r w:rsidRPr="00207DF2">
        <w:rPr>
          <w:b/>
          <w:bCs/>
        </w:rPr>
        <w:t>или системой охлаждения грузового отдел</w:t>
      </w:r>
      <w:r w:rsidRPr="00207DF2">
        <w:rPr>
          <w:b/>
          <w:bCs/>
        </w:rPr>
        <w:t>е</w:t>
      </w:r>
      <w:r w:rsidRPr="00207DF2">
        <w:rPr>
          <w:b/>
          <w:bCs/>
        </w:rPr>
        <w:t>ния</w:t>
      </w:r>
      <w:r w:rsidRPr="00207DF2">
        <w:t>, которая подсоединяется к системе КПГ и/или СПГ.</w:t>
      </w:r>
    </w:p>
    <w:p w:rsidR="00207DF2" w:rsidRPr="00207DF2" w:rsidRDefault="00207DF2" w:rsidP="008F05E0">
      <w:pPr>
        <w:pStyle w:val="SingleTxtGR"/>
        <w:ind w:left="2268" w:hanging="1134"/>
      </w:pPr>
      <w:r w:rsidRPr="00207DF2">
        <w:t>18.1.7.2</w:t>
      </w:r>
      <w:r w:rsidRPr="00207DF2">
        <w:tab/>
        <w:t xml:space="preserve">Наличие системы обогрева </w:t>
      </w:r>
      <w:r w:rsidRPr="00207DF2">
        <w:rPr>
          <w:b/>
          <w:bCs/>
        </w:rPr>
        <w:t>или системы охлаждения</w:t>
      </w:r>
      <w:r w:rsidRPr="00207DF2">
        <w:t xml:space="preserve">, </w:t>
      </w:r>
      <w:r w:rsidRPr="00DB27C2">
        <w:rPr>
          <w:strike/>
        </w:rPr>
        <w:t>упомянутой</w:t>
      </w:r>
      <w:r w:rsidRPr="00207DF2">
        <w:t xml:space="preserve"> </w:t>
      </w:r>
      <w:r w:rsidRPr="00207DF2">
        <w:rPr>
          <w:b/>
          <w:bCs/>
        </w:rPr>
        <w:t xml:space="preserve">упомянутых </w:t>
      </w:r>
      <w:r w:rsidRPr="00207DF2">
        <w:t>в пункте 18.1.7.1, разрешается, если, по мнению те</w:t>
      </w:r>
      <w:r w:rsidRPr="00207DF2">
        <w:t>х</w:t>
      </w:r>
      <w:r w:rsidRPr="00207DF2">
        <w:t>нической службы, уполномоченной проводить испытания для оф</w:t>
      </w:r>
      <w:r w:rsidRPr="00207DF2">
        <w:t>и</w:t>
      </w:r>
      <w:r w:rsidRPr="00207DF2">
        <w:t xml:space="preserve">циального утверждения типа, </w:t>
      </w:r>
      <w:r w:rsidRPr="00DB27C2">
        <w:rPr>
          <w:strike/>
        </w:rPr>
        <w:t>она</w:t>
      </w:r>
      <w:r w:rsidRPr="00207DF2">
        <w:t xml:space="preserve"> </w:t>
      </w:r>
      <w:r w:rsidRPr="00207DF2">
        <w:rPr>
          <w:b/>
          <w:bCs/>
        </w:rPr>
        <w:t>эти системы</w:t>
      </w:r>
      <w:r w:rsidRPr="00207DF2">
        <w:t xml:space="preserve"> надлежащим обр</w:t>
      </w:r>
      <w:r w:rsidRPr="00207DF2">
        <w:t>а</w:t>
      </w:r>
      <w:r w:rsidRPr="00207DF2">
        <w:t xml:space="preserve">зом </w:t>
      </w:r>
      <w:r w:rsidRPr="00DB27C2">
        <w:rPr>
          <w:strike/>
        </w:rPr>
        <w:t>защищена</w:t>
      </w:r>
      <w:r w:rsidRPr="00207DF2">
        <w:t xml:space="preserve"> </w:t>
      </w:r>
      <w:r w:rsidRPr="00207DF2">
        <w:rPr>
          <w:b/>
          <w:bCs/>
        </w:rPr>
        <w:t>защищены</w:t>
      </w:r>
      <w:r w:rsidRPr="00207DF2">
        <w:t xml:space="preserve"> и не </w:t>
      </w:r>
      <w:r w:rsidRPr="00DB27C2">
        <w:rPr>
          <w:strike/>
        </w:rPr>
        <w:t>влияет</w:t>
      </w:r>
      <w:r w:rsidRPr="00207DF2">
        <w:t xml:space="preserve"> </w:t>
      </w:r>
      <w:r w:rsidRPr="00207DF2">
        <w:rPr>
          <w:b/>
          <w:bCs/>
        </w:rPr>
        <w:t>влияют</w:t>
      </w:r>
      <w:r w:rsidRPr="00207DF2">
        <w:t xml:space="preserve"> на нормальное функционирование системы КПГ и/или СПГ».</w:t>
      </w:r>
    </w:p>
    <w:p w:rsidR="00207DF2" w:rsidRPr="00207DF2" w:rsidRDefault="00207DF2" w:rsidP="00207DF2">
      <w:pPr>
        <w:pStyle w:val="SingleTxtGR"/>
      </w:pPr>
      <w:r w:rsidRPr="00207DF2">
        <w:rPr>
          <w:i/>
          <w:iCs/>
        </w:rPr>
        <w:t>Пункт 18.5.1.3</w:t>
      </w:r>
      <w:r w:rsidRPr="00207DF2">
        <w:t xml:space="preserve"> изменить следующим образом:</w:t>
      </w:r>
    </w:p>
    <w:p w:rsidR="00207DF2" w:rsidRPr="00207DF2" w:rsidRDefault="00207DF2" w:rsidP="008F05E0">
      <w:pPr>
        <w:pStyle w:val="SingleTxtGR"/>
        <w:ind w:left="2268" w:hanging="1134"/>
      </w:pPr>
      <w:r w:rsidRPr="00207DF2">
        <w:t>«18.5.1.3</w:t>
      </w:r>
      <w:r w:rsidRPr="00207DF2">
        <w:tab/>
        <w:t>Независимо от положений пункта 18.5.1.2,</w:t>
      </w:r>
    </w:p>
    <w:p w:rsidR="00207DF2" w:rsidRPr="00207DF2" w:rsidRDefault="00207DF2" w:rsidP="008F05E0">
      <w:pPr>
        <w:pStyle w:val="SingleTxtGR"/>
        <w:ind w:left="2835" w:hanging="1701"/>
      </w:pPr>
      <w:r w:rsidRPr="00207DF2">
        <w:tab/>
      </w:r>
      <w:r w:rsidR="008F05E0" w:rsidRPr="003551F2">
        <w:tab/>
      </w:r>
      <w:r w:rsidRPr="00207DF2">
        <w:t>a)</w:t>
      </w:r>
      <w:r w:rsidRPr="00207DF2">
        <w:tab/>
        <w:t>автоматический клапан баллона может оставаться в откр</w:t>
      </w:r>
      <w:r w:rsidRPr="00207DF2">
        <w:t>ы</w:t>
      </w:r>
      <w:r w:rsidRPr="00207DF2">
        <w:t>том положении во время этапов контролируемой остановки, и</w:t>
      </w:r>
    </w:p>
    <w:p w:rsidR="00207DF2" w:rsidRPr="00207DF2" w:rsidRDefault="00207DF2" w:rsidP="008F05E0">
      <w:pPr>
        <w:pStyle w:val="SingleTxtGR"/>
        <w:ind w:left="2835" w:hanging="1701"/>
        <w:rPr>
          <w:b/>
          <w:bCs/>
        </w:rPr>
      </w:pPr>
      <w:r w:rsidRPr="00207DF2">
        <w:tab/>
      </w:r>
      <w:r w:rsidR="008F05E0" w:rsidRPr="003551F2">
        <w:tab/>
      </w:r>
      <w:r w:rsidRPr="00207DF2">
        <w:t>b)</w:t>
      </w:r>
      <w:r w:rsidRPr="00207DF2">
        <w:tab/>
        <w:t>в случае установки системы пожарной сигнализации в отсеке с автономным обогревателем КПГ и/или СПГ автоматич</w:t>
      </w:r>
      <w:r w:rsidRPr="00207DF2">
        <w:t>е</w:t>
      </w:r>
      <w:r w:rsidRPr="00207DF2">
        <w:t>ский(ие) клапан(ы) может</w:t>
      </w:r>
      <w:r w:rsidR="003551F2" w:rsidRPr="003551F2">
        <w:t xml:space="preserve"> </w:t>
      </w:r>
      <w:r w:rsidRPr="00207DF2">
        <w:t>(могут) оставаться в открытом п</w:t>
      </w:r>
      <w:r w:rsidRPr="00207DF2">
        <w:t>о</w:t>
      </w:r>
      <w:r w:rsidRPr="00207DF2">
        <w:t>ложении при помощи электронного блока управления, для того чтобы обеспечить возможность предварительного под</w:t>
      </w:r>
      <w:r w:rsidRPr="00207DF2">
        <w:t>о</w:t>
      </w:r>
      <w:r w:rsidRPr="00207DF2">
        <w:t xml:space="preserve">грева двигателя. </w:t>
      </w:r>
      <w:r w:rsidRPr="00207DF2">
        <w:rPr>
          <w:b/>
          <w:bCs/>
        </w:rPr>
        <w:t>Любая неисправность или несрабатыв</w:t>
      </w:r>
      <w:r w:rsidRPr="00207DF2">
        <w:rPr>
          <w:b/>
          <w:bCs/>
        </w:rPr>
        <w:t>а</w:t>
      </w:r>
      <w:r w:rsidRPr="00207DF2">
        <w:rPr>
          <w:b/>
          <w:bCs/>
        </w:rPr>
        <w:t>ние системы влечет за собой закрытие автоматического клапана баллона, который подпитывает устройство об</w:t>
      </w:r>
      <w:r w:rsidRPr="00207DF2">
        <w:rPr>
          <w:b/>
          <w:bCs/>
        </w:rPr>
        <w:t>о</w:t>
      </w:r>
      <w:r w:rsidRPr="00207DF2">
        <w:rPr>
          <w:b/>
          <w:bCs/>
        </w:rPr>
        <w:t>грева, и</w:t>
      </w:r>
    </w:p>
    <w:p w:rsidR="00207DF2" w:rsidRPr="00207DF2" w:rsidRDefault="00207DF2" w:rsidP="008F05E0">
      <w:pPr>
        <w:pStyle w:val="SingleTxtGR"/>
        <w:ind w:left="2835" w:hanging="1701"/>
      </w:pPr>
      <w:r w:rsidRPr="00207DF2">
        <w:rPr>
          <w:b/>
          <w:bCs/>
        </w:rPr>
        <w:tab/>
      </w:r>
      <w:r w:rsidR="008F05E0" w:rsidRPr="003551F2">
        <w:rPr>
          <w:b/>
          <w:bCs/>
        </w:rPr>
        <w:tab/>
      </w:r>
      <w:r w:rsidRPr="00207DF2">
        <w:rPr>
          <w:b/>
          <w:bCs/>
        </w:rPr>
        <w:t>c)</w:t>
      </w:r>
      <w:r w:rsidRPr="00207DF2">
        <w:rPr>
          <w:b/>
          <w:bCs/>
        </w:rPr>
        <w:tab/>
        <w:t>в случае установки системы пожарной сигнализации в отсеке с устройством для охлаждения грузового отдел</w:t>
      </w:r>
      <w:r w:rsidRPr="00207DF2">
        <w:rPr>
          <w:b/>
          <w:bCs/>
        </w:rPr>
        <w:t>е</w:t>
      </w:r>
      <w:r w:rsidRPr="00207DF2">
        <w:rPr>
          <w:b/>
          <w:bCs/>
        </w:rPr>
        <w:t>ния автоматический(ие) клапан(ы) может</w:t>
      </w:r>
      <w:r w:rsidR="003551F2" w:rsidRPr="003551F2">
        <w:rPr>
          <w:b/>
          <w:bCs/>
        </w:rPr>
        <w:t xml:space="preserve"> </w:t>
      </w:r>
      <w:r w:rsidRPr="00207DF2">
        <w:rPr>
          <w:b/>
          <w:bCs/>
        </w:rPr>
        <w:t>(могут) ост</w:t>
      </w:r>
      <w:r w:rsidRPr="00207DF2">
        <w:rPr>
          <w:b/>
          <w:bCs/>
        </w:rPr>
        <w:t>а</w:t>
      </w:r>
      <w:r w:rsidRPr="00207DF2">
        <w:rPr>
          <w:b/>
          <w:bCs/>
        </w:rPr>
        <w:t>ваться в открытом положении при помощи электронного блока управления, для того чтобы обеспечить возмо</w:t>
      </w:r>
      <w:r w:rsidRPr="00207DF2">
        <w:rPr>
          <w:b/>
          <w:bCs/>
        </w:rPr>
        <w:t>ж</w:t>
      </w:r>
      <w:r w:rsidRPr="00207DF2">
        <w:rPr>
          <w:b/>
          <w:bCs/>
        </w:rPr>
        <w:t>ность охлаждения грузового отделения. Любая неиспра</w:t>
      </w:r>
      <w:r w:rsidRPr="00207DF2">
        <w:rPr>
          <w:b/>
          <w:bCs/>
        </w:rPr>
        <w:t>в</w:t>
      </w:r>
      <w:r w:rsidRPr="00207DF2">
        <w:rPr>
          <w:b/>
          <w:bCs/>
        </w:rPr>
        <w:t>ность или несрабатывание системы влечет за собой з</w:t>
      </w:r>
      <w:r w:rsidRPr="00207DF2">
        <w:rPr>
          <w:b/>
          <w:bCs/>
        </w:rPr>
        <w:t>а</w:t>
      </w:r>
      <w:r w:rsidRPr="00207DF2">
        <w:rPr>
          <w:b/>
          <w:bCs/>
        </w:rPr>
        <w:t>крытие автоматического клапана баллона, который по</w:t>
      </w:r>
      <w:r w:rsidRPr="00207DF2">
        <w:rPr>
          <w:b/>
          <w:bCs/>
        </w:rPr>
        <w:t>д</w:t>
      </w:r>
      <w:r w:rsidRPr="00207DF2">
        <w:rPr>
          <w:b/>
          <w:bCs/>
        </w:rPr>
        <w:t>питывает устройство охлаждения</w:t>
      </w:r>
      <w:r w:rsidRPr="00823144">
        <w:rPr>
          <w:bCs/>
        </w:rPr>
        <w:t>»</w:t>
      </w:r>
      <w:r w:rsidRPr="00823144">
        <w:t>.</w:t>
      </w:r>
    </w:p>
    <w:p w:rsidR="00207DF2" w:rsidRPr="00207DF2" w:rsidRDefault="00207DF2" w:rsidP="00207DF2">
      <w:pPr>
        <w:pStyle w:val="SingleTxtGR"/>
        <w:rPr>
          <w:i/>
          <w:iCs/>
        </w:rPr>
      </w:pPr>
      <w:r w:rsidRPr="00207DF2">
        <w:rPr>
          <w:i/>
          <w:iCs/>
        </w:rPr>
        <w:t>Приложение 1А</w:t>
      </w:r>
    </w:p>
    <w:p w:rsidR="00207DF2" w:rsidRPr="00207DF2" w:rsidRDefault="00207DF2" w:rsidP="00207DF2">
      <w:pPr>
        <w:pStyle w:val="SingleTxtGR"/>
      </w:pPr>
      <w:r w:rsidRPr="00207DF2">
        <w:rPr>
          <w:i/>
          <w:iCs/>
        </w:rPr>
        <w:t>Пункты 1.2.4.5.15–1.2.4.5.15.3</w:t>
      </w:r>
      <w:r w:rsidRPr="00207DF2">
        <w:t xml:space="preserve"> изменить следующим образом (сноску </w:t>
      </w:r>
      <w:r w:rsidRPr="00207DF2">
        <w:rPr>
          <w:vertAlign w:val="superscript"/>
        </w:rPr>
        <w:t>1</w:t>
      </w:r>
      <w:r w:rsidRPr="00207DF2">
        <w:t xml:space="preserve"> в конце страницы оставить без изменений):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  <w:ind w:left="2268" w:hanging="1134"/>
      </w:pPr>
      <w:r w:rsidRPr="00207DF2">
        <w:t>«1.2.4.5.15</w:t>
      </w:r>
      <w:r w:rsidRPr="00207DF2">
        <w:tab/>
        <w:t>Система обогрева подсоединена к системе КПГ/СПГ: да/нет</w:t>
      </w:r>
      <w:r w:rsidRPr="00207DF2">
        <w:rPr>
          <w:vertAlign w:val="superscript"/>
        </w:rPr>
        <w:t>1</w:t>
      </w:r>
      <w:r w:rsidR="008F05E0" w:rsidRPr="008F05E0">
        <w:t xml:space="preserve"> </w:t>
      </w:r>
      <w:r w:rsidR="003551F2" w:rsidRPr="003551F2">
        <w:br/>
      </w:r>
      <w:r w:rsidRPr="00207DF2">
        <w:rPr>
          <w:b/>
          <w:bCs/>
        </w:rPr>
        <w:t>либо система охлаждения подсоединена к системе КПГ/СПГ: да/нет</w:t>
      </w:r>
      <w:r w:rsidRPr="00207DF2">
        <w:rPr>
          <w:b/>
          <w:bCs/>
          <w:vertAlign w:val="superscript"/>
        </w:rPr>
        <w:t>1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</w:pPr>
      <w:r w:rsidRPr="00207DF2">
        <w:lastRenderedPageBreak/>
        <w:t>1.2.4.5.15.1</w:t>
      </w:r>
      <w:r w:rsidRPr="00207DF2">
        <w:tab/>
        <w:t xml:space="preserve">Марка(и) </w:t>
      </w:r>
      <w:r w:rsidRPr="00207DF2">
        <w:rPr>
          <w:b/>
          <w:bCs/>
        </w:rPr>
        <w:t>системы обогрева</w:t>
      </w:r>
      <w:r w:rsidRPr="00207DF2">
        <w:t>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</w:pPr>
      <w:r w:rsidRPr="00207DF2">
        <w:t>1.2.4.5.15.2</w:t>
      </w:r>
      <w:r w:rsidRPr="00207DF2">
        <w:tab/>
        <w:t xml:space="preserve">Тип(ы) </w:t>
      </w:r>
      <w:r w:rsidRPr="00207DF2">
        <w:rPr>
          <w:b/>
          <w:bCs/>
        </w:rPr>
        <w:t>системы обогрева</w:t>
      </w:r>
      <w:r w:rsidRPr="00207DF2">
        <w:t>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</w:pPr>
      <w:r w:rsidRPr="00207DF2">
        <w:t>1.2.4.5.15.3</w:t>
      </w:r>
      <w:r w:rsidRPr="00207DF2">
        <w:tab/>
        <w:t xml:space="preserve">Описание и чертежи установки </w:t>
      </w:r>
      <w:r w:rsidRPr="00207DF2">
        <w:rPr>
          <w:b/>
          <w:bCs/>
        </w:rPr>
        <w:t>системы обогрева</w:t>
      </w:r>
      <w:r w:rsidRPr="00207DF2">
        <w:t>:».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</w:pPr>
      <w:r w:rsidRPr="00207DF2">
        <w:rPr>
          <w:i/>
          <w:iCs/>
        </w:rPr>
        <w:t>Включить новые пункты 1.2.4.5.15.4–1.2.4.5.15.6</w:t>
      </w:r>
      <w:r w:rsidRPr="00207DF2">
        <w:t xml:space="preserve"> следующего содержания: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  <w:rPr>
          <w:b/>
          <w:bCs/>
        </w:rPr>
      </w:pPr>
      <w:r w:rsidRPr="00237216">
        <w:rPr>
          <w:spacing w:val="0"/>
        </w:rPr>
        <w:t>«</w:t>
      </w:r>
      <w:r w:rsidRPr="00237216">
        <w:rPr>
          <w:b/>
          <w:bCs/>
          <w:spacing w:val="0"/>
        </w:rPr>
        <w:t>1.2.4.5.15.4</w:t>
      </w:r>
      <w:r w:rsidRPr="00207DF2">
        <w:rPr>
          <w:b/>
          <w:bCs/>
        </w:rPr>
        <w:tab/>
        <w:t>Марка(и) системы охлаждения: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  <w:rPr>
          <w:b/>
          <w:bCs/>
        </w:rPr>
      </w:pPr>
      <w:r w:rsidRPr="00207DF2">
        <w:rPr>
          <w:b/>
          <w:bCs/>
        </w:rPr>
        <w:t>1.2.4.5.15.5</w:t>
      </w:r>
      <w:r w:rsidRPr="00207DF2">
        <w:rPr>
          <w:b/>
          <w:bCs/>
        </w:rPr>
        <w:tab/>
        <w:t>Тип(ы) системы охлаждения: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</w:pPr>
      <w:r w:rsidRPr="00207DF2">
        <w:rPr>
          <w:b/>
          <w:bCs/>
        </w:rPr>
        <w:t>1.2.4.5.15.6</w:t>
      </w:r>
      <w:r w:rsidRPr="00207DF2">
        <w:rPr>
          <w:b/>
          <w:bCs/>
        </w:rPr>
        <w:tab/>
        <w:t>Описание и чертежи установки системы охлаждения:</w:t>
      </w:r>
      <w:r w:rsidRPr="00207DF2">
        <w:t>».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  <w:rPr>
          <w:i/>
          <w:iCs/>
        </w:rPr>
      </w:pPr>
      <w:r w:rsidRPr="00207DF2">
        <w:rPr>
          <w:i/>
          <w:iCs/>
        </w:rPr>
        <w:t>Приложение 1В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</w:pPr>
      <w:r w:rsidRPr="00207DF2">
        <w:rPr>
          <w:i/>
          <w:iCs/>
        </w:rPr>
        <w:t>Пункты 1.2.4.5.15–1.2.4.5.15.3</w:t>
      </w:r>
      <w:r w:rsidRPr="00207DF2">
        <w:t xml:space="preserve"> изменить следующим образом (сноску </w:t>
      </w:r>
      <w:r w:rsidRPr="00207DF2">
        <w:rPr>
          <w:vertAlign w:val="superscript"/>
        </w:rPr>
        <w:t>2</w:t>
      </w:r>
      <w:r w:rsidRPr="00207DF2">
        <w:t xml:space="preserve"> в конце страницы оставить без изменений):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  <w:ind w:left="2268" w:hanging="1134"/>
        <w:rPr>
          <w:b/>
          <w:bCs/>
        </w:rPr>
      </w:pPr>
      <w:r w:rsidRPr="00207DF2">
        <w:t>«1.2.4.5.15</w:t>
      </w:r>
      <w:r w:rsidRPr="00207DF2">
        <w:tab/>
        <w:t>Система обогрева подсоединена к системе КПГ/СПГ: да/нет</w:t>
      </w:r>
      <w:r w:rsidRPr="00207DF2">
        <w:rPr>
          <w:vertAlign w:val="superscript"/>
        </w:rPr>
        <w:t>2</w:t>
      </w:r>
      <w:r w:rsidR="008F342B" w:rsidRPr="008F342B">
        <w:t xml:space="preserve"> </w:t>
      </w:r>
      <w:r w:rsidR="00FC3337" w:rsidRPr="00FC3337">
        <w:br/>
      </w:r>
      <w:r w:rsidRPr="00207DF2">
        <w:rPr>
          <w:b/>
          <w:bCs/>
        </w:rPr>
        <w:t>либо система охлаждения подсоединена к системе КПГ/СПГ: да/нет</w:t>
      </w:r>
      <w:r w:rsidRPr="00207DF2">
        <w:rPr>
          <w:b/>
          <w:bCs/>
          <w:vertAlign w:val="superscript"/>
        </w:rPr>
        <w:t>2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</w:pPr>
      <w:r w:rsidRPr="00207DF2">
        <w:t>1.2.4.5.15.1</w:t>
      </w:r>
      <w:r w:rsidRPr="00207DF2">
        <w:tab/>
        <w:t xml:space="preserve">Марка(и) </w:t>
      </w:r>
      <w:r w:rsidRPr="00207DF2">
        <w:rPr>
          <w:b/>
          <w:bCs/>
        </w:rPr>
        <w:t>системы обогрева</w:t>
      </w:r>
      <w:r w:rsidRPr="00207DF2">
        <w:t>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</w:pPr>
      <w:r w:rsidRPr="00207DF2">
        <w:t>1.2.4.5.15.2</w:t>
      </w:r>
      <w:r w:rsidRPr="00207DF2">
        <w:tab/>
        <w:t xml:space="preserve">Тип(ы) </w:t>
      </w:r>
      <w:r w:rsidRPr="00207DF2">
        <w:rPr>
          <w:b/>
          <w:bCs/>
        </w:rPr>
        <w:t>системы обогрева</w:t>
      </w:r>
      <w:r w:rsidRPr="00207DF2">
        <w:t>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</w:pPr>
      <w:r w:rsidRPr="00207DF2">
        <w:t>1.2.4.5.15.3</w:t>
      </w:r>
      <w:r w:rsidRPr="00207DF2">
        <w:tab/>
        <w:t xml:space="preserve">Описание и чертежи установки </w:t>
      </w:r>
      <w:r w:rsidRPr="00207DF2">
        <w:rPr>
          <w:b/>
          <w:bCs/>
        </w:rPr>
        <w:t>системы обогрева</w:t>
      </w:r>
      <w:r w:rsidRPr="00207DF2">
        <w:t>:».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</w:pPr>
      <w:r w:rsidRPr="00207DF2">
        <w:rPr>
          <w:i/>
          <w:iCs/>
        </w:rPr>
        <w:t>Включить новые пункты 1.2.4.5.15.4–1.2.4.5.15.6</w:t>
      </w:r>
      <w:r w:rsidRPr="00207DF2">
        <w:t xml:space="preserve"> следующего содержания: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  <w:rPr>
          <w:b/>
          <w:bCs/>
        </w:rPr>
      </w:pPr>
      <w:r w:rsidRPr="00207DF2">
        <w:t>«</w:t>
      </w:r>
      <w:r w:rsidRPr="00207DF2">
        <w:rPr>
          <w:b/>
          <w:bCs/>
        </w:rPr>
        <w:t>1.2.4.5.15.4</w:t>
      </w:r>
      <w:r w:rsidRPr="00207DF2">
        <w:rPr>
          <w:b/>
          <w:bCs/>
        </w:rPr>
        <w:tab/>
        <w:t>Марка(и) системы охлаждения: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  <w:rPr>
          <w:b/>
          <w:bCs/>
        </w:rPr>
      </w:pPr>
      <w:r w:rsidRPr="00207DF2">
        <w:rPr>
          <w:b/>
          <w:bCs/>
        </w:rPr>
        <w:t>1.2.4.5.15.5</w:t>
      </w:r>
      <w:r w:rsidRPr="00207DF2">
        <w:rPr>
          <w:b/>
          <w:bCs/>
        </w:rPr>
        <w:tab/>
        <w:t>Тип(ы) системы охлаждения:</w:t>
      </w:r>
    </w:p>
    <w:p w:rsidR="00207DF2" w:rsidRPr="00207DF2" w:rsidRDefault="00207DF2" w:rsidP="00237216">
      <w:pPr>
        <w:pStyle w:val="SingleTxtGR"/>
        <w:tabs>
          <w:tab w:val="clear" w:pos="2268"/>
          <w:tab w:val="left" w:pos="2349"/>
        </w:tabs>
      </w:pPr>
      <w:r w:rsidRPr="00207DF2">
        <w:rPr>
          <w:b/>
          <w:bCs/>
        </w:rPr>
        <w:t>1.2.4.5.15.6</w:t>
      </w:r>
      <w:r w:rsidRPr="00207DF2">
        <w:rPr>
          <w:b/>
          <w:bCs/>
        </w:rPr>
        <w:tab/>
        <w:t>Описание и чертежи установки системы охлаждения:</w:t>
      </w:r>
      <w:r w:rsidRPr="00207DF2">
        <w:t>».</w:t>
      </w:r>
    </w:p>
    <w:p w:rsidR="00207DF2" w:rsidRPr="00207DF2" w:rsidRDefault="00207DF2" w:rsidP="008F342B">
      <w:pPr>
        <w:pStyle w:val="HChGR"/>
      </w:pPr>
      <w:r w:rsidRPr="00207DF2">
        <w:tab/>
        <w:t>II.</w:t>
      </w:r>
      <w:r w:rsidRPr="00207DF2">
        <w:tab/>
        <w:t>Обоснование</w:t>
      </w:r>
    </w:p>
    <w:p w:rsidR="00207DF2" w:rsidRPr="00207DF2" w:rsidRDefault="00207DF2" w:rsidP="00207DF2">
      <w:pPr>
        <w:pStyle w:val="SingleTxtGR"/>
      </w:pPr>
      <w:r w:rsidRPr="00207DF2">
        <w:t>1.</w:t>
      </w:r>
      <w:r w:rsidRPr="00207DF2">
        <w:tab/>
        <w:t>Изменения к пункту 18.1.7.1: в настоящее время пункт 18.1.7.1 допускает возможность установки систем обогрева на транспортных средствах для об</w:t>
      </w:r>
      <w:r w:rsidRPr="00207DF2">
        <w:t>о</w:t>
      </w:r>
      <w:r w:rsidRPr="00207DF2">
        <w:t>грева пассажирского салона и/или грузового отделения. Добавление в этот пункт слов «системы охлаждения» позволяет расширить возможности прим</w:t>
      </w:r>
      <w:r w:rsidRPr="00207DF2">
        <w:t>е</w:t>
      </w:r>
      <w:r w:rsidRPr="00207DF2">
        <w:t>нения транспортных средств, работающих на природном газе, и позволяет изг</w:t>
      </w:r>
      <w:r w:rsidRPr="00207DF2">
        <w:t>о</w:t>
      </w:r>
      <w:r w:rsidRPr="00207DF2">
        <w:t>товителям систем охлаждения использовать газ, содержащийся в топливных б</w:t>
      </w:r>
      <w:r w:rsidRPr="00207DF2">
        <w:t>а</w:t>
      </w:r>
      <w:r w:rsidRPr="00207DF2">
        <w:t>ках, для питания двигателя холодильной установки. У этих изготовителей поя</w:t>
      </w:r>
      <w:r w:rsidRPr="00207DF2">
        <w:t>в</w:t>
      </w:r>
      <w:r w:rsidRPr="00207DF2">
        <w:t>ляются возможности для выхода на новые рынки. Использование природного газа позволяет добиться значительного снижения выбросов взвешенных частиц и уровня звука, связанных с работой холодильной установки. Речь идет о транспортных средствах, использующихся для перевозки скоропортящихся продуктов и их доставки в городские районы.</w:t>
      </w:r>
    </w:p>
    <w:p w:rsidR="00207DF2" w:rsidRPr="00207DF2" w:rsidRDefault="00207DF2" w:rsidP="00207DF2">
      <w:pPr>
        <w:pStyle w:val="SingleTxtGR"/>
      </w:pPr>
      <w:r w:rsidRPr="00207DF2">
        <w:t>2.</w:t>
      </w:r>
      <w:r w:rsidRPr="00207DF2">
        <w:tab/>
        <w:t>Изменения к пункту 18.1.7.2: предписания в отношении системы обогр</w:t>
      </w:r>
      <w:r w:rsidRPr="00207DF2">
        <w:t>е</w:t>
      </w:r>
      <w:r w:rsidRPr="00207DF2">
        <w:t>ва необходимо распространить на системы охлаждения.</w:t>
      </w:r>
    </w:p>
    <w:p w:rsidR="00207DF2" w:rsidRPr="00207DF2" w:rsidRDefault="00207DF2" w:rsidP="00207DF2">
      <w:pPr>
        <w:pStyle w:val="SingleTxtGR"/>
      </w:pPr>
      <w:r w:rsidRPr="00207DF2">
        <w:t>3.</w:t>
      </w:r>
      <w:r w:rsidRPr="00207DF2">
        <w:tab/>
        <w:t>Изменения к пункту 18.5.1.3: в этот пункт были внесены поправки для учета вышеназванных изменений. Предполагается, что автоматический клапан баллона остается в открытом положении, для того чтобы подпитывать устро</w:t>
      </w:r>
      <w:r w:rsidRPr="00207DF2">
        <w:t>й</w:t>
      </w:r>
      <w:r w:rsidRPr="00207DF2">
        <w:t>ства охлаждения или обогрева. Если этого требует продолжительность работы устройства обогрева или охлаждения, то открытыми могут оставаться клапаны нескольких баллонов. В случае обнаружения неисправности или несрабатыв</w:t>
      </w:r>
      <w:r w:rsidRPr="00207DF2">
        <w:t>а</w:t>
      </w:r>
      <w:r w:rsidRPr="00207DF2">
        <w:lastRenderedPageBreak/>
        <w:t>ния автоматический клапан каждого из баллонов, подпитывающих это устро</w:t>
      </w:r>
      <w:r w:rsidRPr="00207DF2">
        <w:t>й</w:t>
      </w:r>
      <w:r w:rsidRPr="00207DF2">
        <w:t>ство, в целях безопасности должен закрываться. Система пожарной сигнализ</w:t>
      </w:r>
      <w:r w:rsidRPr="00207DF2">
        <w:t>а</w:t>
      </w:r>
      <w:r w:rsidRPr="00207DF2">
        <w:t>ции позволяет обеспечить выявление и устранение всех серьезных рисков.</w:t>
      </w:r>
    </w:p>
    <w:p w:rsidR="00A658DB" w:rsidRPr="00445D5A" w:rsidRDefault="00207DF2" w:rsidP="00207DF2">
      <w:pPr>
        <w:pStyle w:val="SingleTxtGR"/>
      </w:pPr>
      <w:r w:rsidRPr="00207DF2">
        <w:t>4.</w:t>
      </w:r>
      <w:r w:rsidRPr="00207DF2">
        <w:tab/>
        <w:t>Изменения к приложениям 1А и 1В: для целей указания наличия, марки и типа системы охлаждения в приложении 1А (Основные характеристики элеме</w:t>
      </w:r>
      <w:r w:rsidRPr="00207DF2">
        <w:t>н</w:t>
      </w:r>
      <w:r w:rsidRPr="00207DF2">
        <w:t>тов оборудования КПГ/СПГ) и приложении 1В (Основные характеристики транспортного средства, двигателя и системы КПГ/СПГ) были изменены пун</w:t>
      </w:r>
      <w:r w:rsidRPr="00207DF2">
        <w:t>к</w:t>
      </w:r>
      <w:r w:rsidRPr="00207DF2">
        <w:t>ты 1.2.4.5.15, 1.2.4.5.15.1, 1.2.4.5.15.2 и 1.2.4.5.15.3 и добавлены пун</w:t>
      </w:r>
      <w:r w:rsidRPr="00207DF2">
        <w:t>к</w:t>
      </w:r>
      <w:r w:rsidRPr="00207DF2">
        <w:t>ты</w:t>
      </w:r>
      <w:r w:rsidR="0027145A">
        <w:rPr>
          <w:lang w:val="en-US"/>
        </w:rPr>
        <w:t> </w:t>
      </w:r>
      <w:r w:rsidRPr="00207DF2">
        <w:t>1.2.4.5.15.4, 1.2.4.5.15.5 и 1.2.4.5.15.6.</w:t>
      </w:r>
    </w:p>
    <w:p w:rsidR="00D401CA" w:rsidRPr="00207DF2" w:rsidRDefault="008F342B" w:rsidP="008F342B">
      <w:pPr>
        <w:spacing w:before="240"/>
        <w:jc w:val="center"/>
      </w:pPr>
      <w:r w:rsidRPr="00445D5A">
        <w:rPr>
          <w:u w:val="single"/>
        </w:rPr>
        <w:tab/>
      </w:r>
      <w:r w:rsidRPr="00445D5A">
        <w:rPr>
          <w:u w:val="single"/>
        </w:rPr>
        <w:tab/>
      </w:r>
      <w:r w:rsidRPr="00445D5A">
        <w:rPr>
          <w:u w:val="single"/>
        </w:rPr>
        <w:tab/>
      </w:r>
    </w:p>
    <w:sectPr w:rsidR="00D401CA" w:rsidRPr="00207DF2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CA" w:rsidRDefault="00D401CA" w:rsidP="00B471C5">
      <w:r>
        <w:separator/>
      </w:r>
    </w:p>
  </w:endnote>
  <w:endnote w:type="continuationSeparator" w:id="0">
    <w:p w:rsidR="00D401CA" w:rsidRDefault="00D401C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10AA2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D401CA" w:rsidRPr="00D401CA">
      <w:rPr>
        <w:lang w:val="en-US"/>
      </w:rPr>
      <w:t>12716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D401CA" w:rsidRPr="00D401CA">
      <w:rPr>
        <w:lang w:val="en-US"/>
      </w:rPr>
      <w:t>12716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10AA2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207DF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207DF2" w:rsidRPr="00207DF2">
            <w:rPr>
              <w:lang w:val="en-US"/>
            </w:rPr>
            <w:t>12716</w:t>
          </w:r>
          <w:r w:rsidRPr="001C3ABC">
            <w:rPr>
              <w:lang w:val="en-US"/>
            </w:rPr>
            <w:t xml:space="preserve"> </w:t>
          </w:r>
          <w:r w:rsidR="00207DF2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207DF2">
            <w:rPr>
              <w:lang w:val="en-US"/>
            </w:rPr>
            <w:t xml:space="preserve">  120816  120816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207DF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SG/2016/1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6/1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207DF2" w:rsidRDefault="00207DF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07D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07D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07D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07D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07D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207D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07D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07D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07DF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CA" w:rsidRPr="009141DC" w:rsidRDefault="00D401C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401CA" w:rsidRPr="00D1261C" w:rsidRDefault="00D401C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07DF2" w:rsidRPr="008F05E0" w:rsidRDefault="00207DF2" w:rsidP="004C2E7F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4251F8" w:rsidRPr="004251F8">
        <w:rPr>
          <w:lang w:val="ru-RU"/>
        </w:rPr>
        <w:br/>
      </w:r>
      <w:r>
        <w:rPr>
          <w:lang w:val="ru-RU"/>
        </w:rPr>
        <w:t>на</w:t>
      </w:r>
      <w:r w:rsidR="008F05E0" w:rsidRPr="008F05E0">
        <w:rPr>
          <w:lang w:val="ru-RU"/>
        </w:rPr>
        <w:t xml:space="preserve"> </w:t>
      </w:r>
      <w:r>
        <w:rPr>
          <w:lang w:val="ru-RU"/>
        </w:rPr>
        <w:t>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D401CA" w:rsidRPr="00D401CA">
      <w:rPr>
        <w:lang w:val="en-US"/>
      </w:rPr>
      <w:t>TRANS/WP.29/GRSG/2016/16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D401CA" w:rsidRPr="00D401CA">
      <w:rPr>
        <w:lang w:val="en-US"/>
      </w:rPr>
      <w:t>TRANS/WP.29/GRSG/2016/16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CA" w:rsidRDefault="00D401CA" w:rsidP="00D401C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CA"/>
    <w:rsid w:val="00003255"/>
    <w:rsid w:val="000450D1"/>
    <w:rsid w:val="000B1FD5"/>
    <w:rsid w:val="000F2A4F"/>
    <w:rsid w:val="00171416"/>
    <w:rsid w:val="00177DFE"/>
    <w:rsid w:val="00203F84"/>
    <w:rsid w:val="00207DF2"/>
    <w:rsid w:val="00237216"/>
    <w:rsid w:val="00242805"/>
    <w:rsid w:val="0027145A"/>
    <w:rsid w:val="00275188"/>
    <w:rsid w:val="0028687D"/>
    <w:rsid w:val="002B091C"/>
    <w:rsid w:val="002B3D40"/>
    <w:rsid w:val="002D0CCB"/>
    <w:rsid w:val="00345C79"/>
    <w:rsid w:val="003551F2"/>
    <w:rsid w:val="00366A39"/>
    <w:rsid w:val="003918C9"/>
    <w:rsid w:val="004251F8"/>
    <w:rsid w:val="00445D5A"/>
    <w:rsid w:val="0048005C"/>
    <w:rsid w:val="00486AE6"/>
    <w:rsid w:val="004C2E7F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10AA2"/>
    <w:rsid w:val="00743F62"/>
    <w:rsid w:val="00760D3A"/>
    <w:rsid w:val="00773BA8"/>
    <w:rsid w:val="007A1F42"/>
    <w:rsid w:val="007D76DD"/>
    <w:rsid w:val="00823144"/>
    <w:rsid w:val="008717E8"/>
    <w:rsid w:val="008D01AE"/>
    <w:rsid w:val="008E0423"/>
    <w:rsid w:val="008F05E0"/>
    <w:rsid w:val="008F342B"/>
    <w:rsid w:val="009141DC"/>
    <w:rsid w:val="009174A1"/>
    <w:rsid w:val="00967EBE"/>
    <w:rsid w:val="0098674D"/>
    <w:rsid w:val="00997ACA"/>
    <w:rsid w:val="00A03FB7"/>
    <w:rsid w:val="00A315DE"/>
    <w:rsid w:val="00A55C56"/>
    <w:rsid w:val="00A658DB"/>
    <w:rsid w:val="00A75A11"/>
    <w:rsid w:val="00A9606E"/>
    <w:rsid w:val="00AD7EAD"/>
    <w:rsid w:val="00B35A32"/>
    <w:rsid w:val="00B432C6"/>
    <w:rsid w:val="00B471C5"/>
    <w:rsid w:val="00B47C3C"/>
    <w:rsid w:val="00B6474A"/>
    <w:rsid w:val="00B73E35"/>
    <w:rsid w:val="00BE1742"/>
    <w:rsid w:val="00C77D6A"/>
    <w:rsid w:val="00D1261C"/>
    <w:rsid w:val="00D26030"/>
    <w:rsid w:val="00D401CA"/>
    <w:rsid w:val="00D75DCE"/>
    <w:rsid w:val="00DB27C2"/>
    <w:rsid w:val="00DD35AC"/>
    <w:rsid w:val="00DD479F"/>
    <w:rsid w:val="00E15E48"/>
    <w:rsid w:val="00E632C1"/>
    <w:rsid w:val="00EB0723"/>
    <w:rsid w:val="00EB2957"/>
    <w:rsid w:val="00EE6F37"/>
    <w:rsid w:val="00F1599F"/>
    <w:rsid w:val="00F31EF2"/>
    <w:rsid w:val="00FC3337"/>
    <w:rsid w:val="00F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A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A2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15D3-A47E-4D98-AF2F-6801B2A0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5783</Characters>
  <Application>Microsoft Office Word</Application>
  <DocSecurity>4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Benedicte Boudol</cp:lastModifiedBy>
  <cp:revision>2</cp:revision>
  <cp:lastPrinted>2016-08-12T15:25:00Z</cp:lastPrinted>
  <dcterms:created xsi:type="dcterms:W3CDTF">2016-09-06T14:29:00Z</dcterms:created>
  <dcterms:modified xsi:type="dcterms:W3CDTF">2016-09-06T14:29:00Z</dcterms:modified>
</cp:coreProperties>
</file>