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347F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347F2" w:rsidP="001347F2">
            <w:pPr>
              <w:jc w:val="right"/>
            </w:pPr>
            <w:r w:rsidRPr="001347F2">
              <w:rPr>
                <w:sz w:val="40"/>
              </w:rPr>
              <w:t>ECE</w:t>
            </w:r>
            <w:r>
              <w:t>/TRANS/WP.29/GRSG/2016/11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347F2" w:rsidP="00892A2F">
            <w:pPr>
              <w:spacing w:before="240"/>
            </w:pPr>
            <w:r>
              <w:t>Distr. générale</w:t>
            </w:r>
          </w:p>
          <w:p w:rsidR="001347F2" w:rsidRDefault="001347F2" w:rsidP="001347F2">
            <w:pPr>
              <w:spacing w:line="240" w:lineRule="exact"/>
            </w:pPr>
            <w:r>
              <w:t>11 février 2016</w:t>
            </w:r>
          </w:p>
          <w:p w:rsidR="001347F2" w:rsidRDefault="001347F2" w:rsidP="001347F2">
            <w:pPr>
              <w:spacing w:line="240" w:lineRule="exact"/>
            </w:pPr>
            <w:r>
              <w:t>Français</w:t>
            </w:r>
          </w:p>
          <w:p w:rsidR="001347F2" w:rsidRPr="00DB58B5" w:rsidRDefault="001347F2" w:rsidP="001347F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56D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91829" w:rsidRPr="001347F2" w:rsidRDefault="002F32E3" w:rsidP="001347F2">
      <w:pPr>
        <w:spacing w:before="120"/>
        <w:rPr>
          <w:b/>
          <w:sz w:val="24"/>
          <w:szCs w:val="24"/>
          <w:lang w:bidi="fr-CH"/>
        </w:rPr>
      </w:pPr>
      <w:r w:rsidRPr="001347F2">
        <w:rPr>
          <w:b/>
          <w:sz w:val="24"/>
          <w:szCs w:val="24"/>
          <w:lang w:bidi="fr-CH"/>
        </w:rPr>
        <w:t>Forum mondial de l</w:t>
      </w:r>
      <w:r w:rsidR="00956D01">
        <w:rPr>
          <w:b/>
          <w:sz w:val="24"/>
          <w:szCs w:val="24"/>
          <w:lang w:bidi="fr-CH"/>
        </w:rPr>
        <w:t>’</w:t>
      </w:r>
      <w:r w:rsidRPr="001347F2">
        <w:rPr>
          <w:b/>
          <w:sz w:val="24"/>
          <w:szCs w:val="24"/>
          <w:lang w:bidi="fr-CH"/>
        </w:rPr>
        <w:t>harmonisation</w:t>
      </w:r>
      <w:r w:rsidRPr="001347F2">
        <w:rPr>
          <w:b/>
          <w:sz w:val="24"/>
          <w:szCs w:val="24"/>
          <w:lang w:bidi="fr-CH"/>
        </w:rPr>
        <w:br/>
        <w:t>des Règlements concernant les véhicules</w:t>
      </w:r>
    </w:p>
    <w:p w:rsidR="00F91829" w:rsidRPr="001347F2" w:rsidRDefault="002F32E3" w:rsidP="001347F2">
      <w:pPr>
        <w:spacing w:before="120"/>
        <w:rPr>
          <w:b/>
          <w:lang w:bidi="fr-CH"/>
        </w:rPr>
      </w:pPr>
      <w:r w:rsidRPr="001347F2">
        <w:rPr>
          <w:b/>
          <w:lang w:bidi="fr-CH"/>
        </w:rPr>
        <w:t>Groupe de travail des dispositions générales de sécurité</w:t>
      </w:r>
    </w:p>
    <w:p w:rsidR="00F91829" w:rsidRPr="001347F2" w:rsidRDefault="002F32E3" w:rsidP="001347F2">
      <w:pPr>
        <w:spacing w:before="120"/>
        <w:rPr>
          <w:b/>
          <w:lang w:bidi="fr-CH"/>
        </w:rPr>
      </w:pPr>
      <w:r w:rsidRPr="001347F2">
        <w:rPr>
          <w:b/>
          <w:lang w:bidi="fr-CH"/>
        </w:rPr>
        <w:t>110</w:t>
      </w:r>
      <w:r w:rsidRPr="001347F2">
        <w:rPr>
          <w:b/>
          <w:vertAlign w:val="superscript"/>
          <w:lang w:bidi="fr-CH"/>
        </w:rPr>
        <w:t>e</w:t>
      </w:r>
      <w:r w:rsidRPr="001347F2">
        <w:rPr>
          <w:b/>
          <w:lang w:bidi="fr-CH"/>
        </w:rPr>
        <w:t xml:space="preserve"> session</w:t>
      </w:r>
    </w:p>
    <w:p w:rsidR="00F91829" w:rsidRPr="001347F2" w:rsidRDefault="002F32E3" w:rsidP="001347F2">
      <w:pPr>
        <w:rPr>
          <w:lang w:bidi="fr-CH"/>
        </w:rPr>
      </w:pPr>
      <w:r w:rsidRPr="001347F2">
        <w:rPr>
          <w:lang w:bidi="fr-CH"/>
        </w:rPr>
        <w:t>Genève, 26-29 avril 2016</w:t>
      </w:r>
    </w:p>
    <w:p w:rsidR="00F91829" w:rsidRPr="001347F2" w:rsidRDefault="002F32E3" w:rsidP="001347F2">
      <w:pPr>
        <w:rPr>
          <w:lang w:bidi="fr-CH"/>
        </w:rPr>
      </w:pPr>
      <w:r w:rsidRPr="001347F2">
        <w:rPr>
          <w:lang w:bidi="fr-CH"/>
        </w:rPr>
        <w:t>Point 8 de l</w:t>
      </w:r>
      <w:r w:rsidR="00956D01">
        <w:rPr>
          <w:lang w:bidi="fr-CH"/>
        </w:rPr>
        <w:t>’</w:t>
      </w:r>
      <w:r w:rsidRPr="001347F2">
        <w:rPr>
          <w:lang w:bidi="fr-CH"/>
        </w:rPr>
        <w:t>ordre du jour provisoire</w:t>
      </w:r>
    </w:p>
    <w:p w:rsidR="00F91829" w:rsidRPr="001347F2" w:rsidRDefault="002F32E3" w:rsidP="001347F2">
      <w:pPr>
        <w:rPr>
          <w:b/>
          <w:lang w:bidi="fr-CH"/>
        </w:rPr>
      </w:pPr>
      <w:r w:rsidRPr="001347F2">
        <w:rPr>
          <w:b/>
          <w:lang w:bidi="fr-CH"/>
        </w:rPr>
        <w:t>Règlement n</w:t>
      </w:r>
      <w:r w:rsidR="001347F2" w:rsidRPr="001347F2">
        <w:rPr>
          <w:b/>
          <w:vertAlign w:val="superscript"/>
          <w:lang w:bidi="fr-CH"/>
        </w:rPr>
        <w:t>o</w:t>
      </w:r>
      <w:r w:rsidR="001347F2">
        <w:rPr>
          <w:b/>
          <w:lang w:bidi="fr-CH"/>
        </w:rPr>
        <w:t> </w:t>
      </w:r>
      <w:r w:rsidRPr="001347F2">
        <w:rPr>
          <w:b/>
          <w:lang w:bidi="fr-CH"/>
        </w:rPr>
        <w:t xml:space="preserve">66 (Résistance </w:t>
      </w:r>
      <w:r w:rsidRPr="001347F2">
        <w:rPr>
          <w:b/>
          <w:lang w:bidi="fr-CH"/>
        </w:rPr>
        <w:t>de la superstructure (autobus))</w:t>
      </w:r>
    </w:p>
    <w:p w:rsidR="00F91829" w:rsidRPr="001347F2" w:rsidRDefault="002F32E3" w:rsidP="001347F2">
      <w:pPr>
        <w:pStyle w:val="HChG"/>
        <w:rPr>
          <w:lang w:bidi="fr-CH"/>
        </w:rPr>
      </w:pPr>
      <w:r w:rsidRPr="001347F2">
        <w:rPr>
          <w:lang w:bidi="fr-CH"/>
        </w:rPr>
        <w:tab/>
      </w:r>
      <w:r w:rsidRPr="001347F2">
        <w:rPr>
          <w:lang w:bidi="fr-CH"/>
        </w:rPr>
        <w:tab/>
        <w:t>Proposition de série 02 d</w:t>
      </w:r>
      <w:r w:rsidR="00956D01">
        <w:rPr>
          <w:lang w:bidi="fr-CH"/>
        </w:rPr>
        <w:t>’</w:t>
      </w:r>
      <w:r w:rsidRPr="001347F2">
        <w:rPr>
          <w:lang w:bidi="fr-CH"/>
        </w:rPr>
        <w:t>amendements au</w:t>
      </w:r>
      <w:r w:rsidR="001347F2">
        <w:rPr>
          <w:lang w:bidi="fr-CH"/>
        </w:rPr>
        <w:t xml:space="preserve"> </w:t>
      </w:r>
      <w:r w:rsidRPr="001347F2">
        <w:rPr>
          <w:lang w:bidi="fr-CH"/>
        </w:rPr>
        <w:t>Règlement n</w:t>
      </w:r>
      <w:r w:rsidR="001347F2" w:rsidRPr="001347F2">
        <w:rPr>
          <w:vertAlign w:val="superscript"/>
          <w:lang w:bidi="fr-CH"/>
        </w:rPr>
        <w:t>o</w:t>
      </w:r>
      <w:r w:rsidR="001347F2">
        <w:rPr>
          <w:lang w:bidi="fr-CH"/>
        </w:rPr>
        <w:t> </w:t>
      </w:r>
      <w:r w:rsidRPr="001347F2">
        <w:rPr>
          <w:lang w:bidi="fr-CH"/>
        </w:rPr>
        <w:t>66 (Résistance de la superstructure (autobus))</w:t>
      </w:r>
    </w:p>
    <w:p w:rsidR="00F91829" w:rsidRPr="001347F2" w:rsidRDefault="001347F2" w:rsidP="001347F2">
      <w:pPr>
        <w:pStyle w:val="H1G"/>
        <w:rPr>
          <w:lang w:bidi="fr-CH"/>
        </w:rPr>
      </w:pPr>
      <w:r>
        <w:rPr>
          <w:lang w:bidi="fr-CH"/>
        </w:rPr>
        <w:tab/>
      </w:r>
      <w:r>
        <w:rPr>
          <w:lang w:bidi="fr-CH"/>
        </w:rPr>
        <w:tab/>
      </w:r>
      <w:r w:rsidR="002F32E3" w:rsidRPr="001347F2">
        <w:rPr>
          <w:lang w:bidi="fr-CH"/>
        </w:rPr>
        <w:t>Communication des experts de l</w:t>
      </w:r>
      <w:r w:rsidR="00956D01">
        <w:rPr>
          <w:lang w:bidi="fr-CH"/>
        </w:rPr>
        <w:t>’</w:t>
      </w:r>
      <w:r w:rsidR="002F32E3" w:rsidRPr="001347F2">
        <w:rPr>
          <w:lang w:bidi="fr-CH"/>
        </w:rPr>
        <w:t xml:space="preserve">Organisation internationale </w:t>
      </w:r>
      <w:r>
        <w:rPr>
          <w:lang w:bidi="fr-CH"/>
        </w:rPr>
        <w:br/>
      </w:r>
      <w:r w:rsidR="002F32E3" w:rsidRPr="001347F2">
        <w:rPr>
          <w:lang w:bidi="fr-CH"/>
        </w:rPr>
        <w:t>des constructeurs d</w:t>
      </w:r>
      <w:r w:rsidR="00956D01">
        <w:rPr>
          <w:lang w:bidi="fr-CH"/>
        </w:rPr>
        <w:t>’</w:t>
      </w:r>
      <w:r w:rsidR="002F32E3" w:rsidRPr="001347F2">
        <w:rPr>
          <w:lang w:bidi="fr-CH"/>
        </w:rPr>
        <w:t>automobiles</w:t>
      </w:r>
      <w:r w:rsidRPr="001347F2">
        <w:rPr>
          <w:rStyle w:val="FootnoteReference"/>
          <w:b w:val="0"/>
          <w:sz w:val="20"/>
          <w:vertAlign w:val="baseline"/>
          <w:lang w:bidi="fr-CH"/>
        </w:rPr>
        <w:footnoteReference w:customMarkFollows="1" w:id="2"/>
        <w:t>*</w:t>
      </w:r>
    </w:p>
    <w:p w:rsidR="00F91829" w:rsidRPr="001347F2" w:rsidRDefault="002F32E3" w:rsidP="001347F2">
      <w:pPr>
        <w:pStyle w:val="SingleTxtG"/>
        <w:ind w:firstLine="567"/>
        <w:rPr>
          <w:lang w:bidi="fr-CH"/>
        </w:rPr>
      </w:pPr>
      <w:r w:rsidRPr="001347F2">
        <w:rPr>
          <w:lang w:bidi="fr-CH"/>
        </w:rPr>
        <w:t>Le texte reproduit ci-aprè</w:t>
      </w:r>
      <w:r w:rsidRPr="001347F2">
        <w:rPr>
          <w:lang w:bidi="fr-CH"/>
        </w:rPr>
        <w:t>s, établi par les experts de l</w:t>
      </w:r>
      <w:r w:rsidR="00956D01">
        <w:rPr>
          <w:lang w:bidi="fr-CH"/>
        </w:rPr>
        <w:t>’</w:t>
      </w:r>
      <w:r w:rsidRPr="001347F2">
        <w:rPr>
          <w:lang w:bidi="fr-CH"/>
        </w:rPr>
        <w:t>Organisation internationale des constructeurs d</w:t>
      </w:r>
      <w:r w:rsidR="00956D01">
        <w:rPr>
          <w:lang w:bidi="fr-CH"/>
        </w:rPr>
        <w:t>’</w:t>
      </w:r>
      <w:r w:rsidRPr="001347F2">
        <w:rPr>
          <w:lang w:bidi="fr-CH"/>
        </w:rPr>
        <w:t xml:space="preserve">automobiles (OICA), vise à modifier les dispositions du Règlement ONU </w:t>
      </w:r>
      <w:r w:rsidR="00E61BAF" w:rsidRPr="00E61BAF">
        <w:rPr>
          <w:lang w:bidi="fr-CH"/>
        </w:rPr>
        <w:t>n</w:t>
      </w:r>
      <w:r w:rsidR="00E61BAF" w:rsidRPr="00E61BAF">
        <w:rPr>
          <w:vertAlign w:val="superscript"/>
          <w:lang w:bidi="fr-CH"/>
        </w:rPr>
        <w:t>o</w:t>
      </w:r>
      <w:r w:rsidR="00E61BAF" w:rsidRPr="00E61BAF">
        <w:rPr>
          <w:lang w:bidi="fr-CH"/>
        </w:rPr>
        <w:t> </w:t>
      </w:r>
      <w:r w:rsidRPr="001347F2">
        <w:rPr>
          <w:lang w:bidi="fr-CH"/>
        </w:rPr>
        <w:t>66 en ce qui concerne l</w:t>
      </w:r>
      <w:r w:rsidR="00956D01">
        <w:rPr>
          <w:lang w:bidi="fr-CH"/>
        </w:rPr>
        <w:t>’</w:t>
      </w:r>
      <w:r w:rsidRPr="001347F2">
        <w:rPr>
          <w:lang w:bidi="fr-CH"/>
        </w:rPr>
        <w:t>empi</w:t>
      </w:r>
      <w:r w:rsidR="001347F2">
        <w:rPr>
          <w:lang w:bidi="fr-CH"/>
        </w:rPr>
        <w:t>é</w:t>
      </w:r>
      <w:r w:rsidRPr="001347F2">
        <w:rPr>
          <w:lang w:bidi="fr-CH"/>
        </w:rPr>
        <w:t>tement sur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survie. Les modifications qu</w:t>
      </w:r>
      <w:r w:rsidR="00956D01">
        <w:rPr>
          <w:lang w:bidi="fr-CH"/>
        </w:rPr>
        <w:t>’</w:t>
      </w:r>
      <w:r w:rsidRPr="001347F2">
        <w:rPr>
          <w:lang w:bidi="fr-CH"/>
        </w:rPr>
        <w:t>il est proposé d</w:t>
      </w:r>
      <w:r w:rsidR="00956D01">
        <w:rPr>
          <w:lang w:bidi="fr-CH"/>
        </w:rPr>
        <w:t>’</w:t>
      </w:r>
      <w:r w:rsidRPr="001347F2">
        <w:rPr>
          <w:lang w:bidi="fr-CH"/>
        </w:rPr>
        <w:t>apporter au texte actuel du Règlement sont signalées en caractères gras pour les ajouts.</w:t>
      </w:r>
    </w:p>
    <w:p w:rsidR="00F91829" w:rsidRPr="001347F2" w:rsidRDefault="001347F2" w:rsidP="001347F2">
      <w:pPr>
        <w:pStyle w:val="HChG"/>
        <w:rPr>
          <w:lang w:bidi="fr-CH"/>
        </w:rPr>
      </w:pPr>
      <w:r>
        <w:br w:type="page"/>
      </w:r>
      <w:r>
        <w:lastRenderedPageBreak/>
        <w:tab/>
      </w:r>
      <w:r w:rsidR="002F32E3" w:rsidRPr="001347F2">
        <w:rPr>
          <w:lang w:bidi="fr-CH"/>
        </w:rPr>
        <w:t>I.</w:t>
      </w:r>
      <w:r w:rsidR="002F32E3" w:rsidRPr="001347F2">
        <w:rPr>
          <w:lang w:bidi="fr-CH"/>
        </w:rPr>
        <w:tab/>
        <w:t>Proposition</w:t>
      </w:r>
    </w:p>
    <w:p w:rsidR="00F91829" w:rsidRPr="001347F2" w:rsidRDefault="002F32E3" w:rsidP="001347F2">
      <w:pPr>
        <w:pStyle w:val="SingleTxtG"/>
        <w:rPr>
          <w:lang w:bidi="fr-CH"/>
        </w:rPr>
      </w:pPr>
      <w:r w:rsidRPr="001347F2">
        <w:rPr>
          <w:i/>
          <w:lang w:bidi="fr-CH"/>
        </w:rPr>
        <w:t>Paragraphe 5.1.1</w:t>
      </w:r>
      <w:r w:rsidRPr="001347F2">
        <w:rPr>
          <w:lang w:bidi="fr-CH"/>
        </w:rPr>
        <w:t>,</w:t>
      </w:r>
      <w:r w:rsidRPr="001347F2">
        <w:rPr>
          <w:i/>
          <w:lang w:bidi="fr-CH"/>
        </w:rPr>
        <w:t xml:space="preserve"> </w:t>
      </w:r>
      <w:r w:rsidRPr="001347F2">
        <w:rPr>
          <w:lang w:bidi="fr-CH"/>
        </w:rPr>
        <w:t>modifier comme suit</w:t>
      </w:r>
      <w:r w:rsidR="00956D01">
        <w:rPr>
          <w:lang w:bidi="fr-CH"/>
        </w:rPr>
        <w:t> </w:t>
      </w:r>
      <w:r w:rsidRPr="001347F2">
        <w:rPr>
          <w:lang w:bidi="fr-CH"/>
        </w:rPr>
        <w:t>:</w:t>
      </w:r>
    </w:p>
    <w:p w:rsidR="00F91829" w:rsidRPr="001347F2" w:rsidRDefault="002F32E3" w:rsidP="00956D01">
      <w:pPr>
        <w:pStyle w:val="SingleTxtG"/>
        <w:ind w:left="2268" w:hanging="1134"/>
        <w:rPr>
          <w:lang w:bidi="fr-CH"/>
        </w:rPr>
      </w:pPr>
      <w:r w:rsidRPr="001347F2">
        <w:rPr>
          <w:lang w:bidi="fr-CH"/>
        </w:rPr>
        <w:t>«</w:t>
      </w:r>
      <w:r w:rsidR="00956D01">
        <w:rPr>
          <w:lang w:bidi="fr-CH"/>
        </w:rPr>
        <w:t> </w:t>
      </w:r>
      <w:r w:rsidRPr="001347F2">
        <w:rPr>
          <w:lang w:bidi="fr-CH"/>
        </w:rPr>
        <w:t>5.1.1</w:t>
      </w:r>
      <w:r w:rsidRPr="001347F2">
        <w:rPr>
          <w:lang w:bidi="fr-CH"/>
        </w:rPr>
        <w:tab/>
        <w:t>Qu</w:t>
      </w:r>
      <w:r w:rsidR="00956D01">
        <w:rPr>
          <w:lang w:bidi="fr-CH"/>
        </w:rPr>
        <w:t>’</w:t>
      </w:r>
      <w:r w:rsidRPr="001347F2">
        <w:rPr>
          <w:lang w:bidi="fr-CH"/>
        </w:rPr>
        <w:t>aucune partie du véhicule située en dehors de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au début de l</w:t>
      </w:r>
      <w:r w:rsidR="00956D01">
        <w:rPr>
          <w:lang w:bidi="fr-CH"/>
        </w:rPr>
        <w:t>’</w:t>
      </w:r>
      <w:r w:rsidRPr="001347F2">
        <w:rPr>
          <w:lang w:bidi="fr-CH"/>
        </w:rPr>
        <w:t>essai (montants, arc</w:t>
      </w:r>
      <w:r w:rsidRPr="001347F2">
        <w:rPr>
          <w:lang w:bidi="fr-CH"/>
        </w:rPr>
        <w:t>eaux de sécurité, porte bagage) ne doit empiéter sur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pendant l</w:t>
      </w:r>
      <w:r w:rsidR="00956D01">
        <w:rPr>
          <w:lang w:bidi="fr-CH"/>
        </w:rPr>
        <w:t>’</w:t>
      </w:r>
      <w:r w:rsidRPr="001347F2">
        <w:rPr>
          <w:lang w:bidi="fr-CH"/>
        </w:rPr>
        <w:t>essai. Les parties de la structure situées à l</w:t>
      </w:r>
      <w:r w:rsidR="00956D01">
        <w:rPr>
          <w:lang w:bidi="fr-CH"/>
        </w:rPr>
        <w:t>’</w:t>
      </w:r>
      <w:r w:rsidRPr="001347F2">
        <w:rPr>
          <w:lang w:bidi="fr-CH"/>
        </w:rPr>
        <w:t>origine dans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(barres de maintien verticales, cloisons, cuisinettes, toilettes) ne seront pas prises en compt</w:t>
      </w:r>
      <w:r w:rsidRPr="001347F2">
        <w:rPr>
          <w:lang w:bidi="fr-CH"/>
        </w:rPr>
        <w:t>e lors de l</w:t>
      </w:r>
      <w:r w:rsidR="00956D01">
        <w:rPr>
          <w:lang w:bidi="fr-CH"/>
        </w:rPr>
        <w:t>’</w:t>
      </w:r>
      <w:r w:rsidRPr="001347F2">
        <w:rPr>
          <w:lang w:bidi="fr-CH"/>
        </w:rPr>
        <w:t>évaluation des intrusions dans l</w:t>
      </w:r>
      <w:r w:rsidR="00956D01">
        <w:rPr>
          <w:lang w:bidi="fr-CH"/>
        </w:rPr>
        <w:t>’</w:t>
      </w:r>
      <w:r w:rsidRPr="001347F2">
        <w:rPr>
          <w:lang w:bidi="fr-CH"/>
        </w:rPr>
        <w:t xml:space="preserve">espace de survie. </w:t>
      </w:r>
      <w:r w:rsidRPr="001347F2">
        <w:rPr>
          <w:b/>
          <w:lang w:bidi="fr-CH"/>
        </w:rPr>
        <w:t>Les poignées et barres de maintien qui empiètent sur l</w:t>
      </w:r>
      <w:r w:rsidR="00956D01">
        <w:rPr>
          <w:b/>
          <w:lang w:bidi="fr-CH"/>
        </w:rPr>
        <w:t>’</w:t>
      </w:r>
      <w:r w:rsidRPr="001347F2">
        <w:rPr>
          <w:b/>
          <w:lang w:bidi="fr-CH"/>
        </w:rPr>
        <w:t>espace de survie mais sont situées à côté d</w:t>
      </w:r>
      <w:r w:rsidR="00956D01">
        <w:rPr>
          <w:b/>
          <w:lang w:bidi="fr-CH"/>
        </w:rPr>
        <w:t>’</w:t>
      </w:r>
      <w:r w:rsidRPr="001347F2">
        <w:rPr>
          <w:b/>
          <w:lang w:bidi="fr-CH"/>
        </w:rPr>
        <w:t>une porte de service ou dans un espace vide dans lequel elles ne sont pas susceptibles de gêne</w:t>
      </w:r>
      <w:r w:rsidRPr="001347F2">
        <w:rPr>
          <w:b/>
          <w:lang w:bidi="fr-CH"/>
        </w:rPr>
        <w:t>r les passagers ne seront pas non plus prises en compte.</w:t>
      </w:r>
      <w:r w:rsidRPr="00956D01">
        <w:rPr>
          <w:lang w:bidi="fr-CH"/>
        </w:rPr>
        <w:t>»</w:t>
      </w:r>
      <w:r w:rsidR="00956D01" w:rsidRPr="00956D01">
        <w:rPr>
          <w:lang w:bidi="fr-CH"/>
        </w:rPr>
        <w:t>.</w:t>
      </w:r>
    </w:p>
    <w:p w:rsidR="00F91829" w:rsidRPr="001347F2" w:rsidRDefault="002F32E3" w:rsidP="00956D01">
      <w:pPr>
        <w:pStyle w:val="HChG"/>
        <w:rPr>
          <w:lang w:bidi="fr-CH"/>
        </w:rPr>
      </w:pPr>
      <w:r w:rsidRPr="001347F2">
        <w:rPr>
          <w:lang w:bidi="fr-CH"/>
        </w:rPr>
        <w:tab/>
        <w:t>II.</w:t>
      </w:r>
      <w:r w:rsidRPr="001347F2">
        <w:rPr>
          <w:lang w:bidi="fr-CH"/>
        </w:rPr>
        <w:tab/>
        <w:t>Justification</w:t>
      </w:r>
    </w:p>
    <w:p w:rsidR="00F91829" w:rsidRPr="001347F2" w:rsidRDefault="002F32E3" w:rsidP="00956D01">
      <w:pPr>
        <w:pStyle w:val="SingleTxtG"/>
        <w:rPr>
          <w:lang w:bidi="fr-CH"/>
        </w:rPr>
      </w:pPr>
      <w:r w:rsidRPr="001347F2">
        <w:rPr>
          <w:lang w:bidi="fr-CH"/>
        </w:rPr>
        <w:t>1.</w:t>
      </w:r>
      <w:r w:rsidRPr="001347F2">
        <w:rPr>
          <w:lang w:bidi="fr-CH"/>
        </w:rPr>
        <w:tab/>
        <w:t>Il convient d</w:t>
      </w:r>
      <w:r w:rsidR="00956D01">
        <w:rPr>
          <w:lang w:bidi="fr-CH"/>
        </w:rPr>
        <w:t>’</w:t>
      </w:r>
      <w:r w:rsidRPr="001347F2">
        <w:rPr>
          <w:lang w:bidi="fr-CH"/>
        </w:rPr>
        <w:t>effectuer un essai de renversement accompagné d</w:t>
      </w:r>
      <w:r w:rsidR="00956D01">
        <w:rPr>
          <w:lang w:bidi="fr-CH"/>
        </w:rPr>
        <w:t>’</w:t>
      </w:r>
      <w:r w:rsidRPr="001347F2">
        <w:rPr>
          <w:lang w:bidi="fr-CH"/>
        </w:rPr>
        <w:t>une analyse technique assistée par ordinateur afin d</w:t>
      </w:r>
      <w:r w:rsidR="00956D01">
        <w:rPr>
          <w:lang w:bidi="fr-CH"/>
        </w:rPr>
        <w:t>’</w:t>
      </w:r>
      <w:r w:rsidRPr="001347F2">
        <w:rPr>
          <w:lang w:bidi="fr-CH"/>
        </w:rPr>
        <w:t>apprécier la résistance de la superstructure des autobus des</w:t>
      </w:r>
      <w:r w:rsidRPr="001347F2">
        <w:rPr>
          <w:lang w:bidi="fr-CH"/>
        </w:rPr>
        <w:t xml:space="preserve"> catégories M</w:t>
      </w:r>
      <w:r w:rsidRPr="001347F2">
        <w:rPr>
          <w:vertAlign w:val="subscript"/>
          <w:lang w:bidi="fr-CH"/>
        </w:rPr>
        <w:t>2</w:t>
      </w:r>
      <w:r w:rsidRPr="001347F2">
        <w:rPr>
          <w:lang w:bidi="fr-CH"/>
        </w:rPr>
        <w:t xml:space="preserve"> et M</w:t>
      </w:r>
      <w:r w:rsidRPr="001347F2">
        <w:rPr>
          <w:vertAlign w:val="subscript"/>
          <w:lang w:bidi="fr-CH"/>
        </w:rPr>
        <w:t>3</w:t>
      </w:r>
      <w:r w:rsidRPr="001347F2">
        <w:rPr>
          <w:lang w:bidi="fr-CH"/>
        </w:rPr>
        <w:t>.</w:t>
      </w:r>
    </w:p>
    <w:p w:rsidR="00F91829" w:rsidRPr="001347F2" w:rsidRDefault="002F32E3" w:rsidP="001347F2">
      <w:pPr>
        <w:pStyle w:val="SingleTxtG"/>
        <w:rPr>
          <w:lang w:bidi="fr-CH"/>
        </w:rPr>
      </w:pPr>
      <w:r w:rsidRPr="001347F2">
        <w:rPr>
          <w:lang w:bidi="fr-CH"/>
        </w:rPr>
        <w:t>2.</w:t>
      </w:r>
      <w:r w:rsidRPr="001347F2">
        <w:rPr>
          <w:lang w:bidi="fr-CH"/>
        </w:rPr>
        <w:tab/>
        <w:t>À l</w:t>
      </w:r>
      <w:r w:rsidR="00956D01">
        <w:rPr>
          <w:lang w:bidi="fr-CH"/>
        </w:rPr>
        <w:t>’</w:t>
      </w:r>
      <w:r w:rsidRPr="001347F2">
        <w:rPr>
          <w:lang w:bidi="fr-CH"/>
        </w:rPr>
        <w:t>issue de l</w:t>
      </w:r>
      <w:r w:rsidR="00956D01">
        <w:rPr>
          <w:lang w:bidi="fr-CH"/>
        </w:rPr>
        <w:t>’</w:t>
      </w:r>
      <w:r w:rsidRPr="001347F2">
        <w:rPr>
          <w:lang w:bidi="fr-CH"/>
        </w:rPr>
        <w:t>essai, aucune partie constitutive de la structure extérieure ou qui lui est fixée ne doit empiéter sur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prédéfini dans l</w:t>
      </w:r>
      <w:r w:rsidR="00956D01">
        <w:rPr>
          <w:lang w:bidi="fr-CH"/>
        </w:rPr>
        <w:t>’</w:t>
      </w:r>
      <w:r w:rsidRPr="001347F2">
        <w:rPr>
          <w:lang w:bidi="fr-CH"/>
        </w:rPr>
        <w:t>habitacle. Les parties situées à l</w:t>
      </w:r>
      <w:r w:rsidR="00956D01">
        <w:rPr>
          <w:lang w:bidi="fr-CH"/>
        </w:rPr>
        <w:t>’</w:t>
      </w:r>
      <w:r w:rsidRPr="001347F2">
        <w:rPr>
          <w:lang w:bidi="fr-CH"/>
        </w:rPr>
        <w:t>intérieur de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avant l</w:t>
      </w:r>
      <w:r w:rsidR="00956D01">
        <w:rPr>
          <w:lang w:bidi="fr-CH"/>
        </w:rPr>
        <w:t>’</w:t>
      </w:r>
      <w:r w:rsidRPr="001347F2">
        <w:rPr>
          <w:lang w:bidi="fr-CH"/>
        </w:rPr>
        <w:t>essai ne sont pas visées par cette obligation.</w:t>
      </w:r>
    </w:p>
    <w:p w:rsidR="00F91829" w:rsidRPr="001347F2" w:rsidRDefault="002F32E3" w:rsidP="001347F2">
      <w:pPr>
        <w:pStyle w:val="SingleTxtG"/>
        <w:rPr>
          <w:lang w:bidi="fr-CH"/>
        </w:rPr>
      </w:pPr>
      <w:r w:rsidRPr="001347F2">
        <w:rPr>
          <w:lang w:bidi="fr-CH"/>
        </w:rPr>
        <w:t>3.</w:t>
      </w:r>
      <w:r w:rsidRPr="001347F2">
        <w:rPr>
          <w:lang w:bidi="fr-CH"/>
        </w:rPr>
        <w:tab/>
        <w:t>Il pourrait arriver qu</w:t>
      </w:r>
      <w:r w:rsidR="00956D01">
        <w:rPr>
          <w:lang w:bidi="fr-CH"/>
        </w:rPr>
        <w:t>’</w:t>
      </w:r>
      <w:r w:rsidRPr="001347F2">
        <w:rPr>
          <w:lang w:bidi="fr-CH"/>
        </w:rPr>
        <w:t>un élément monté à l</w:t>
      </w:r>
      <w:r w:rsidR="00956D01">
        <w:rPr>
          <w:lang w:bidi="fr-CH"/>
        </w:rPr>
        <w:t>’</w:t>
      </w:r>
      <w:r w:rsidRPr="001347F2">
        <w:rPr>
          <w:lang w:bidi="fr-CH"/>
        </w:rPr>
        <w:t>extérieur du véhicule et situé hors de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mais à proximité immédiate, en particulier les barres de maintien figurant sur les images ci-dessous, em</w:t>
      </w:r>
      <w:r w:rsidRPr="001347F2">
        <w:rPr>
          <w:lang w:bidi="fr-CH"/>
        </w:rPr>
        <w:t>piète sur l</w:t>
      </w:r>
      <w:r w:rsidR="00956D01">
        <w:rPr>
          <w:lang w:bidi="fr-CH"/>
        </w:rPr>
        <w:t>’</w:t>
      </w:r>
      <w:r w:rsidRPr="001347F2">
        <w:rPr>
          <w:lang w:bidi="fr-CH"/>
        </w:rPr>
        <w:t>espace de survie pendant l</w:t>
      </w:r>
      <w:r w:rsidR="00956D01">
        <w:rPr>
          <w:lang w:bidi="fr-CH"/>
        </w:rPr>
        <w:t>’</w:t>
      </w:r>
      <w:r w:rsidRPr="001347F2">
        <w:rPr>
          <w:lang w:bidi="fr-CH"/>
        </w:rPr>
        <w:t>essai de retournement. Si la présence d</w:t>
      </w:r>
      <w:r w:rsidR="00956D01">
        <w:rPr>
          <w:lang w:bidi="fr-CH"/>
        </w:rPr>
        <w:t>’</w:t>
      </w:r>
      <w:r w:rsidRPr="001347F2">
        <w:rPr>
          <w:lang w:bidi="fr-CH"/>
        </w:rPr>
        <w:t>un tel élément à proximité d</w:t>
      </w:r>
      <w:r w:rsidR="00956D01">
        <w:rPr>
          <w:lang w:bidi="fr-CH"/>
        </w:rPr>
        <w:t>’</w:t>
      </w:r>
      <w:r w:rsidRPr="001347F2">
        <w:rPr>
          <w:lang w:bidi="fr-CH"/>
        </w:rPr>
        <w:t>un espace occupé (comme un siège) peut poser problème, en revanche, l</w:t>
      </w:r>
      <w:r w:rsidR="00956D01">
        <w:rPr>
          <w:lang w:bidi="fr-CH"/>
        </w:rPr>
        <w:t>’</w:t>
      </w:r>
      <w:r w:rsidRPr="001347F2">
        <w:rPr>
          <w:lang w:bidi="fr-CH"/>
        </w:rPr>
        <w:t>empi</w:t>
      </w:r>
      <w:r w:rsidR="00956D01">
        <w:rPr>
          <w:lang w:bidi="fr-CH"/>
        </w:rPr>
        <w:t>é</w:t>
      </w:r>
      <w:r w:rsidRPr="001347F2">
        <w:rPr>
          <w:lang w:bidi="fr-CH"/>
        </w:rPr>
        <w:t>tement sur une zone de l</w:t>
      </w:r>
      <w:r w:rsidR="00956D01">
        <w:rPr>
          <w:lang w:bidi="fr-CH"/>
        </w:rPr>
        <w:t>’</w:t>
      </w:r>
      <w:r w:rsidRPr="001347F2">
        <w:rPr>
          <w:lang w:bidi="fr-CH"/>
        </w:rPr>
        <w:t xml:space="preserve">espace de survie dans laquelle les passagers ne </w:t>
      </w:r>
      <w:r w:rsidRPr="001347F2">
        <w:rPr>
          <w:lang w:bidi="fr-CH"/>
        </w:rPr>
        <w:t>sont pas censés se trouver (par exemple, la zone d</w:t>
      </w:r>
      <w:r w:rsidR="00956D01">
        <w:rPr>
          <w:lang w:bidi="fr-CH"/>
        </w:rPr>
        <w:t>’</w:t>
      </w:r>
      <w:r w:rsidRPr="001347F2">
        <w:rPr>
          <w:lang w:bidi="fr-CH"/>
        </w:rPr>
        <w:t>entrée de l</w:t>
      </w:r>
      <w:r w:rsidR="00956D01">
        <w:rPr>
          <w:lang w:bidi="fr-CH"/>
        </w:rPr>
        <w:t>’</w:t>
      </w:r>
      <w:r w:rsidRPr="001347F2">
        <w:rPr>
          <w:lang w:bidi="fr-CH"/>
        </w:rPr>
        <w:t>autobus représentée ci-dessous, qui est destinée exclusivement aux passagers assis) n</w:t>
      </w:r>
      <w:r w:rsidR="00956D01">
        <w:rPr>
          <w:lang w:bidi="fr-CH"/>
        </w:rPr>
        <w:t>’</w:t>
      </w:r>
      <w:r w:rsidRPr="001347F2">
        <w:rPr>
          <w:lang w:bidi="fr-CH"/>
        </w:rPr>
        <w:t>est pas considéré comme problématique. Le Règlement ONU</w:t>
      </w:r>
      <w:r w:rsidR="00956D01">
        <w:rPr>
          <w:lang w:bidi="fr-CH"/>
        </w:rPr>
        <w:t xml:space="preserve"> </w:t>
      </w:r>
      <w:r w:rsidR="00E61BAF" w:rsidRPr="00E61BAF">
        <w:rPr>
          <w:lang w:bidi="fr-CH"/>
        </w:rPr>
        <w:t>n</w:t>
      </w:r>
      <w:r w:rsidR="00E61BAF" w:rsidRPr="00E61BAF">
        <w:rPr>
          <w:vertAlign w:val="superscript"/>
          <w:lang w:bidi="fr-CH"/>
        </w:rPr>
        <w:t>o</w:t>
      </w:r>
      <w:r w:rsidR="00E61BAF" w:rsidRPr="00E61BAF">
        <w:rPr>
          <w:lang w:bidi="fr-CH"/>
        </w:rPr>
        <w:t> </w:t>
      </w:r>
      <w:r w:rsidRPr="001347F2">
        <w:rPr>
          <w:lang w:bidi="fr-CH"/>
        </w:rPr>
        <w:t>107 permet de fixer ce type de barres de maintie</w:t>
      </w:r>
      <w:r w:rsidRPr="001347F2">
        <w:rPr>
          <w:lang w:bidi="fr-CH"/>
        </w:rPr>
        <w:t>n à l</w:t>
      </w:r>
      <w:r w:rsidR="00956D01">
        <w:rPr>
          <w:lang w:bidi="fr-CH"/>
        </w:rPr>
        <w:t>’</w:t>
      </w:r>
      <w:r w:rsidRPr="001347F2">
        <w:rPr>
          <w:lang w:bidi="fr-CH"/>
        </w:rPr>
        <w:t>extérieur de l</w:t>
      </w:r>
      <w:r w:rsidR="00956D01">
        <w:rPr>
          <w:lang w:bidi="fr-CH"/>
        </w:rPr>
        <w:t>’</w:t>
      </w:r>
      <w:r w:rsidRPr="001347F2">
        <w:rPr>
          <w:lang w:bidi="fr-CH"/>
        </w:rPr>
        <w:t xml:space="preserve">espace de survie, ce qui reste la solution la plus ergonomique. Il est donc suggéré de modifier le Règlement ONU </w:t>
      </w:r>
      <w:r w:rsidR="00E61BAF" w:rsidRPr="00E61BAF">
        <w:rPr>
          <w:lang w:bidi="fr-CH"/>
        </w:rPr>
        <w:t>n</w:t>
      </w:r>
      <w:r w:rsidR="00E61BAF" w:rsidRPr="00E61BAF">
        <w:rPr>
          <w:vertAlign w:val="superscript"/>
          <w:lang w:bidi="fr-CH"/>
        </w:rPr>
        <w:t>o</w:t>
      </w:r>
      <w:r w:rsidR="00E61BAF" w:rsidRPr="00E61BAF">
        <w:rPr>
          <w:lang w:bidi="fr-CH"/>
        </w:rPr>
        <w:t> </w:t>
      </w:r>
      <w:r w:rsidRPr="001347F2">
        <w:rPr>
          <w:lang w:bidi="fr-CH"/>
        </w:rPr>
        <w:t>66 en conséquence.</w:t>
      </w:r>
    </w:p>
    <w:p w:rsidR="00956D01" w:rsidRDefault="002F32E3" w:rsidP="001347F2">
      <w:pPr>
        <w:pStyle w:val="SingleTxtG"/>
        <w:rPr>
          <w:lang w:bidi="fr-CH"/>
        </w:rPr>
      </w:pPr>
      <w:r w:rsidRPr="001347F2">
        <w:rPr>
          <w:lang w:bidi="fr-CH"/>
        </w:rPr>
        <w:t>4.</w:t>
      </w:r>
      <w:r w:rsidRPr="001347F2">
        <w:rPr>
          <w:lang w:bidi="fr-CH"/>
        </w:rPr>
        <w:tab/>
        <w:t>Les images ci-dessous montrent comment une telle barre de maintien peut être fixée à l</w:t>
      </w:r>
      <w:r w:rsidR="00956D01">
        <w:rPr>
          <w:lang w:bidi="fr-CH"/>
        </w:rPr>
        <w:t>’</w:t>
      </w:r>
      <w:r w:rsidRPr="001347F2">
        <w:rPr>
          <w:lang w:bidi="fr-CH"/>
        </w:rPr>
        <w:t xml:space="preserve">espace de </w:t>
      </w:r>
      <w:r w:rsidRPr="001347F2">
        <w:rPr>
          <w:lang w:bidi="fr-CH"/>
        </w:rPr>
        <w:t>survie avant de procéder à l</w:t>
      </w:r>
      <w:r w:rsidR="00956D01">
        <w:rPr>
          <w:lang w:bidi="fr-CH"/>
        </w:rPr>
        <w:t>’</w:t>
      </w:r>
      <w:r w:rsidRPr="001347F2">
        <w:rPr>
          <w:lang w:bidi="fr-CH"/>
        </w:rPr>
        <w:t>essai</w:t>
      </w:r>
      <w:r w:rsidR="00956D01">
        <w:rPr>
          <w:lang w:bidi="fr-CH"/>
        </w:rPr>
        <w:t>.</w:t>
      </w:r>
    </w:p>
    <w:p w:rsidR="00956D01" w:rsidRPr="00501956" w:rsidRDefault="00956D01" w:rsidP="00EE1781">
      <w:pPr>
        <w:spacing w:after="240"/>
        <w:ind w:left="1134"/>
        <w:rPr>
          <w:noProof/>
          <w:lang w:eastAsia="en-GB"/>
        </w:rPr>
      </w:pPr>
      <w:r>
        <w:rPr>
          <w:lang w:bidi="fr-CH"/>
        </w:rPr>
        <w:br w:type="page"/>
      </w:r>
      <w:r w:rsidRPr="00501956">
        <w:rPr>
          <w:noProof/>
          <w:lang w:val="en-US"/>
        </w:rPr>
        <w:drawing>
          <wp:inline distT="0" distB="0" distL="0" distR="0" wp14:anchorId="7E802C5F" wp14:editId="16334202">
            <wp:extent cx="1820545" cy="3196590"/>
            <wp:effectExtent l="0" t="0" r="8255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FD">
        <w:rPr>
          <w:lang w:bidi="fr-CH"/>
        </w:rPr>
        <w:t xml:space="preserve">  </w:t>
      </w:r>
      <w:r w:rsidRPr="007D5B7F">
        <w:t xml:space="preserve"> </w:t>
      </w:r>
      <w:r w:rsidRPr="00501956">
        <w:rPr>
          <w:noProof/>
          <w:lang w:val="en-US"/>
        </w:rPr>
        <w:drawing>
          <wp:inline distT="0" distB="0" distL="0" distR="0" wp14:anchorId="7729AC42" wp14:editId="14C26341">
            <wp:extent cx="2695575" cy="3196590"/>
            <wp:effectExtent l="0" t="0" r="9525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01" w:rsidRPr="00501956" w:rsidRDefault="00956D01" w:rsidP="00956D01">
      <w:pPr>
        <w:tabs>
          <w:tab w:val="left" w:pos="2160"/>
        </w:tabs>
        <w:spacing w:after="240" w:line="240" w:lineRule="auto"/>
        <w:jc w:val="center"/>
        <w:rPr>
          <w:lang w:eastAsia="ar-SA"/>
        </w:rPr>
      </w:pPr>
      <w:r w:rsidRPr="00501956">
        <w:rPr>
          <w:noProof/>
          <w:lang w:val="en-US"/>
        </w:rPr>
        <w:drawing>
          <wp:inline distT="0" distB="0" distL="0" distR="0" wp14:anchorId="238E9236" wp14:editId="2F8BDF0F">
            <wp:extent cx="3363595" cy="1971675"/>
            <wp:effectExtent l="0" t="0" r="8255" b="9525"/>
            <wp:docPr id="6" name="Picture 9" descr="cid:image002.jpg@01D15DAA.30FFA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5DAA.30FFA9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01" w:rsidRPr="00956D01" w:rsidRDefault="00956D01" w:rsidP="00956D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6D01" w:rsidRPr="00956D01" w:rsidSect="001347F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46" w:rsidRDefault="001F6A46" w:rsidP="00F95C08">
      <w:pPr>
        <w:spacing w:line="240" w:lineRule="auto"/>
      </w:pPr>
    </w:p>
  </w:endnote>
  <w:endnote w:type="continuationSeparator" w:id="0">
    <w:p w:rsidR="001F6A46" w:rsidRPr="00AC3823" w:rsidRDefault="001F6A46" w:rsidP="00AC3823">
      <w:pPr>
        <w:pStyle w:val="Footer"/>
      </w:pPr>
    </w:p>
  </w:endnote>
  <w:endnote w:type="continuationNotice" w:id="1">
    <w:p w:rsidR="001F6A46" w:rsidRDefault="001F6A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2" w:rsidRPr="001347F2" w:rsidRDefault="001347F2" w:rsidP="001347F2">
    <w:pPr>
      <w:pStyle w:val="Footer"/>
      <w:tabs>
        <w:tab w:val="right" w:pos="9638"/>
      </w:tabs>
    </w:pPr>
    <w:r w:rsidRPr="001347F2">
      <w:rPr>
        <w:b/>
        <w:sz w:val="18"/>
      </w:rPr>
      <w:fldChar w:fldCharType="begin"/>
    </w:r>
    <w:r w:rsidRPr="001347F2">
      <w:rPr>
        <w:b/>
        <w:sz w:val="18"/>
      </w:rPr>
      <w:instrText xml:space="preserve"> PAGE  \* MERGEFORMAT </w:instrText>
    </w:r>
    <w:r w:rsidRPr="001347F2">
      <w:rPr>
        <w:b/>
        <w:sz w:val="18"/>
      </w:rPr>
      <w:fldChar w:fldCharType="separate"/>
    </w:r>
    <w:r w:rsidR="002F32E3">
      <w:rPr>
        <w:b/>
        <w:noProof/>
        <w:sz w:val="18"/>
      </w:rPr>
      <w:t>2</w:t>
    </w:r>
    <w:r w:rsidRPr="001347F2">
      <w:rPr>
        <w:b/>
        <w:sz w:val="18"/>
      </w:rPr>
      <w:fldChar w:fldCharType="end"/>
    </w:r>
    <w:r>
      <w:rPr>
        <w:b/>
        <w:sz w:val="18"/>
      </w:rPr>
      <w:tab/>
    </w:r>
    <w:r>
      <w:t>GE.16-01934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2" w:rsidRPr="001347F2" w:rsidRDefault="001347F2" w:rsidP="001347F2">
    <w:pPr>
      <w:pStyle w:val="Footer"/>
      <w:tabs>
        <w:tab w:val="right" w:pos="9638"/>
      </w:tabs>
      <w:rPr>
        <w:b/>
        <w:sz w:val="18"/>
      </w:rPr>
    </w:pPr>
    <w:r>
      <w:t>GE.16-01934</w:t>
    </w:r>
    <w:r>
      <w:tab/>
    </w:r>
    <w:r w:rsidRPr="001347F2">
      <w:rPr>
        <w:b/>
        <w:sz w:val="18"/>
      </w:rPr>
      <w:fldChar w:fldCharType="begin"/>
    </w:r>
    <w:r w:rsidRPr="001347F2">
      <w:rPr>
        <w:b/>
        <w:sz w:val="18"/>
      </w:rPr>
      <w:instrText xml:space="preserve"> PAGE  \* MERGEFORMAT </w:instrText>
    </w:r>
    <w:r w:rsidRPr="001347F2">
      <w:rPr>
        <w:b/>
        <w:sz w:val="18"/>
      </w:rPr>
      <w:fldChar w:fldCharType="separate"/>
    </w:r>
    <w:r w:rsidR="002F32E3">
      <w:rPr>
        <w:b/>
        <w:noProof/>
        <w:sz w:val="18"/>
      </w:rPr>
      <w:t>3</w:t>
    </w:r>
    <w:r w:rsidRPr="001347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347F2" w:rsidRDefault="001347F2" w:rsidP="001347F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44C2F55A" wp14:editId="064B53D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16-01934  (F)</w:t>
    </w:r>
    <w:r w:rsidR="001777EB">
      <w:rPr>
        <w:sz w:val="20"/>
      </w:rPr>
      <w:t xml:space="preserve">    110316    150316</w:t>
    </w:r>
    <w:r>
      <w:rPr>
        <w:sz w:val="20"/>
      </w:rPr>
      <w:br/>
    </w:r>
    <w:r w:rsidRPr="001347F2">
      <w:rPr>
        <w:rFonts w:ascii="C39T30Lfz" w:hAnsi="C39T30Lfz"/>
        <w:sz w:val="56"/>
      </w:rPr>
      <w:t></w:t>
    </w:r>
    <w:r w:rsidRPr="001347F2">
      <w:rPr>
        <w:rFonts w:ascii="C39T30Lfz" w:hAnsi="C39T30Lfz"/>
        <w:sz w:val="56"/>
      </w:rPr>
      <w:t></w:t>
    </w:r>
    <w:r w:rsidRPr="001347F2">
      <w:rPr>
        <w:rFonts w:ascii="C39T30Lfz" w:hAnsi="C39T30Lfz"/>
        <w:sz w:val="56"/>
      </w:rPr>
      <w:t></w:t>
    </w:r>
    <w:r w:rsidRPr="001347F2">
      <w:rPr>
        <w:rFonts w:ascii="C39T30Lfz" w:hAnsi="C39T30Lfz"/>
        <w:sz w:val="56"/>
      </w:rPr>
      <w:t></w:t>
    </w:r>
    <w:r w:rsidRPr="001347F2">
      <w:rPr>
        <w:rFonts w:ascii="C39T30Lfz" w:hAnsi="C39T30Lfz"/>
        <w:sz w:val="56"/>
      </w:rPr>
      <w:t></w:t>
    </w:r>
    <w:r w:rsidRPr="001347F2">
      <w:rPr>
        <w:rFonts w:ascii="C39T30Lfz" w:hAnsi="C39T30Lfz"/>
        <w:sz w:val="56"/>
      </w:rPr>
      <w:t></w:t>
    </w:r>
    <w:r w:rsidRPr="001347F2">
      <w:rPr>
        <w:rFonts w:ascii="C39T30Lfz" w:hAnsi="C39T30Lfz"/>
        <w:sz w:val="56"/>
      </w:rPr>
      <w:t></w:t>
    </w:r>
    <w:r w:rsidRPr="001347F2">
      <w:rPr>
        <w:rFonts w:ascii="C39T30Lfz" w:hAnsi="C39T30Lfz"/>
        <w:sz w:val="56"/>
      </w:rPr>
      <w:t></w:t>
    </w:r>
    <w:r w:rsidRPr="001347F2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12DD1AC8" wp14:editId="475927CC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46" w:rsidRPr="00AC3823" w:rsidRDefault="001F6A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6A46" w:rsidRPr="00AC3823" w:rsidRDefault="001F6A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6A46" w:rsidRPr="00AC3823" w:rsidRDefault="001F6A46">
      <w:pPr>
        <w:spacing w:line="240" w:lineRule="auto"/>
        <w:rPr>
          <w:sz w:val="2"/>
          <w:szCs w:val="2"/>
        </w:rPr>
      </w:pPr>
    </w:p>
  </w:footnote>
  <w:footnote w:id="2">
    <w:p w:rsidR="001347F2" w:rsidRPr="001347F2" w:rsidRDefault="001347F2">
      <w:pPr>
        <w:pStyle w:val="FootnoteText"/>
      </w:pPr>
      <w:r>
        <w:rPr>
          <w:rStyle w:val="FootnoteReference"/>
        </w:rPr>
        <w:tab/>
      </w:r>
      <w:r w:rsidRPr="001347F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2014-2018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2" w:rsidRPr="001347F2" w:rsidRDefault="001347F2">
    <w:pPr>
      <w:pStyle w:val="Header"/>
    </w:pPr>
    <w:r>
      <w:t>ECE/TRANS/WP.29/GRSG/2016/11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2" w:rsidRPr="001347F2" w:rsidRDefault="001347F2" w:rsidP="001347F2">
    <w:pPr>
      <w:pStyle w:val="Header"/>
      <w:jc w:val="right"/>
    </w:pPr>
    <w:r>
      <w:t>ECE/TRANS/WP.29/GRSG/2016/11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46"/>
    <w:rsid w:val="00017F94"/>
    <w:rsid w:val="00023842"/>
    <w:rsid w:val="000334F9"/>
    <w:rsid w:val="0007796D"/>
    <w:rsid w:val="000B7790"/>
    <w:rsid w:val="00111F2F"/>
    <w:rsid w:val="001347F2"/>
    <w:rsid w:val="0014365E"/>
    <w:rsid w:val="00143C66"/>
    <w:rsid w:val="00176178"/>
    <w:rsid w:val="001777EB"/>
    <w:rsid w:val="001F525A"/>
    <w:rsid w:val="001F6A46"/>
    <w:rsid w:val="00223272"/>
    <w:rsid w:val="0024779E"/>
    <w:rsid w:val="00257168"/>
    <w:rsid w:val="002744B8"/>
    <w:rsid w:val="002832AC"/>
    <w:rsid w:val="002B45F5"/>
    <w:rsid w:val="002D7C93"/>
    <w:rsid w:val="002F32E3"/>
    <w:rsid w:val="00305801"/>
    <w:rsid w:val="003916DE"/>
    <w:rsid w:val="00441C3B"/>
    <w:rsid w:val="00446FE5"/>
    <w:rsid w:val="00452396"/>
    <w:rsid w:val="004837D8"/>
    <w:rsid w:val="004E468C"/>
    <w:rsid w:val="005505B7"/>
    <w:rsid w:val="00553CFD"/>
    <w:rsid w:val="00573BE5"/>
    <w:rsid w:val="00586ED3"/>
    <w:rsid w:val="00596AA9"/>
    <w:rsid w:val="005C2A19"/>
    <w:rsid w:val="0071601D"/>
    <w:rsid w:val="007A62E6"/>
    <w:rsid w:val="007F20FA"/>
    <w:rsid w:val="0080684C"/>
    <w:rsid w:val="00871C75"/>
    <w:rsid w:val="008776DC"/>
    <w:rsid w:val="00956D01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9400B"/>
    <w:rsid w:val="00BA0CA9"/>
    <w:rsid w:val="00BB5429"/>
    <w:rsid w:val="00BC6618"/>
    <w:rsid w:val="00C02897"/>
    <w:rsid w:val="00D3439C"/>
    <w:rsid w:val="00DB1831"/>
    <w:rsid w:val="00DD3BFD"/>
    <w:rsid w:val="00DF6678"/>
    <w:rsid w:val="00E265B4"/>
    <w:rsid w:val="00E61BAF"/>
    <w:rsid w:val="00E85C74"/>
    <w:rsid w:val="00EA6547"/>
    <w:rsid w:val="00EE1781"/>
    <w:rsid w:val="00EF2E22"/>
    <w:rsid w:val="00F35BAF"/>
    <w:rsid w:val="00F660DF"/>
    <w:rsid w:val="00F94664"/>
    <w:rsid w:val="00F9573C"/>
    <w:rsid w:val="00F95C08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D29995-EECF-4AB3-BBCE-CA7EEF9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">
    <w:name w:val="__Single Txt"/>
    <w:basedOn w:val="Normal"/>
    <w:qFormat/>
    <w:rsid w:val="00956D0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ECE/TRANS/WP.29/GRSG/2016/11</vt:lpstr>
      <vt:lpstr>ECE/TRANS/WP.29/GRSG/2016/11</vt:lpstr>
    </vt:vector>
  </TitlesOfParts>
  <Company>DCM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ECE/TRANS/WP.29/GRSG/2016/11</dc:title>
  <dc:subject/>
  <dc:creator>Robert Corinne</dc:creator>
  <cp:keywords/>
  <dc:description/>
  <cp:lastModifiedBy>Caillot</cp:lastModifiedBy>
  <cp:revision>2</cp:revision>
  <cp:lastPrinted>2016-03-14T14:38:00Z</cp:lastPrinted>
  <dcterms:created xsi:type="dcterms:W3CDTF">2016-03-15T17:41:00Z</dcterms:created>
  <dcterms:modified xsi:type="dcterms:W3CDTF">2016-03-15T17:41:00Z</dcterms:modified>
</cp:coreProperties>
</file>