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605"/>
        <w:tblW w:w="9848" w:type="dxa"/>
        <w:tblLook w:val="0000" w:firstRow="0" w:lastRow="0" w:firstColumn="0" w:lastColumn="0" w:noHBand="0" w:noVBand="0"/>
      </w:tblPr>
      <w:tblGrid>
        <w:gridCol w:w="4924"/>
        <w:gridCol w:w="4924"/>
      </w:tblGrid>
      <w:tr w:rsidR="00D360CC" w:rsidRPr="00510AA1" w14:paraId="28E3DB10" w14:textId="77777777">
        <w:tc>
          <w:tcPr>
            <w:tcW w:w="4924" w:type="dxa"/>
            <w:tcBorders>
              <w:left w:val="nil"/>
            </w:tcBorders>
          </w:tcPr>
          <w:p w14:paraId="0318040D" w14:textId="06B7E9F8" w:rsidR="00D360CC" w:rsidRPr="003E4E9F" w:rsidRDefault="00D360CC" w:rsidP="00FA61BA">
            <w:pPr>
              <w:ind w:left="120"/>
              <w:rPr>
                <w:sz w:val="24"/>
                <w:szCs w:val="24"/>
              </w:rPr>
            </w:pPr>
            <w:r>
              <w:rPr>
                <w:sz w:val="24"/>
                <w:szCs w:val="24"/>
              </w:rPr>
              <w:t>Submitted</w:t>
            </w:r>
            <w:r w:rsidRPr="003E4E9F">
              <w:rPr>
                <w:sz w:val="24"/>
                <w:szCs w:val="24"/>
              </w:rPr>
              <w:t xml:space="preserve"> by </w:t>
            </w:r>
            <w:r>
              <w:rPr>
                <w:sz w:val="24"/>
                <w:szCs w:val="24"/>
              </w:rPr>
              <w:t xml:space="preserve">the expert </w:t>
            </w:r>
            <w:r w:rsidR="001851CA">
              <w:rPr>
                <w:sz w:val="24"/>
                <w:szCs w:val="24"/>
              </w:rPr>
              <w:br/>
            </w:r>
            <w:r>
              <w:rPr>
                <w:sz w:val="24"/>
                <w:szCs w:val="24"/>
              </w:rPr>
              <w:t xml:space="preserve">from </w:t>
            </w:r>
            <w:r w:rsidR="001851CA">
              <w:rPr>
                <w:sz w:val="24"/>
                <w:szCs w:val="24"/>
              </w:rPr>
              <w:t xml:space="preserve">the </w:t>
            </w:r>
            <w:r w:rsidR="003504CE">
              <w:rPr>
                <w:sz w:val="24"/>
                <w:szCs w:val="24"/>
              </w:rPr>
              <w:t>E</w:t>
            </w:r>
            <w:r w:rsidR="003A66CA">
              <w:rPr>
                <w:sz w:val="24"/>
                <w:szCs w:val="24"/>
              </w:rPr>
              <w:t xml:space="preserve">uropean Commission </w:t>
            </w:r>
          </w:p>
        </w:tc>
        <w:tc>
          <w:tcPr>
            <w:tcW w:w="4924" w:type="dxa"/>
            <w:tcBorders>
              <w:left w:val="nil"/>
            </w:tcBorders>
          </w:tcPr>
          <w:p w14:paraId="4B601EB2" w14:textId="411E5616" w:rsidR="00D360CC" w:rsidRPr="003E4E9F" w:rsidRDefault="00D360CC" w:rsidP="001851CA">
            <w:pPr>
              <w:ind w:left="1172"/>
              <w:rPr>
                <w:b/>
                <w:bCs/>
                <w:sz w:val="24"/>
                <w:szCs w:val="24"/>
                <w:lang w:val="en-US"/>
              </w:rPr>
            </w:pPr>
            <w:r w:rsidRPr="003E4E9F">
              <w:rPr>
                <w:sz w:val="24"/>
                <w:szCs w:val="24"/>
                <w:u w:val="single"/>
              </w:rPr>
              <w:t>Informal document</w:t>
            </w:r>
            <w:r w:rsidRPr="003E4E9F">
              <w:rPr>
                <w:sz w:val="24"/>
                <w:szCs w:val="24"/>
              </w:rPr>
              <w:t xml:space="preserve"> </w:t>
            </w:r>
            <w:r w:rsidRPr="003E4E9F">
              <w:rPr>
                <w:b/>
                <w:bCs/>
                <w:sz w:val="24"/>
                <w:szCs w:val="24"/>
                <w:lang w:val="en-US"/>
              </w:rPr>
              <w:t>GR</w:t>
            </w:r>
            <w:r>
              <w:rPr>
                <w:b/>
                <w:bCs/>
                <w:sz w:val="24"/>
                <w:szCs w:val="24"/>
                <w:lang w:val="en-US"/>
              </w:rPr>
              <w:t>RF</w:t>
            </w:r>
            <w:r w:rsidRPr="003E4E9F">
              <w:rPr>
                <w:b/>
                <w:bCs/>
                <w:sz w:val="24"/>
                <w:szCs w:val="24"/>
                <w:lang w:val="en-US"/>
              </w:rPr>
              <w:t>-</w:t>
            </w:r>
            <w:r w:rsidR="005F7691">
              <w:rPr>
                <w:b/>
                <w:bCs/>
                <w:sz w:val="24"/>
                <w:szCs w:val="24"/>
                <w:lang w:val="en-US"/>
              </w:rPr>
              <w:t>81</w:t>
            </w:r>
            <w:r w:rsidR="00CE272F">
              <w:rPr>
                <w:b/>
                <w:bCs/>
                <w:sz w:val="24"/>
                <w:szCs w:val="24"/>
                <w:lang w:val="en-US"/>
              </w:rPr>
              <w:t>-</w:t>
            </w:r>
            <w:r w:rsidR="001851CA">
              <w:rPr>
                <w:b/>
                <w:bCs/>
                <w:sz w:val="24"/>
                <w:szCs w:val="24"/>
                <w:lang w:val="en-US"/>
              </w:rPr>
              <w:t>30</w:t>
            </w:r>
          </w:p>
          <w:p w14:paraId="41866071" w14:textId="77777777" w:rsidR="00D360CC" w:rsidRPr="003E4E9F" w:rsidRDefault="00D360CC" w:rsidP="001851CA">
            <w:pPr>
              <w:pStyle w:val="Header"/>
              <w:pBdr>
                <w:bottom w:val="none" w:sz="0" w:space="0" w:color="auto"/>
              </w:pBdr>
              <w:ind w:left="1172"/>
              <w:rPr>
                <w:b w:val="0"/>
                <w:bCs/>
                <w:sz w:val="24"/>
                <w:szCs w:val="24"/>
                <w:lang w:val="en-US"/>
              </w:rPr>
            </w:pPr>
            <w:r>
              <w:rPr>
                <w:b w:val="0"/>
                <w:bCs/>
                <w:sz w:val="24"/>
                <w:szCs w:val="24"/>
                <w:lang w:val="en-US"/>
              </w:rPr>
              <w:t>8</w:t>
            </w:r>
            <w:r w:rsidR="005F7691">
              <w:rPr>
                <w:b w:val="0"/>
                <w:bCs/>
                <w:sz w:val="24"/>
                <w:szCs w:val="24"/>
                <w:lang w:val="en-US"/>
              </w:rPr>
              <w:t>1</w:t>
            </w:r>
            <w:r w:rsidRPr="0001170B">
              <w:rPr>
                <w:b w:val="0"/>
                <w:bCs/>
                <w:sz w:val="24"/>
                <w:szCs w:val="24"/>
                <w:vertAlign w:val="superscript"/>
                <w:lang w:val="en-US"/>
              </w:rPr>
              <w:t>th</w:t>
            </w:r>
            <w:r w:rsidR="00CE272F">
              <w:rPr>
                <w:b w:val="0"/>
                <w:bCs/>
                <w:sz w:val="24"/>
                <w:szCs w:val="24"/>
                <w:lang w:val="en-US"/>
              </w:rPr>
              <w:t xml:space="preserve"> GRRF, </w:t>
            </w:r>
            <w:r w:rsidR="00121671">
              <w:rPr>
                <w:b w:val="0"/>
                <w:bCs/>
                <w:sz w:val="24"/>
                <w:szCs w:val="24"/>
                <w:lang w:val="en-US"/>
              </w:rPr>
              <w:t>1-5</w:t>
            </w:r>
            <w:r w:rsidR="00CE272F">
              <w:rPr>
                <w:b w:val="0"/>
                <w:bCs/>
                <w:sz w:val="24"/>
                <w:szCs w:val="24"/>
                <w:lang w:val="en-US"/>
              </w:rPr>
              <w:t xml:space="preserve"> </w:t>
            </w:r>
            <w:r w:rsidR="005F7691">
              <w:rPr>
                <w:b w:val="0"/>
                <w:bCs/>
                <w:sz w:val="24"/>
                <w:szCs w:val="24"/>
                <w:lang w:val="en-US"/>
              </w:rPr>
              <w:t>February 2016</w:t>
            </w:r>
            <w:r w:rsidRPr="003E4E9F">
              <w:rPr>
                <w:b w:val="0"/>
                <w:bCs/>
                <w:sz w:val="24"/>
                <w:szCs w:val="24"/>
                <w:lang w:val="en-US"/>
              </w:rPr>
              <w:t>,</w:t>
            </w:r>
          </w:p>
          <w:p w14:paraId="5B2EAE5C" w14:textId="68946A3B" w:rsidR="00D360CC" w:rsidRPr="00510AA1" w:rsidRDefault="00CE272F" w:rsidP="001851CA">
            <w:pPr>
              <w:pStyle w:val="Header"/>
              <w:pBdr>
                <w:bottom w:val="none" w:sz="0" w:space="0" w:color="auto"/>
              </w:pBdr>
              <w:ind w:left="1172"/>
              <w:rPr>
                <w:b w:val="0"/>
                <w:bCs/>
                <w:sz w:val="20"/>
                <w:lang w:val="en-US"/>
              </w:rPr>
            </w:pPr>
            <w:r w:rsidRPr="00CE272F">
              <w:rPr>
                <w:b w:val="0"/>
                <w:sz w:val="24"/>
                <w:szCs w:val="24"/>
                <w:lang w:val="en-US"/>
              </w:rPr>
              <w:t>A</w:t>
            </w:r>
            <w:r w:rsidR="00D360CC" w:rsidRPr="00FA61BA">
              <w:rPr>
                <w:b w:val="0"/>
                <w:sz w:val="24"/>
                <w:szCs w:val="24"/>
                <w:lang w:val="en-US"/>
              </w:rPr>
              <w:t>genda item</w:t>
            </w:r>
            <w:r w:rsidRPr="00FA61BA">
              <w:rPr>
                <w:b w:val="0"/>
                <w:sz w:val="24"/>
                <w:szCs w:val="24"/>
                <w:lang w:val="en-US"/>
              </w:rPr>
              <w:t>s</w:t>
            </w:r>
            <w:r w:rsidR="00D360CC" w:rsidRPr="001A6D9D">
              <w:rPr>
                <w:b w:val="0"/>
                <w:sz w:val="24"/>
                <w:szCs w:val="24"/>
                <w:lang w:val="en-US"/>
              </w:rPr>
              <w:t xml:space="preserve"> </w:t>
            </w:r>
            <w:r w:rsidR="00F443FF" w:rsidRPr="001A6D9D">
              <w:rPr>
                <w:b w:val="0"/>
                <w:sz w:val="24"/>
                <w:szCs w:val="24"/>
                <w:lang w:val="en-US"/>
              </w:rPr>
              <w:t>8(</w:t>
            </w:r>
            <w:r w:rsidR="001A6D9D" w:rsidRPr="001A6D9D">
              <w:rPr>
                <w:b w:val="0"/>
                <w:sz w:val="24"/>
                <w:szCs w:val="24"/>
                <w:lang w:val="en-US"/>
              </w:rPr>
              <w:t>c</w:t>
            </w:r>
            <w:r w:rsidR="004A7793" w:rsidRPr="001A6D9D">
              <w:rPr>
                <w:b w:val="0"/>
                <w:sz w:val="24"/>
                <w:szCs w:val="24"/>
                <w:lang w:val="en-US"/>
              </w:rPr>
              <w:t>)</w:t>
            </w:r>
            <w:r w:rsidR="001851CA">
              <w:rPr>
                <w:b w:val="0"/>
                <w:sz w:val="24"/>
                <w:szCs w:val="24"/>
                <w:lang w:val="en-US"/>
              </w:rPr>
              <w:t xml:space="preserve"> and 12</w:t>
            </w:r>
            <w:r w:rsidR="004A7793">
              <w:rPr>
                <w:b w:val="0"/>
                <w:sz w:val="24"/>
                <w:szCs w:val="24"/>
                <w:highlight w:val="yellow"/>
                <w:lang w:val="en-US"/>
              </w:rPr>
              <w:t xml:space="preserve"> </w:t>
            </w:r>
          </w:p>
        </w:tc>
      </w:tr>
    </w:tbl>
    <w:p w14:paraId="4857ADE8" w14:textId="77777777" w:rsidR="00D360CC" w:rsidRPr="00E90DB8" w:rsidRDefault="001D15B0" w:rsidP="00922987">
      <w:pPr>
        <w:pStyle w:val="SingleTxtG"/>
      </w:pPr>
      <w:r w:rsidRPr="00E90DB8">
        <w:tab/>
      </w:r>
    </w:p>
    <w:p w14:paraId="66B786DA" w14:textId="441C8CFB" w:rsidR="00D360CC" w:rsidRPr="00AF737B" w:rsidRDefault="001A6D9D" w:rsidP="00AF737B">
      <w:pPr>
        <w:pStyle w:val="Header"/>
        <w:pBdr>
          <w:bottom w:val="none" w:sz="0" w:space="0" w:color="auto"/>
        </w:pBdr>
        <w:jc w:val="center"/>
        <w:rPr>
          <w:sz w:val="28"/>
          <w:szCs w:val="28"/>
        </w:rPr>
      </w:pPr>
      <w:r w:rsidRPr="001A6D9D">
        <w:rPr>
          <w:rFonts w:eastAsia="MS Mincho"/>
          <w:sz w:val="28"/>
          <w:szCs w:val="28"/>
        </w:rPr>
        <w:t>C-ITS Deployment Platform</w:t>
      </w:r>
      <w:r>
        <w:rPr>
          <w:rFonts w:eastAsia="MS Mincho"/>
          <w:sz w:val="28"/>
          <w:szCs w:val="28"/>
        </w:rPr>
        <w:t xml:space="preserve"> and </w:t>
      </w:r>
      <w:r w:rsidR="001851CA">
        <w:rPr>
          <w:rFonts w:eastAsia="MS Mincho"/>
          <w:sz w:val="28"/>
          <w:szCs w:val="28"/>
        </w:rPr>
        <w:br/>
      </w:r>
      <w:r w:rsidR="00D303F4">
        <w:rPr>
          <w:rFonts w:eastAsia="MS Mincho"/>
          <w:sz w:val="28"/>
          <w:szCs w:val="28"/>
        </w:rPr>
        <w:t xml:space="preserve">the </w:t>
      </w:r>
      <w:r>
        <w:rPr>
          <w:rFonts w:eastAsia="MS Mincho"/>
          <w:sz w:val="28"/>
          <w:szCs w:val="28"/>
        </w:rPr>
        <w:t xml:space="preserve">GEAR 2030 roadmap on highly automated </w:t>
      </w:r>
      <w:r w:rsidR="001851CA">
        <w:rPr>
          <w:rFonts w:eastAsia="MS Mincho"/>
          <w:sz w:val="28"/>
          <w:szCs w:val="28"/>
        </w:rPr>
        <w:t>vehicles</w:t>
      </w:r>
    </w:p>
    <w:p w14:paraId="29BD56C7" w14:textId="77777777" w:rsidR="00FF3DDA" w:rsidRPr="00E90DB8" w:rsidRDefault="00FF3DDA" w:rsidP="00922987">
      <w:pPr>
        <w:pStyle w:val="SingleTxtG"/>
      </w:pPr>
    </w:p>
    <w:p w14:paraId="1EF8FB48" w14:textId="77777777" w:rsidR="001A6D9D" w:rsidRPr="001851CA" w:rsidRDefault="001A6D9D" w:rsidP="001A6D9D">
      <w:pPr>
        <w:pStyle w:val="NormalWeb"/>
        <w:rPr>
          <w:b/>
          <w:sz w:val="28"/>
        </w:rPr>
      </w:pPr>
      <w:r w:rsidRPr="001851CA">
        <w:rPr>
          <w:b/>
          <w:sz w:val="28"/>
        </w:rPr>
        <w:t>1) The C-ITS platform</w:t>
      </w:r>
    </w:p>
    <w:p w14:paraId="5C2EF929" w14:textId="77777777" w:rsidR="001A6D9D" w:rsidRDefault="001A6D9D" w:rsidP="001A6D9D">
      <w:pPr>
        <w:pStyle w:val="NormalWeb"/>
      </w:pPr>
    </w:p>
    <w:p w14:paraId="0BBA86C1" w14:textId="50CCCF06" w:rsidR="001A6D9D" w:rsidRDefault="001A6D9D" w:rsidP="001851CA">
      <w:pPr>
        <w:pStyle w:val="NormalWeb"/>
        <w:jc w:val="both"/>
      </w:pPr>
      <w:r>
        <w:t xml:space="preserve">The European Commission decided early 2014 to take a more prominent role in the deployment of connected driving, by setting up a </w:t>
      </w:r>
      <w:hyperlink r:id="rId9" w:tgtFrame="_self" w:tooltip="C-ITS Deployment Platform" w:history="1">
        <w:r>
          <w:rPr>
            <w:rStyle w:val="Hyperlink"/>
          </w:rPr>
          <w:t>C-ITS (Cooperative ITS) Deployment Platform</w:t>
        </w:r>
      </w:hyperlink>
      <w:r>
        <w:t>. The Platform was conceived as a cooperative framework including national authorities, C-ITS stakeholders and the Commission, in view to develop a shared vision on the interoperable deployment of C-</w:t>
      </w:r>
      <w:proofErr w:type="gramStart"/>
      <w:r>
        <w:t>ITS</w:t>
      </w:r>
      <w:proofErr w:type="gramEnd"/>
      <w:r>
        <w:t xml:space="preserve"> in the EU.  The terms of Reference of the platform may be found here:</w:t>
      </w:r>
    </w:p>
    <w:p w14:paraId="5259AABB" w14:textId="2DAA720E" w:rsidR="001A6D9D" w:rsidRDefault="001851CA" w:rsidP="001851CA">
      <w:pPr>
        <w:pStyle w:val="NormalWeb"/>
        <w:jc w:val="both"/>
      </w:pPr>
      <w:hyperlink r:id="rId10" w:history="1">
        <w:r w:rsidR="001A6D9D" w:rsidRPr="00FB186D">
          <w:rPr>
            <w:rStyle w:val="Hyperlink"/>
          </w:rPr>
          <w:t>http://ec.europa.eu/transport/themes/its/news/doc/c-its-platform-deployment/corrigendum-call-for-applications.pdf</w:t>
        </w:r>
      </w:hyperlink>
      <w:r w:rsidR="001A6D9D">
        <w:t xml:space="preserve"> </w:t>
      </w:r>
    </w:p>
    <w:p w14:paraId="0C48BF81" w14:textId="77777777" w:rsidR="001A6D9D" w:rsidRDefault="001A6D9D" w:rsidP="001851CA">
      <w:pPr>
        <w:pStyle w:val="NormalWeb"/>
        <w:jc w:val="both"/>
      </w:pPr>
    </w:p>
    <w:p w14:paraId="3695048F" w14:textId="0DD05490" w:rsidR="001A6D9D" w:rsidRDefault="001A6D9D" w:rsidP="001851CA">
      <w:pPr>
        <w:pStyle w:val="NormalWeb"/>
        <w:jc w:val="both"/>
      </w:pPr>
      <w:r>
        <w:t>Hence, it was expected to provide policy recommendations for the development of a roadmap and a deployment strategy for C-</w:t>
      </w:r>
      <w:proofErr w:type="gramStart"/>
      <w:r>
        <w:t>ITS</w:t>
      </w:r>
      <w:proofErr w:type="gramEnd"/>
      <w:r>
        <w:t xml:space="preserve"> in the EU and identify potential solutions to some critical cross-cutting issues.</w:t>
      </w:r>
    </w:p>
    <w:p w14:paraId="5DE76B43" w14:textId="77777777" w:rsidR="001A6D9D" w:rsidRDefault="001A6D9D" w:rsidP="001851CA">
      <w:pPr>
        <w:pStyle w:val="NormalWeb"/>
        <w:jc w:val="both"/>
      </w:pPr>
    </w:p>
    <w:p w14:paraId="0DDCA158" w14:textId="0E4F0196" w:rsidR="001A6D9D" w:rsidRDefault="001A6D9D" w:rsidP="001851CA">
      <w:pPr>
        <w:pStyle w:val="NormalWeb"/>
        <w:jc w:val="both"/>
      </w:pPr>
      <w:r>
        <w:t xml:space="preserve">In the frame of supporting the deployment of C-ITS on European roads, there are a number of C-ITS real-life pilot projects funded under </w:t>
      </w:r>
      <w:hyperlink r:id="rId11" w:tgtFrame="_blank" w:tooltip="TEN-T" w:history="1">
        <w:r>
          <w:rPr>
            <w:rStyle w:val="Hyperlink"/>
          </w:rPr>
          <w:t xml:space="preserve">TEN-T </w:t>
        </w:r>
        <w:r>
          <w:rPr>
            <w:noProof/>
            <w:color w:val="0000FF"/>
            <w:lang w:val="en-US"/>
          </w:rPr>
          <w:drawing>
            <wp:inline distT="0" distB="0" distL="0" distR="0" wp14:anchorId="10B14E46" wp14:editId="2C492CF8">
              <wp:extent cx="123825" cy="114300"/>
              <wp:effectExtent l="0" t="0" r="9525" b="0"/>
              <wp:docPr id="3" name="Picture 3" descr="http://ec.europa.eu/transport/_static/images/content/ext-link.png">
                <a:hlinkClick xmlns:a="http://schemas.openxmlformats.org/drawingml/2006/main" r:id="rId11" tgtFrame="&quot;_blank&quot;" tooltip="&quot;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transport/_static/images/content/ext-link.png">
                        <a:hlinkClick r:id="rId11" tgtFrame="&quot;_blank&quot;" tooltip="&quot;TEN-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r>
        <w:t xml:space="preserve">and </w:t>
      </w:r>
      <w:hyperlink r:id="rId13" w:tgtFrame="_blank" w:tooltip="CEF" w:history="1">
        <w:r>
          <w:rPr>
            <w:rStyle w:val="Hyperlink"/>
          </w:rPr>
          <w:t xml:space="preserve">CEF </w:t>
        </w:r>
        <w:r>
          <w:rPr>
            <w:noProof/>
            <w:color w:val="0000FF"/>
            <w:lang w:val="en-US"/>
          </w:rPr>
          <w:drawing>
            <wp:inline distT="0" distB="0" distL="0" distR="0" wp14:anchorId="7D147C43" wp14:editId="71302AE3">
              <wp:extent cx="123825" cy="114300"/>
              <wp:effectExtent l="0" t="0" r="9525" b="0"/>
              <wp:docPr id="2" name="Picture 2" descr="http://ec.europa.eu/transport/_static/images/content/ext-link.png">
                <a:hlinkClick xmlns:a="http://schemas.openxmlformats.org/drawingml/2006/main" r:id="rId13" tgtFrame="&quot;_blank&quot;" tooltip="&quot;CE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transport/_static/images/content/ext-link.png">
                        <a:hlinkClick r:id="rId13" tgtFrame="&quot;_blank&quot;" tooltip="&quot;CE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r>
        <w:t>which will create new ITS services for all European road users. These projects will test vehicle-to-infrastructure and vehicle-to-vehicle interactions by using both short-range and cellular communications.</w:t>
      </w:r>
    </w:p>
    <w:p w14:paraId="120ADA69" w14:textId="77777777" w:rsidR="001A6D9D" w:rsidRDefault="001A6D9D" w:rsidP="001851CA">
      <w:pPr>
        <w:pStyle w:val="NormalWeb"/>
        <w:jc w:val="both"/>
      </w:pPr>
    </w:p>
    <w:p w14:paraId="3FEBE209" w14:textId="7EE65B33" w:rsidR="001A6D9D" w:rsidRDefault="001A6D9D" w:rsidP="001851CA">
      <w:pPr>
        <w:pStyle w:val="NormalWeb"/>
        <w:jc w:val="both"/>
      </w:pPr>
      <w:r>
        <w:t xml:space="preserve">By endorsing the </w:t>
      </w:r>
      <w:hyperlink r:id="rId14" w:tgtFrame="_self" w:tooltip="Final Report" w:history="1">
        <w:r>
          <w:rPr>
            <w:rStyle w:val="Hyperlink"/>
          </w:rPr>
          <w:t>Final Report</w:t>
        </w:r>
      </w:hyperlink>
      <w:r>
        <w:t xml:space="preserve"> </w:t>
      </w:r>
      <w:r>
        <w:rPr>
          <w:noProof/>
          <w:lang w:val="en-US"/>
        </w:rPr>
        <w:drawing>
          <wp:inline distT="0" distB="0" distL="0" distR="0" wp14:anchorId="15F01652" wp14:editId="64E7E509">
            <wp:extent cx="152400" cy="152400"/>
            <wp:effectExtent l="0" t="0" r="0" b="0"/>
            <wp:docPr id="1" name="Picture 1" descr="pdf - 3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 3 M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[3 MB] on 21 January 2016, the C-ITS Platform has now achieved its first milestone towards connected vehicles in the EU. The main recommendations of the report are as follows:</w:t>
      </w:r>
    </w:p>
    <w:p w14:paraId="1D0AE84C" w14:textId="77777777" w:rsidR="001A6D9D" w:rsidRDefault="001A6D9D" w:rsidP="001851CA">
      <w:pPr>
        <w:pStyle w:val="NormalWeb"/>
        <w:jc w:val="both"/>
      </w:pPr>
    </w:p>
    <w:p w14:paraId="08B35F0D" w14:textId="77777777" w:rsidR="001A6D9D" w:rsidRPr="001A6D9D" w:rsidRDefault="001A6D9D" w:rsidP="001851CA">
      <w:pPr>
        <w:suppressAutoHyphens w:val="0"/>
        <w:spacing w:line="240" w:lineRule="auto"/>
        <w:jc w:val="both"/>
        <w:rPr>
          <w:color w:val="000000"/>
          <w:sz w:val="24"/>
          <w:szCs w:val="24"/>
          <w:lang w:val="en-US" w:eastAsia="fr-BE"/>
        </w:rPr>
      </w:pPr>
      <w:r w:rsidRPr="001A6D9D">
        <w:rPr>
          <w:color w:val="000000"/>
          <w:sz w:val="24"/>
          <w:szCs w:val="24"/>
          <w:lang w:val="en-US" w:eastAsia="fr-BE"/>
        </w:rPr>
        <w:t>•       A coordinated action for the deployment of C-</w:t>
      </w:r>
      <w:proofErr w:type="gramStart"/>
      <w:r w:rsidRPr="001A6D9D">
        <w:rPr>
          <w:color w:val="000000"/>
          <w:sz w:val="24"/>
          <w:szCs w:val="24"/>
          <w:lang w:val="en-US" w:eastAsia="fr-BE"/>
        </w:rPr>
        <w:t>ITS</w:t>
      </w:r>
      <w:proofErr w:type="gramEnd"/>
      <w:r w:rsidRPr="001A6D9D">
        <w:rPr>
          <w:color w:val="000000"/>
          <w:sz w:val="24"/>
          <w:szCs w:val="24"/>
          <w:lang w:val="en-US" w:eastAsia="fr-BE"/>
        </w:rPr>
        <w:t xml:space="preserve"> in the EU is paramount.  </w:t>
      </w:r>
    </w:p>
    <w:p w14:paraId="64522B5F" w14:textId="77777777" w:rsidR="001A6D9D" w:rsidRPr="001A6D9D" w:rsidRDefault="001A6D9D" w:rsidP="001851CA">
      <w:pPr>
        <w:suppressAutoHyphens w:val="0"/>
        <w:spacing w:line="240" w:lineRule="auto"/>
        <w:jc w:val="both"/>
        <w:rPr>
          <w:color w:val="000000"/>
          <w:sz w:val="24"/>
          <w:szCs w:val="24"/>
          <w:lang w:val="en-US" w:eastAsia="fr-BE"/>
        </w:rPr>
      </w:pPr>
      <w:r w:rsidRPr="001A6D9D">
        <w:rPr>
          <w:color w:val="000000"/>
          <w:sz w:val="24"/>
          <w:szCs w:val="24"/>
          <w:lang w:val="en-US" w:eastAsia="fr-BE"/>
        </w:rPr>
        <w:t xml:space="preserve">•       To ensure interoperability and </w:t>
      </w:r>
      <w:proofErr w:type="spellStart"/>
      <w:r w:rsidRPr="001A6D9D">
        <w:rPr>
          <w:color w:val="000000"/>
          <w:sz w:val="24"/>
          <w:szCs w:val="24"/>
          <w:lang w:val="en-US" w:eastAsia="fr-BE"/>
        </w:rPr>
        <w:t>maximise</w:t>
      </w:r>
      <w:proofErr w:type="spellEnd"/>
      <w:r w:rsidRPr="001A6D9D">
        <w:rPr>
          <w:color w:val="000000"/>
          <w:sz w:val="24"/>
          <w:szCs w:val="24"/>
          <w:lang w:val="en-US" w:eastAsia="fr-BE"/>
        </w:rPr>
        <w:t xml:space="preserve"> benefits, it is vital to base deployment throughout the EU on an agreed list of Day 1 applications (e.g. weather conditions warnings, road works warning, Emergency-braking warnings, In-Vehicle signage, etc.). Because of their societal benefits and technological maturity, these services should be available in the short term.</w:t>
      </w:r>
    </w:p>
    <w:p w14:paraId="3F56B773" w14:textId="77777777" w:rsidR="001A6D9D" w:rsidRPr="001A6D9D" w:rsidRDefault="001A6D9D" w:rsidP="001851CA">
      <w:pPr>
        <w:suppressAutoHyphens w:val="0"/>
        <w:spacing w:line="240" w:lineRule="auto"/>
        <w:jc w:val="both"/>
        <w:rPr>
          <w:color w:val="000000"/>
          <w:sz w:val="24"/>
          <w:szCs w:val="24"/>
          <w:lang w:val="en-US" w:eastAsia="fr-BE"/>
        </w:rPr>
      </w:pPr>
      <w:r w:rsidRPr="001A6D9D">
        <w:rPr>
          <w:color w:val="000000"/>
          <w:sz w:val="24"/>
          <w:szCs w:val="24"/>
          <w:lang w:val="en-US" w:eastAsia="fr-BE"/>
        </w:rPr>
        <w:t>•       A unique legal and technical framework is essential and coordinated efforts to ensure quick uptake of C-</w:t>
      </w:r>
      <w:proofErr w:type="gramStart"/>
      <w:r w:rsidRPr="001A6D9D">
        <w:rPr>
          <w:color w:val="000000"/>
          <w:sz w:val="24"/>
          <w:szCs w:val="24"/>
          <w:lang w:val="en-US" w:eastAsia="fr-BE"/>
        </w:rPr>
        <w:t>ITS are</w:t>
      </w:r>
      <w:proofErr w:type="gramEnd"/>
      <w:r w:rsidRPr="001A6D9D">
        <w:rPr>
          <w:color w:val="000000"/>
          <w:sz w:val="24"/>
          <w:szCs w:val="24"/>
          <w:lang w:val="en-US" w:eastAsia="fr-BE"/>
        </w:rPr>
        <w:t xml:space="preserve"> requested. </w:t>
      </w:r>
    </w:p>
    <w:p w14:paraId="7CC88BBE" w14:textId="77777777" w:rsidR="001A6D9D" w:rsidRPr="001A6D9D" w:rsidRDefault="001A6D9D" w:rsidP="001851CA">
      <w:pPr>
        <w:suppressAutoHyphens w:val="0"/>
        <w:spacing w:line="240" w:lineRule="auto"/>
        <w:jc w:val="both"/>
        <w:rPr>
          <w:color w:val="000000"/>
          <w:sz w:val="24"/>
          <w:szCs w:val="24"/>
          <w:lang w:val="en-US" w:eastAsia="fr-BE"/>
        </w:rPr>
      </w:pPr>
      <w:r w:rsidRPr="001A6D9D">
        <w:rPr>
          <w:color w:val="000000"/>
          <w:sz w:val="24"/>
          <w:szCs w:val="24"/>
          <w:lang w:val="en-US" w:eastAsia="fr-BE"/>
        </w:rPr>
        <w:t>•       This framework is needed urgently. The technology is ready, the industry is already deploying C-ITS equipped vehicles in other parts of the world and announced to be ready to deploy in the EU by 2019, provided that legal certainty is in place in time.</w:t>
      </w:r>
    </w:p>
    <w:p w14:paraId="34A5F77A" w14:textId="77777777" w:rsidR="001A6D9D" w:rsidRPr="001A6D9D" w:rsidRDefault="001A6D9D" w:rsidP="001851CA">
      <w:pPr>
        <w:suppressAutoHyphens w:val="0"/>
        <w:spacing w:line="240" w:lineRule="auto"/>
        <w:jc w:val="both"/>
        <w:rPr>
          <w:color w:val="000000"/>
          <w:sz w:val="24"/>
          <w:szCs w:val="24"/>
          <w:lang w:val="en-US" w:eastAsia="fr-BE"/>
        </w:rPr>
      </w:pPr>
      <w:r w:rsidRPr="001A6D9D">
        <w:rPr>
          <w:color w:val="000000"/>
          <w:sz w:val="24"/>
          <w:szCs w:val="24"/>
          <w:lang w:val="en-US" w:eastAsia="fr-BE"/>
        </w:rPr>
        <w:t xml:space="preserve">•       For security, this means one common </w:t>
      </w:r>
      <w:proofErr w:type="spellStart"/>
      <w:r w:rsidRPr="001A6D9D">
        <w:rPr>
          <w:color w:val="000000"/>
          <w:sz w:val="24"/>
          <w:szCs w:val="24"/>
          <w:lang w:val="en-US" w:eastAsia="fr-BE"/>
        </w:rPr>
        <w:t>standardised</w:t>
      </w:r>
      <w:proofErr w:type="spellEnd"/>
      <w:r w:rsidRPr="001A6D9D">
        <w:rPr>
          <w:color w:val="000000"/>
          <w:sz w:val="24"/>
          <w:szCs w:val="24"/>
          <w:lang w:val="en-US" w:eastAsia="fr-BE"/>
        </w:rPr>
        <w:t xml:space="preserve"> C-ITS trust model and certificate policy all over the EU, based on a Public Key Infrastructure (PKI), and defined in an appropriate regulatory framework. </w:t>
      </w:r>
    </w:p>
    <w:p w14:paraId="5E13DC1C" w14:textId="77777777" w:rsidR="001A6D9D" w:rsidRPr="001A6D9D" w:rsidRDefault="001A6D9D" w:rsidP="001851CA">
      <w:pPr>
        <w:suppressAutoHyphens w:val="0"/>
        <w:spacing w:line="240" w:lineRule="auto"/>
        <w:jc w:val="both"/>
        <w:rPr>
          <w:color w:val="000000"/>
          <w:sz w:val="24"/>
          <w:szCs w:val="24"/>
          <w:lang w:val="en-US" w:eastAsia="fr-BE"/>
        </w:rPr>
      </w:pPr>
      <w:r w:rsidRPr="001A6D9D">
        <w:rPr>
          <w:color w:val="000000"/>
          <w:sz w:val="24"/>
          <w:szCs w:val="24"/>
          <w:lang w:val="en-US" w:eastAsia="fr-BE"/>
        </w:rPr>
        <w:t xml:space="preserve">•       On data protection, C-ITS messages have been considered as “personal data” because of the potential of indirect identification of users. Therefore, allowing the process of such data will require implementing the principle of "informed consent" and an opt-out possibility should be offered to the drivers, </w:t>
      </w:r>
      <w:proofErr w:type="spellStart"/>
      <w:r w:rsidRPr="001A6D9D">
        <w:rPr>
          <w:color w:val="000000"/>
          <w:sz w:val="24"/>
          <w:szCs w:val="24"/>
          <w:lang w:val="en-US" w:eastAsia="fr-BE"/>
        </w:rPr>
        <w:t>authorising</w:t>
      </w:r>
      <w:proofErr w:type="spellEnd"/>
      <w:r w:rsidRPr="001A6D9D">
        <w:rPr>
          <w:color w:val="000000"/>
          <w:sz w:val="24"/>
          <w:szCs w:val="24"/>
          <w:lang w:val="en-US" w:eastAsia="fr-BE"/>
        </w:rPr>
        <w:t xml:space="preserve"> the driver to shut down the broadcast.</w:t>
      </w:r>
    </w:p>
    <w:p w14:paraId="3AF00161" w14:textId="77777777" w:rsidR="001A6D9D" w:rsidRPr="001A6D9D" w:rsidRDefault="001A6D9D" w:rsidP="001851CA">
      <w:pPr>
        <w:suppressAutoHyphens w:val="0"/>
        <w:spacing w:line="240" w:lineRule="auto"/>
        <w:jc w:val="both"/>
        <w:rPr>
          <w:color w:val="000000"/>
          <w:sz w:val="24"/>
          <w:szCs w:val="24"/>
          <w:lang w:val="en-US" w:eastAsia="fr-BE"/>
        </w:rPr>
      </w:pPr>
      <w:r w:rsidRPr="001A6D9D">
        <w:rPr>
          <w:color w:val="000000"/>
          <w:sz w:val="24"/>
          <w:szCs w:val="24"/>
          <w:lang w:val="en-US" w:eastAsia="fr-BE"/>
        </w:rPr>
        <w:t>•       On spectrum, an agreement could be reached on mitigation techniques to ensure coexistence between 5.8 GHz tolling DSRC and 5.9 GHz ITS applications. Strong recommendations were made to seek international cooperation, e.g. via joint studies and positions, towards the protection of the 5.9 GHz band notably, to cope with future capacity demand.</w:t>
      </w:r>
    </w:p>
    <w:p w14:paraId="2471AC99" w14:textId="77777777" w:rsidR="001A6D9D" w:rsidRPr="001A6D9D" w:rsidRDefault="001A6D9D" w:rsidP="001851CA">
      <w:pPr>
        <w:suppressAutoHyphens w:val="0"/>
        <w:spacing w:line="240" w:lineRule="auto"/>
        <w:jc w:val="both"/>
        <w:rPr>
          <w:color w:val="000000"/>
          <w:sz w:val="24"/>
          <w:szCs w:val="24"/>
          <w:lang w:val="en-US" w:eastAsia="fr-BE"/>
        </w:rPr>
      </w:pPr>
      <w:r w:rsidRPr="001A6D9D">
        <w:rPr>
          <w:color w:val="000000"/>
          <w:sz w:val="24"/>
          <w:szCs w:val="24"/>
          <w:lang w:val="en-US" w:eastAsia="fr-BE"/>
        </w:rPr>
        <w:t xml:space="preserve">•       On access to in-vehicle data, an important technical work has been accomplished. Technical solutions have been identified. Agreement was reached on five guiding principles on which to always base access to in-vehicle data. Concrete </w:t>
      </w:r>
      <w:proofErr w:type="spellStart"/>
      <w:r w:rsidRPr="001A6D9D">
        <w:rPr>
          <w:color w:val="000000"/>
          <w:sz w:val="24"/>
          <w:szCs w:val="24"/>
          <w:lang w:val="en-US" w:eastAsia="fr-BE"/>
        </w:rPr>
        <w:t>standardisation</w:t>
      </w:r>
      <w:proofErr w:type="spellEnd"/>
      <w:r w:rsidRPr="001A6D9D">
        <w:rPr>
          <w:color w:val="000000"/>
          <w:sz w:val="24"/>
          <w:szCs w:val="24"/>
          <w:lang w:val="en-US" w:eastAsia="fr-BE"/>
        </w:rPr>
        <w:t xml:space="preserve"> needs have been put forward. </w:t>
      </w:r>
      <w:r w:rsidRPr="001A6D9D">
        <w:rPr>
          <w:color w:val="000000"/>
          <w:sz w:val="24"/>
          <w:szCs w:val="24"/>
          <w:lang w:val="en-US" w:eastAsia="fr-BE"/>
        </w:rPr>
        <w:lastRenderedPageBreak/>
        <w:t xml:space="preserve">Nevertheless, strong disagreements between vehicle manufacturers and the independent operators/service providers remained on several important topics. The European Commission will now launch an independent study before envisaging further measures in this field. </w:t>
      </w:r>
    </w:p>
    <w:p w14:paraId="37F73290" w14:textId="77777777" w:rsidR="001A6D9D" w:rsidRDefault="001A6D9D" w:rsidP="001851CA">
      <w:pPr>
        <w:suppressAutoHyphens w:val="0"/>
        <w:spacing w:line="240" w:lineRule="auto"/>
        <w:jc w:val="both"/>
        <w:rPr>
          <w:color w:val="000000"/>
          <w:sz w:val="24"/>
          <w:szCs w:val="24"/>
          <w:lang w:val="en-US" w:eastAsia="fr-BE"/>
        </w:rPr>
      </w:pPr>
      <w:r w:rsidRPr="001A6D9D">
        <w:rPr>
          <w:color w:val="000000"/>
          <w:sz w:val="24"/>
          <w:szCs w:val="24"/>
          <w:lang w:val="en-US" w:eastAsia="fr-BE"/>
        </w:rPr>
        <w:t>•       Enhanced international cooperation is considered essential to enhance interoperability on a global basis.</w:t>
      </w:r>
    </w:p>
    <w:p w14:paraId="16054D65" w14:textId="77777777" w:rsidR="001A6D9D" w:rsidRDefault="001A6D9D" w:rsidP="001851CA">
      <w:pPr>
        <w:suppressAutoHyphens w:val="0"/>
        <w:spacing w:line="240" w:lineRule="auto"/>
        <w:jc w:val="both"/>
        <w:rPr>
          <w:color w:val="000000"/>
          <w:sz w:val="24"/>
          <w:szCs w:val="24"/>
          <w:lang w:val="en-US" w:eastAsia="fr-BE"/>
        </w:rPr>
      </w:pPr>
    </w:p>
    <w:p w14:paraId="2BF9CFB5" w14:textId="77777777" w:rsidR="00804593" w:rsidRDefault="001A6D9D" w:rsidP="001851CA">
      <w:pPr>
        <w:suppressAutoHyphens w:val="0"/>
        <w:spacing w:line="240" w:lineRule="auto"/>
        <w:jc w:val="both"/>
        <w:rPr>
          <w:color w:val="000000"/>
          <w:sz w:val="24"/>
          <w:szCs w:val="24"/>
          <w:lang w:val="en-US" w:eastAsia="fr-BE"/>
        </w:rPr>
      </w:pPr>
      <w:r w:rsidRPr="001A6D9D">
        <w:rPr>
          <w:color w:val="000000"/>
          <w:sz w:val="24"/>
          <w:szCs w:val="24"/>
          <w:lang w:val="en-US" w:eastAsia="fr-BE"/>
        </w:rPr>
        <w:t>The Commission will now prepare the Master Plan for the Deployment of C-</w:t>
      </w:r>
      <w:proofErr w:type="gramStart"/>
      <w:r w:rsidRPr="001A6D9D">
        <w:rPr>
          <w:color w:val="000000"/>
          <w:sz w:val="24"/>
          <w:szCs w:val="24"/>
          <w:lang w:val="en-US" w:eastAsia="fr-BE"/>
        </w:rPr>
        <w:t>ITS</w:t>
      </w:r>
      <w:proofErr w:type="gramEnd"/>
      <w:r w:rsidRPr="001A6D9D">
        <w:rPr>
          <w:color w:val="000000"/>
          <w:sz w:val="24"/>
          <w:szCs w:val="24"/>
          <w:lang w:val="en-US" w:eastAsia="fr-BE"/>
        </w:rPr>
        <w:t xml:space="preserve">, to be ready by mid-2016, based on the recommendations of the platform. The C-ITS Platform will accompany the deployment process with a special focus on the links between connectivity and automation, in particular in relation to infrastructure and road safety issues.  </w:t>
      </w:r>
    </w:p>
    <w:p w14:paraId="4C0606DE" w14:textId="77777777" w:rsidR="00804593" w:rsidRDefault="00804593" w:rsidP="001851CA">
      <w:pPr>
        <w:suppressAutoHyphens w:val="0"/>
        <w:spacing w:line="240" w:lineRule="auto"/>
        <w:jc w:val="both"/>
        <w:rPr>
          <w:color w:val="000000"/>
          <w:sz w:val="24"/>
          <w:szCs w:val="24"/>
          <w:lang w:val="en-US" w:eastAsia="fr-BE"/>
        </w:rPr>
      </w:pPr>
    </w:p>
    <w:p w14:paraId="61E1BC48" w14:textId="29A2222E" w:rsidR="00804593" w:rsidRPr="001A6D9D" w:rsidRDefault="00804593" w:rsidP="001851CA">
      <w:pPr>
        <w:suppressAutoHyphens w:val="0"/>
        <w:spacing w:line="240" w:lineRule="auto"/>
        <w:jc w:val="both"/>
        <w:rPr>
          <w:color w:val="000000"/>
          <w:sz w:val="24"/>
          <w:szCs w:val="24"/>
          <w:lang w:val="en-US" w:eastAsia="fr-BE"/>
        </w:rPr>
      </w:pPr>
      <w:r w:rsidRPr="00804593">
        <w:rPr>
          <w:color w:val="000000"/>
          <w:sz w:val="24"/>
          <w:szCs w:val="24"/>
          <w:lang w:val="en-US" w:eastAsia="fr-BE"/>
        </w:rPr>
        <w:t>As foreseen in its term of Reference, The outcome of the C-ITS platform will feed into the discussion to be held in the GEAR 2030 High level group on highly automated vehicles</w:t>
      </w:r>
    </w:p>
    <w:p w14:paraId="78C22448" w14:textId="77777777" w:rsidR="001A6D9D" w:rsidRPr="001A6D9D" w:rsidRDefault="001A6D9D" w:rsidP="001A6D9D">
      <w:pPr>
        <w:pStyle w:val="NormalWeb"/>
        <w:rPr>
          <w:lang w:val="en-US"/>
        </w:rPr>
      </w:pPr>
    </w:p>
    <w:p w14:paraId="4DA34C65" w14:textId="5084B321" w:rsidR="00804593" w:rsidRPr="001851CA" w:rsidRDefault="00804593" w:rsidP="00804593">
      <w:pPr>
        <w:pStyle w:val="NormalWeb"/>
        <w:rPr>
          <w:b/>
          <w:sz w:val="28"/>
        </w:rPr>
      </w:pPr>
      <w:r w:rsidRPr="001851CA">
        <w:rPr>
          <w:b/>
          <w:sz w:val="28"/>
        </w:rPr>
        <w:t>2) The GEAR 2030 High level group on highly automated vehicles</w:t>
      </w:r>
    </w:p>
    <w:p w14:paraId="2916AB44" w14:textId="77777777" w:rsidR="00804593" w:rsidRPr="00804593" w:rsidRDefault="00804593" w:rsidP="00804593">
      <w:pPr>
        <w:pStyle w:val="NormalWeb"/>
        <w:rPr>
          <w:b/>
          <w:lang w:val="en-US"/>
        </w:rPr>
      </w:pPr>
    </w:p>
    <w:p w14:paraId="2FB55A30" w14:textId="3C97F402" w:rsidR="00804593" w:rsidRPr="007D7D97" w:rsidRDefault="00804593" w:rsidP="001851CA">
      <w:pPr>
        <w:pStyle w:val="NormalWeb"/>
        <w:jc w:val="both"/>
      </w:pPr>
      <w:r w:rsidRPr="007D7D97">
        <w:t>To ensure a co-ordinated approach and to address the challenges faced by the European automotive industry</w:t>
      </w:r>
      <w:r w:rsidR="007E79BF" w:rsidRPr="007E79BF">
        <w:t xml:space="preserve"> </w:t>
      </w:r>
      <w:r w:rsidR="007E79BF">
        <w:t>in the next 15</w:t>
      </w:r>
      <w:r w:rsidR="007E79BF" w:rsidRPr="007D7D97">
        <w:t xml:space="preserve"> years</w:t>
      </w:r>
      <w:r w:rsidRPr="007D7D97">
        <w:t>, the Commission has launched a new High Level Group for the automotive industry: GEAR 2030.</w:t>
      </w:r>
    </w:p>
    <w:p w14:paraId="654AF2D7" w14:textId="77777777" w:rsidR="00804593" w:rsidRPr="007D7D97" w:rsidRDefault="00804593" w:rsidP="001851CA">
      <w:pPr>
        <w:pStyle w:val="NormalWeb"/>
        <w:jc w:val="both"/>
      </w:pPr>
    </w:p>
    <w:p w14:paraId="01F8B891" w14:textId="64A3FF23" w:rsidR="00804593" w:rsidRPr="00804593" w:rsidRDefault="00804593" w:rsidP="001851CA">
      <w:pPr>
        <w:pStyle w:val="NormalWeb"/>
        <w:jc w:val="both"/>
      </w:pPr>
      <w:r w:rsidRPr="007D7D97">
        <w:t xml:space="preserve"> To remain competitive, the European automotive industry will quickly have to adapt to challenges from globalisation, changing mobility patte</w:t>
      </w:r>
      <w:r w:rsidR="007E79BF">
        <w:t xml:space="preserve">rns, digitalisation and </w:t>
      </w:r>
      <w:r w:rsidR="007D7D97" w:rsidRPr="007D7D97">
        <w:t xml:space="preserve">environmental </w:t>
      </w:r>
      <w:r w:rsidRPr="007D7D97">
        <w:t xml:space="preserve">expectations. </w:t>
      </w:r>
      <w:r w:rsidR="007D7D97" w:rsidRPr="007D7D97">
        <w:t>This is the purpose of the GEAR 2030 High level group (ex</w:t>
      </w:r>
      <w:r w:rsidR="007E79BF">
        <w:t>:</w:t>
      </w:r>
      <w:r w:rsidR="007D7D97" w:rsidRPr="007D7D97">
        <w:t xml:space="preserve"> CARS 2020) gathering industry and NGOs (CEOs</w:t>
      </w:r>
      <w:r w:rsidR="007E79BF">
        <w:t xml:space="preserve"> level</w:t>
      </w:r>
      <w:r w:rsidR="007D7D97" w:rsidRPr="007D7D97">
        <w:t>) and policy mak</w:t>
      </w:r>
      <w:bookmarkStart w:id="0" w:name="_GoBack"/>
      <w:bookmarkEnd w:id="0"/>
      <w:r w:rsidR="007D7D97" w:rsidRPr="007D7D97">
        <w:t xml:space="preserve">ers (Ministers and relevant Commissioners). This </w:t>
      </w:r>
      <w:r w:rsidR="007E79BF" w:rsidRPr="007D7D97">
        <w:t>High level group</w:t>
      </w:r>
      <w:r w:rsidR="007D7D97" w:rsidRPr="007D7D97">
        <w:t xml:space="preserve"> </w:t>
      </w:r>
      <w:r w:rsidR="007D7D97">
        <w:t xml:space="preserve">was </w:t>
      </w:r>
      <w:r w:rsidR="007D7D97" w:rsidRPr="007D7D97">
        <w:t xml:space="preserve">launched </w:t>
      </w:r>
      <w:r w:rsidR="007D7D97">
        <w:t xml:space="preserve">on 26 January </w:t>
      </w:r>
      <w:r w:rsidR="007E79BF">
        <w:t xml:space="preserve">2016 and </w:t>
      </w:r>
      <w:r w:rsidRPr="00804593">
        <w:t>will focus on three areas of work:</w:t>
      </w:r>
    </w:p>
    <w:p w14:paraId="3DCD5331" w14:textId="77777777" w:rsidR="00804593" w:rsidRPr="00804593" w:rsidRDefault="00804593" w:rsidP="001851CA">
      <w:pPr>
        <w:numPr>
          <w:ilvl w:val="0"/>
          <w:numId w:val="23"/>
        </w:numPr>
        <w:suppressAutoHyphens w:val="0"/>
        <w:spacing w:before="100" w:beforeAutospacing="1" w:after="100" w:afterAutospacing="1" w:line="240" w:lineRule="auto"/>
        <w:jc w:val="both"/>
        <w:rPr>
          <w:sz w:val="24"/>
          <w:szCs w:val="24"/>
          <w:lang w:val="en-US" w:eastAsia="fr-BE"/>
        </w:rPr>
      </w:pPr>
      <w:r w:rsidRPr="00804593">
        <w:rPr>
          <w:sz w:val="24"/>
          <w:szCs w:val="24"/>
          <w:lang w:val="en-US" w:eastAsia="fr-BE"/>
        </w:rPr>
        <w:t>the adaptation of the value chain to new global challenges</w:t>
      </w:r>
    </w:p>
    <w:p w14:paraId="08FD4158" w14:textId="77777777" w:rsidR="00804593" w:rsidRPr="00804593" w:rsidRDefault="00804593" w:rsidP="001851CA">
      <w:pPr>
        <w:numPr>
          <w:ilvl w:val="0"/>
          <w:numId w:val="23"/>
        </w:numPr>
        <w:suppressAutoHyphens w:val="0"/>
        <w:spacing w:before="100" w:beforeAutospacing="1" w:after="100" w:afterAutospacing="1" w:line="240" w:lineRule="auto"/>
        <w:jc w:val="both"/>
        <w:rPr>
          <w:sz w:val="24"/>
          <w:szCs w:val="24"/>
          <w:lang w:val="fr-BE" w:eastAsia="fr-BE"/>
        </w:rPr>
      </w:pPr>
      <w:r w:rsidRPr="00804593">
        <w:rPr>
          <w:sz w:val="24"/>
          <w:szCs w:val="24"/>
          <w:lang w:val="fr-BE" w:eastAsia="fr-BE"/>
        </w:rPr>
        <w:t xml:space="preserve">the </w:t>
      </w:r>
      <w:proofErr w:type="spellStart"/>
      <w:r w:rsidRPr="00804593">
        <w:rPr>
          <w:sz w:val="24"/>
          <w:szCs w:val="24"/>
          <w:lang w:val="fr-BE" w:eastAsia="fr-BE"/>
        </w:rPr>
        <w:t>automated</w:t>
      </w:r>
      <w:proofErr w:type="spellEnd"/>
      <w:r w:rsidRPr="00804593">
        <w:rPr>
          <w:sz w:val="24"/>
          <w:szCs w:val="24"/>
          <w:lang w:val="fr-BE" w:eastAsia="fr-BE"/>
        </w:rPr>
        <w:t xml:space="preserve"> and </w:t>
      </w:r>
      <w:proofErr w:type="spellStart"/>
      <w:r w:rsidRPr="00804593">
        <w:rPr>
          <w:sz w:val="24"/>
          <w:szCs w:val="24"/>
          <w:lang w:val="fr-BE" w:eastAsia="fr-BE"/>
        </w:rPr>
        <w:t>connected</w:t>
      </w:r>
      <w:proofErr w:type="spellEnd"/>
      <w:r w:rsidRPr="00804593">
        <w:rPr>
          <w:sz w:val="24"/>
          <w:szCs w:val="24"/>
          <w:lang w:val="fr-BE" w:eastAsia="fr-BE"/>
        </w:rPr>
        <w:t xml:space="preserve"> </w:t>
      </w:r>
      <w:proofErr w:type="spellStart"/>
      <w:r w:rsidRPr="00804593">
        <w:rPr>
          <w:sz w:val="24"/>
          <w:szCs w:val="24"/>
          <w:lang w:val="fr-BE" w:eastAsia="fr-BE"/>
        </w:rPr>
        <w:t>vehicles</w:t>
      </w:r>
      <w:proofErr w:type="spellEnd"/>
    </w:p>
    <w:p w14:paraId="76C07C78" w14:textId="77777777" w:rsidR="00804593" w:rsidRPr="00804593" w:rsidRDefault="00804593" w:rsidP="001851CA">
      <w:pPr>
        <w:numPr>
          <w:ilvl w:val="0"/>
          <w:numId w:val="23"/>
        </w:numPr>
        <w:suppressAutoHyphens w:val="0"/>
        <w:spacing w:before="100" w:beforeAutospacing="1" w:after="100" w:afterAutospacing="1" w:line="240" w:lineRule="auto"/>
        <w:jc w:val="both"/>
        <w:rPr>
          <w:sz w:val="24"/>
          <w:szCs w:val="24"/>
          <w:lang w:val="en-US" w:eastAsia="fr-BE"/>
        </w:rPr>
      </w:pPr>
      <w:proofErr w:type="gramStart"/>
      <w:r w:rsidRPr="00804593">
        <w:rPr>
          <w:sz w:val="24"/>
          <w:szCs w:val="24"/>
          <w:lang w:val="en-US" w:eastAsia="fr-BE"/>
        </w:rPr>
        <w:t>trade</w:t>
      </w:r>
      <w:proofErr w:type="gramEnd"/>
      <w:r w:rsidRPr="00804593">
        <w:rPr>
          <w:sz w:val="24"/>
          <w:szCs w:val="24"/>
          <w:lang w:val="en-US" w:eastAsia="fr-BE"/>
        </w:rPr>
        <w:t xml:space="preserve">, international </w:t>
      </w:r>
      <w:proofErr w:type="spellStart"/>
      <w:r w:rsidRPr="00804593">
        <w:rPr>
          <w:sz w:val="24"/>
          <w:szCs w:val="24"/>
          <w:lang w:val="en-US" w:eastAsia="fr-BE"/>
        </w:rPr>
        <w:t>harmonisation</w:t>
      </w:r>
      <w:proofErr w:type="spellEnd"/>
      <w:r w:rsidRPr="00804593">
        <w:rPr>
          <w:sz w:val="24"/>
          <w:szCs w:val="24"/>
          <w:lang w:val="en-US" w:eastAsia="fr-BE"/>
        </w:rPr>
        <w:t xml:space="preserve"> and global competitiveness.</w:t>
      </w:r>
    </w:p>
    <w:p w14:paraId="4CA8468C" w14:textId="027FD0B0" w:rsidR="007D7D97" w:rsidRPr="007D7D97" w:rsidRDefault="007D7D97" w:rsidP="001851CA">
      <w:pPr>
        <w:pStyle w:val="NormalWeb"/>
        <w:jc w:val="both"/>
        <w:rPr>
          <w:color w:val="000000"/>
          <w:lang w:val="en-US" w:eastAsia="fr-BE"/>
        </w:rPr>
      </w:pPr>
      <w:r w:rsidRPr="007D7D97">
        <w:t>The roadmap on highly automated vehicles will develop a common vision on the development of</w:t>
      </w:r>
      <w:r w:rsidRPr="007D7D97">
        <w:rPr>
          <w:color w:val="000000"/>
          <w:lang w:val="en-US" w:eastAsia="fr-BE"/>
        </w:rPr>
        <w:t xml:space="preserve"> these vehicles as well as a set of </w:t>
      </w:r>
      <w:r w:rsidR="007E79BF">
        <w:rPr>
          <w:color w:val="000000"/>
          <w:lang w:val="en-US" w:eastAsia="fr-BE"/>
        </w:rPr>
        <w:t xml:space="preserve">concrete </w:t>
      </w:r>
      <w:r w:rsidRPr="007D7D97">
        <w:rPr>
          <w:color w:val="000000"/>
          <w:lang w:val="en-US" w:eastAsia="fr-BE"/>
        </w:rPr>
        <w:t xml:space="preserve">actions regarding </w:t>
      </w:r>
    </w:p>
    <w:p w14:paraId="6EA74325" w14:textId="02FC6C2B" w:rsidR="007D7D97" w:rsidRPr="007D7D97" w:rsidRDefault="007D7D97" w:rsidP="001851CA">
      <w:pPr>
        <w:suppressAutoHyphens w:val="0"/>
        <w:spacing w:line="240" w:lineRule="auto"/>
        <w:jc w:val="both"/>
        <w:rPr>
          <w:color w:val="000000"/>
          <w:sz w:val="24"/>
          <w:szCs w:val="24"/>
          <w:lang w:val="en-US" w:eastAsia="fr-BE"/>
        </w:rPr>
      </w:pPr>
      <w:r w:rsidRPr="007D7D97">
        <w:rPr>
          <w:color w:val="000000"/>
          <w:sz w:val="24"/>
          <w:szCs w:val="24"/>
          <w:lang w:val="en-US" w:eastAsia="fr-BE"/>
        </w:rPr>
        <w:t xml:space="preserve">1) Regulatory and policy issues (e.g. vehicle approval, traffic rules, data issues, </w:t>
      </w:r>
      <w:r w:rsidR="007E79BF">
        <w:rPr>
          <w:color w:val="000000"/>
          <w:sz w:val="24"/>
          <w:szCs w:val="24"/>
          <w:lang w:val="en-US" w:eastAsia="fr-BE"/>
        </w:rPr>
        <w:t xml:space="preserve">liabilities, </w:t>
      </w:r>
      <w:r w:rsidRPr="007D7D97">
        <w:rPr>
          <w:color w:val="000000"/>
          <w:sz w:val="24"/>
          <w:szCs w:val="24"/>
          <w:lang w:val="en-US" w:eastAsia="fr-BE"/>
        </w:rPr>
        <w:t xml:space="preserve">responsibility issues, ethics, etc.) </w:t>
      </w:r>
    </w:p>
    <w:p w14:paraId="21C7DDED" w14:textId="77777777" w:rsidR="007D7D97" w:rsidRPr="007D7D97" w:rsidRDefault="007D7D97" w:rsidP="001851CA">
      <w:pPr>
        <w:suppressAutoHyphens w:val="0"/>
        <w:spacing w:line="240" w:lineRule="auto"/>
        <w:jc w:val="both"/>
        <w:rPr>
          <w:color w:val="000000"/>
          <w:sz w:val="24"/>
          <w:szCs w:val="24"/>
          <w:lang w:val="en-US" w:eastAsia="fr-BE"/>
        </w:rPr>
      </w:pPr>
      <w:r w:rsidRPr="007D7D97">
        <w:rPr>
          <w:color w:val="000000"/>
          <w:sz w:val="24"/>
          <w:szCs w:val="24"/>
          <w:lang w:val="en-US" w:eastAsia="fr-BE"/>
        </w:rPr>
        <w:t xml:space="preserve">2) Financing and research issues </w:t>
      </w:r>
    </w:p>
    <w:p w14:paraId="0B998DC4" w14:textId="77777777" w:rsidR="007D7D97" w:rsidRPr="007D7D97" w:rsidRDefault="007D7D97" w:rsidP="001851CA">
      <w:pPr>
        <w:suppressAutoHyphens w:val="0"/>
        <w:spacing w:line="240" w:lineRule="auto"/>
        <w:jc w:val="both"/>
        <w:rPr>
          <w:color w:val="000000"/>
          <w:sz w:val="24"/>
          <w:szCs w:val="24"/>
          <w:lang w:val="en-US" w:eastAsia="fr-BE"/>
        </w:rPr>
      </w:pPr>
      <w:r w:rsidRPr="007D7D97">
        <w:rPr>
          <w:color w:val="000000"/>
          <w:sz w:val="24"/>
          <w:szCs w:val="24"/>
          <w:lang w:val="en-US" w:eastAsia="fr-BE"/>
        </w:rPr>
        <w:t xml:space="preserve">3) Competitiveness/international issues. </w:t>
      </w:r>
    </w:p>
    <w:p w14:paraId="1CE04251" w14:textId="77777777" w:rsidR="007D7D97" w:rsidRPr="007D7D97" w:rsidRDefault="007D7D97" w:rsidP="001851CA">
      <w:pPr>
        <w:suppressAutoHyphens w:val="0"/>
        <w:spacing w:line="240" w:lineRule="auto"/>
        <w:jc w:val="both"/>
        <w:rPr>
          <w:color w:val="000000"/>
          <w:sz w:val="24"/>
          <w:szCs w:val="24"/>
          <w:lang w:val="en-US" w:eastAsia="fr-BE"/>
        </w:rPr>
      </w:pPr>
    </w:p>
    <w:p w14:paraId="625CD40C" w14:textId="28CE4CA5" w:rsidR="007D7D97" w:rsidRPr="007D7D97" w:rsidRDefault="007D7D97" w:rsidP="001851CA">
      <w:pPr>
        <w:suppressAutoHyphens w:val="0"/>
        <w:spacing w:line="240" w:lineRule="auto"/>
        <w:jc w:val="both"/>
        <w:rPr>
          <w:color w:val="000000"/>
          <w:sz w:val="24"/>
          <w:szCs w:val="24"/>
          <w:lang w:val="en-US" w:eastAsia="fr-BE"/>
        </w:rPr>
      </w:pPr>
      <w:r w:rsidRPr="007D7D97">
        <w:rPr>
          <w:color w:val="000000"/>
          <w:sz w:val="24"/>
          <w:szCs w:val="24"/>
          <w:lang w:val="en-US" w:eastAsia="fr-BE"/>
        </w:rPr>
        <w:t>This goal of this roadmap is to build political and stakeholder support for the different initiatives of the Commission on automated and connected vehicles</w:t>
      </w:r>
      <w:r w:rsidR="007E79BF">
        <w:rPr>
          <w:color w:val="000000"/>
          <w:sz w:val="24"/>
          <w:szCs w:val="24"/>
          <w:lang w:val="en-US" w:eastAsia="fr-BE"/>
        </w:rPr>
        <w:t xml:space="preserve"> and to have a coordinated approach in the Commission and in the Member States on this topic</w:t>
      </w:r>
      <w:r w:rsidRPr="007D7D97">
        <w:rPr>
          <w:color w:val="000000"/>
          <w:sz w:val="24"/>
          <w:szCs w:val="24"/>
          <w:lang w:val="en-US" w:eastAsia="fr-BE"/>
        </w:rPr>
        <w:t>.</w:t>
      </w:r>
      <w:r>
        <w:rPr>
          <w:color w:val="000000"/>
          <w:sz w:val="24"/>
          <w:szCs w:val="24"/>
          <w:lang w:val="en-US" w:eastAsia="fr-BE"/>
        </w:rPr>
        <w:t xml:space="preserve"> T</w:t>
      </w:r>
      <w:r w:rsidRPr="007D7D97">
        <w:rPr>
          <w:color w:val="000000"/>
          <w:sz w:val="24"/>
          <w:szCs w:val="24"/>
          <w:lang w:val="en-US" w:eastAsia="fr-BE"/>
        </w:rPr>
        <w:t>he “C-ITS platform” will feed the GEAR 2030 process as the initiatives from other Commission departments (e.g. Oettinger round table with the Telecom/car industries and the Digital single market initiative).</w:t>
      </w:r>
    </w:p>
    <w:p w14:paraId="1E3FBA29" w14:textId="77777777" w:rsidR="007D7D97" w:rsidRPr="007D7D97" w:rsidRDefault="007D7D97" w:rsidP="001851CA">
      <w:pPr>
        <w:suppressAutoHyphens w:val="0"/>
        <w:spacing w:line="240" w:lineRule="auto"/>
        <w:jc w:val="both"/>
        <w:rPr>
          <w:color w:val="000000"/>
          <w:sz w:val="24"/>
          <w:szCs w:val="24"/>
          <w:lang w:val="en-US" w:eastAsia="fr-BE"/>
        </w:rPr>
      </w:pPr>
    </w:p>
    <w:p w14:paraId="70093B44" w14:textId="05EE0581" w:rsidR="00804593" w:rsidRDefault="007D7D97" w:rsidP="001851CA">
      <w:pPr>
        <w:suppressAutoHyphens w:val="0"/>
        <w:spacing w:line="240" w:lineRule="auto"/>
        <w:jc w:val="both"/>
        <w:rPr>
          <w:color w:val="000000"/>
          <w:sz w:val="24"/>
          <w:szCs w:val="24"/>
          <w:lang w:val="en-US" w:eastAsia="fr-BE"/>
        </w:rPr>
      </w:pPr>
      <w:r w:rsidRPr="007D7D97">
        <w:rPr>
          <w:color w:val="000000"/>
          <w:sz w:val="24"/>
          <w:szCs w:val="24"/>
          <w:lang w:val="en-US" w:eastAsia="fr-BE"/>
        </w:rPr>
        <w:t>To carry out the work, GEAR 2030 will need the support of a dedicated working group on automated vehicles, but it is the intention to rely also on existing frameworks (e.g. UNECE, C-ITS platform from MOVE) for some of the issues in particular connectivity if these frameworks are able to deliver concrete actions</w:t>
      </w:r>
      <w:r>
        <w:rPr>
          <w:color w:val="000000"/>
          <w:sz w:val="24"/>
          <w:szCs w:val="24"/>
          <w:lang w:val="en-US" w:eastAsia="fr-BE"/>
        </w:rPr>
        <w:t>.</w:t>
      </w:r>
    </w:p>
    <w:p w14:paraId="3A8470F4" w14:textId="77777777" w:rsidR="007D7D97" w:rsidRDefault="007D7D97" w:rsidP="001851CA">
      <w:pPr>
        <w:suppressAutoHyphens w:val="0"/>
        <w:spacing w:line="240" w:lineRule="auto"/>
        <w:jc w:val="both"/>
        <w:rPr>
          <w:color w:val="000000"/>
          <w:sz w:val="24"/>
          <w:szCs w:val="24"/>
          <w:lang w:val="en-US" w:eastAsia="fr-BE"/>
        </w:rPr>
      </w:pPr>
    </w:p>
    <w:p w14:paraId="0CB6A054" w14:textId="53BE2F3E" w:rsidR="00804593" w:rsidRPr="007D7D97" w:rsidRDefault="007D7D97" w:rsidP="001851CA">
      <w:pPr>
        <w:suppressAutoHyphens w:val="0"/>
        <w:spacing w:line="240" w:lineRule="auto"/>
        <w:jc w:val="both"/>
        <w:rPr>
          <w:color w:val="000000"/>
          <w:sz w:val="24"/>
          <w:szCs w:val="24"/>
          <w:lang w:val="en-US" w:eastAsia="fr-BE"/>
        </w:rPr>
      </w:pPr>
      <w:r>
        <w:rPr>
          <w:color w:val="000000"/>
          <w:sz w:val="24"/>
          <w:szCs w:val="24"/>
          <w:lang w:val="en-US" w:eastAsia="fr-BE"/>
        </w:rPr>
        <w:t>More information as well as the working documents of GEAR 2030 may be found here:</w:t>
      </w:r>
    </w:p>
    <w:p w14:paraId="6645A4BE" w14:textId="7CB35DB9" w:rsidR="001A6D9D" w:rsidRDefault="001851CA" w:rsidP="001851CA">
      <w:pPr>
        <w:pStyle w:val="NormalWeb"/>
        <w:jc w:val="both"/>
      </w:pPr>
      <w:hyperlink r:id="rId16" w:history="1">
        <w:r w:rsidR="00804593" w:rsidRPr="00FB186D">
          <w:rPr>
            <w:rStyle w:val="Hyperlink"/>
          </w:rPr>
          <w:t>http://ec.europa.eu/growth/tools-databases/newsroom/cf/itemdetail.cfm?item_id=8507</w:t>
        </w:r>
      </w:hyperlink>
      <w:r w:rsidR="00804593">
        <w:t xml:space="preserve"> </w:t>
      </w:r>
    </w:p>
    <w:p w14:paraId="642653B4" w14:textId="688B38C2" w:rsidR="001A6D9D" w:rsidRDefault="007D7D97" w:rsidP="001851CA">
      <w:pPr>
        <w:pStyle w:val="NormalWeb"/>
        <w:jc w:val="both"/>
      </w:pPr>
      <w:r>
        <w:t>https://circabc.europa.eu/w/browse/f54801b8-e372-4b5f-be03-0d019a795d7c</w:t>
      </w:r>
    </w:p>
    <w:p w14:paraId="69B7B8F4" w14:textId="052C5479" w:rsidR="00D06031" w:rsidRPr="003B3EF4" w:rsidRDefault="00D06031" w:rsidP="001A6D9D">
      <w:pPr>
        <w:pStyle w:val="SingleTxtG"/>
        <w:ind w:left="0"/>
      </w:pPr>
    </w:p>
    <w:sectPr w:rsidR="00D06031" w:rsidRPr="003B3EF4" w:rsidSect="001851CA">
      <w:headerReference w:type="even" r:id="rId17"/>
      <w:headerReference w:type="first" r:id="rId18"/>
      <w:footnotePr>
        <w:numRestart w:val="eachSect"/>
      </w:footnotePr>
      <w:endnotePr>
        <w:numFmt w:val="decimal"/>
      </w:endnotePr>
      <w:pgSz w:w="11907" w:h="16840" w:code="9"/>
      <w:pgMar w:top="993" w:right="1134" w:bottom="851" w:left="1134" w:header="1134" w:footer="3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58346" w14:textId="77777777" w:rsidR="002511D8" w:rsidRDefault="002511D8"/>
  </w:endnote>
  <w:endnote w:type="continuationSeparator" w:id="0">
    <w:p w14:paraId="38AB1B01" w14:textId="77777777" w:rsidR="002511D8" w:rsidRDefault="002511D8"/>
  </w:endnote>
  <w:endnote w:type="continuationNotice" w:id="1">
    <w:p w14:paraId="5359CC75" w14:textId="77777777" w:rsidR="002511D8" w:rsidRDefault="00251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0F454" w14:textId="77777777" w:rsidR="002511D8" w:rsidRPr="000B175B" w:rsidRDefault="002511D8" w:rsidP="000B175B">
      <w:pPr>
        <w:tabs>
          <w:tab w:val="right" w:pos="2155"/>
        </w:tabs>
        <w:spacing w:after="80"/>
        <w:ind w:left="680"/>
        <w:rPr>
          <w:u w:val="single"/>
        </w:rPr>
      </w:pPr>
      <w:r>
        <w:rPr>
          <w:u w:val="single"/>
        </w:rPr>
        <w:tab/>
      </w:r>
    </w:p>
  </w:footnote>
  <w:footnote w:type="continuationSeparator" w:id="0">
    <w:p w14:paraId="1A34B39E" w14:textId="77777777" w:rsidR="002511D8" w:rsidRPr="00FC68B7" w:rsidRDefault="002511D8" w:rsidP="00FC68B7">
      <w:pPr>
        <w:tabs>
          <w:tab w:val="left" w:pos="2155"/>
        </w:tabs>
        <w:spacing w:after="80"/>
        <w:ind w:left="680"/>
        <w:rPr>
          <w:u w:val="single"/>
        </w:rPr>
      </w:pPr>
      <w:r>
        <w:rPr>
          <w:u w:val="single"/>
        </w:rPr>
        <w:tab/>
      </w:r>
    </w:p>
  </w:footnote>
  <w:footnote w:type="continuationNotice" w:id="1">
    <w:p w14:paraId="6715A392" w14:textId="77777777" w:rsidR="002511D8" w:rsidRDefault="002511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63C7" w14:textId="77777777" w:rsidR="00E90DB8" w:rsidRDefault="00E90DB8" w:rsidP="003B3EF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2698" w14:textId="77777777" w:rsidR="007B7F20" w:rsidRDefault="007B7F20" w:rsidP="003B3EF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4">
    <w:nsid w:val="2BD65D0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nsid w:val="410224FA"/>
    <w:multiLevelType w:val="hybridMultilevel"/>
    <w:tmpl w:val="38D836AA"/>
    <w:lvl w:ilvl="0" w:tplc="307EE008">
      <w:start w:val="1"/>
      <w:numFmt w:val="decimal"/>
      <w:lvlText w:val="%1."/>
      <w:lvlJc w:val="left"/>
      <w:pPr>
        <w:ind w:left="1689" w:hanging="555"/>
      </w:pPr>
      <w:rPr>
        <w:rFonts w:hint="default"/>
      </w:rPr>
    </w:lvl>
    <w:lvl w:ilvl="1" w:tplc="100C0019">
      <w:start w:val="1"/>
      <w:numFmt w:val="lowerLetter"/>
      <w:lvlText w:val="%2."/>
      <w:lvlJc w:val="left"/>
      <w:pPr>
        <w:ind w:left="2214" w:hanging="360"/>
      </w:pPr>
    </w:lvl>
    <w:lvl w:ilvl="2" w:tplc="100C001B">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7">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8">
    <w:nsid w:val="59B244A5"/>
    <w:multiLevelType w:val="multilevel"/>
    <w:tmpl w:val="6BDE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2">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0"/>
  </w:num>
  <w:num w:numId="15">
    <w:abstractNumId w:val="21"/>
  </w:num>
  <w:num w:numId="16">
    <w:abstractNumId w:val="17"/>
  </w:num>
  <w:num w:numId="17">
    <w:abstractNumId w:val="15"/>
  </w:num>
  <w:num w:numId="18">
    <w:abstractNumId w:val="22"/>
  </w:num>
  <w:num w:numId="19">
    <w:abstractNumId w:val="13"/>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6"/>
  </w:num>
  <w:num w:numId="22">
    <w:abstractNumId w:val="14"/>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activeWritingStyle w:appName="MSWord" w:lang="fr-B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0BFF"/>
    <w:rsid w:val="00011435"/>
    <w:rsid w:val="00013CF3"/>
    <w:rsid w:val="000163B0"/>
    <w:rsid w:val="000231DE"/>
    <w:rsid w:val="00032E80"/>
    <w:rsid w:val="00034E9C"/>
    <w:rsid w:val="00046B1F"/>
    <w:rsid w:val="00050F6B"/>
    <w:rsid w:val="00052635"/>
    <w:rsid w:val="000531FA"/>
    <w:rsid w:val="00055843"/>
    <w:rsid w:val="000559B9"/>
    <w:rsid w:val="00057E97"/>
    <w:rsid w:val="000646F4"/>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2C03"/>
    <w:rsid w:val="000C2D2E"/>
    <w:rsid w:val="000D56EA"/>
    <w:rsid w:val="000D6F43"/>
    <w:rsid w:val="000E0415"/>
    <w:rsid w:val="000E3B1C"/>
    <w:rsid w:val="000F58EC"/>
    <w:rsid w:val="000F6672"/>
    <w:rsid w:val="001029E4"/>
    <w:rsid w:val="00107548"/>
    <w:rsid w:val="00107AB3"/>
    <w:rsid w:val="001103AA"/>
    <w:rsid w:val="00111006"/>
    <w:rsid w:val="00111108"/>
    <w:rsid w:val="001132C7"/>
    <w:rsid w:val="0011332D"/>
    <w:rsid w:val="0011666B"/>
    <w:rsid w:val="001207D2"/>
    <w:rsid w:val="00121671"/>
    <w:rsid w:val="00143572"/>
    <w:rsid w:val="0015220F"/>
    <w:rsid w:val="00162F0F"/>
    <w:rsid w:val="0016422E"/>
    <w:rsid w:val="00165052"/>
    <w:rsid w:val="00165F3A"/>
    <w:rsid w:val="00172128"/>
    <w:rsid w:val="00177B8A"/>
    <w:rsid w:val="00182290"/>
    <w:rsid w:val="00184A31"/>
    <w:rsid w:val="001851CA"/>
    <w:rsid w:val="0018698C"/>
    <w:rsid w:val="001869D2"/>
    <w:rsid w:val="001929E4"/>
    <w:rsid w:val="00194A3E"/>
    <w:rsid w:val="00194ADE"/>
    <w:rsid w:val="001A3955"/>
    <w:rsid w:val="001A5484"/>
    <w:rsid w:val="001A6D9D"/>
    <w:rsid w:val="001B2A44"/>
    <w:rsid w:val="001B4B04"/>
    <w:rsid w:val="001C1CCF"/>
    <w:rsid w:val="001C6460"/>
    <w:rsid w:val="001C6663"/>
    <w:rsid w:val="001C7895"/>
    <w:rsid w:val="001D0C8C"/>
    <w:rsid w:val="001D0D73"/>
    <w:rsid w:val="001D1419"/>
    <w:rsid w:val="001D15B0"/>
    <w:rsid w:val="001D26DF"/>
    <w:rsid w:val="001D3A03"/>
    <w:rsid w:val="001E35CD"/>
    <w:rsid w:val="001E6622"/>
    <w:rsid w:val="001E7B67"/>
    <w:rsid w:val="001F3936"/>
    <w:rsid w:val="0020236B"/>
    <w:rsid w:val="00202DA8"/>
    <w:rsid w:val="00203D58"/>
    <w:rsid w:val="00203D94"/>
    <w:rsid w:val="00211E0B"/>
    <w:rsid w:val="0021382F"/>
    <w:rsid w:val="00217546"/>
    <w:rsid w:val="00231422"/>
    <w:rsid w:val="00236C43"/>
    <w:rsid w:val="0024772E"/>
    <w:rsid w:val="00247F8D"/>
    <w:rsid w:val="002511D8"/>
    <w:rsid w:val="00266FAF"/>
    <w:rsid w:val="0026758A"/>
    <w:rsid w:val="00267F5F"/>
    <w:rsid w:val="00270F51"/>
    <w:rsid w:val="00276332"/>
    <w:rsid w:val="00283F5B"/>
    <w:rsid w:val="00286B4D"/>
    <w:rsid w:val="00291B34"/>
    <w:rsid w:val="002A598C"/>
    <w:rsid w:val="002B19E4"/>
    <w:rsid w:val="002B5DFC"/>
    <w:rsid w:val="002B619C"/>
    <w:rsid w:val="002C27BE"/>
    <w:rsid w:val="002D4643"/>
    <w:rsid w:val="002E35F4"/>
    <w:rsid w:val="002E4AF3"/>
    <w:rsid w:val="002E5681"/>
    <w:rsid w:val="002E5B03"/>
    <w:rsid w:val="002E76AB"/>
    <w:rsid w:val="002F175C"/>
    <w:rsid w:val="002F7DE0"/>
    <w:rsid w:val="00302E18"/>
    <w:rsid w:val="00304201"/>
    <w:rsid w:val="00310296"/>
    <w:rsid w:val="0031068E"/>
    <w:rsid w:val="00314622"/>
    <w:rsid w:val="003156AB"/>
    <w:rsid w:val="003223F8"/>
    <w:rsid w:val="003229D8"/>
    <w:rsid w:val="00325F13"/>
    <w:rsid w:val="00326A91"/>
    <w:rsid w:val="00331D7D"/>
    <w:rsid w:val="00333C2F"/>
    <w:rsid w:val="003370BA"/>
    <w:rsid w:val="00344649"/>
    <w:rsid w:val="003504CE"/>
    <w:rsid w:val="00352709"/>
    <w:rsid w:val="00357666"/>
    <w:rsid w:val="003611B0"/>
    <w:rsid w:val="003619B5"/>
    <w:rsid w:val="00361AC3"/>
    <w:rsid w:val="003637C8"/>
    <w:rsid w:val="0036458E"/>
    <w:rsid w:val="00365477"/>
    <w:rsid w:val="00365763"/>
    <w:rsid w:val="00366D6D"/>
    <w:rsid w:val="00371178"/>
    <w:rsid w:val="003760D4"/>
    <w:rsid w:val="00382335"/>
    <w:rsid w:val="00385558"/>
    <w:rsid w:val="00390025"/>
    <w:rsid w:val="00392E47"/>
    <w:rsid w:val="00393204"/>
    <w:rsid w:val="003A027E"/>
    <w:rsid w:val="003A66CA"/>
    <w:rsid w:val="003A6810"/>
    <w:rsid w:val="003B18E2"/>
    <w:rsid w:val="003B2942"/>
    <w:rsid w:val="003B3EF4"/>
    <w:rsid w:val="003C2CC4"/>
    <w:rsid w:val="003C3FAF"/>
    <w:rsid w:val="003C47DE"/>
    <w:rsid w:val="003C534D"/>
    <w:rsid w:val="003D4B23"/>
    <w:rsid w:val="003E130E"/>
    <w:rsid w:val="003F67A7"/>
    <w:rsid w:val="00404283"/>
    <w:rsid w:val="00405D7F"/>
    <w:rsid w:val="00410C89"/>
    <w:rsid w:val="00413320"/>
    <w:rsid w:val="0041781E"/>
    <w:rsid w:val="00422E03"/>
    <w:rsid w:val="004236E2"/>
    <w:rsid w:val="00426B9B"/>
    <w:rsid w:val="004325CB"/>
    <w:rsid w:val="00433AE7"/>
    <w:rsid w:val="004365E1"/>
    <w:rsid w:val="00442A83"/>
    <w:rsid w:val="00447EBB"/>
    <w:rsid w:val="00451C77"/>
    <w:rsid w:val="004546C1"/>
    <w:rsid w:val="0045495B"/>
    <w:rsid w:val="004561E5"/>
    <w:rsid w:val="004612B2"/>
    <w:rsid w:val="00471A29"/>
    <w:rsid w:val="00481335"/>
    <w:rsid w:val="0048397A"/>
    <w:rsid w:val="00485CBB"/>
    <w:rsid w:val="004866B7"/>
    <w:rsid w:val="004871B5"/>
    <w:rsid w:val="004931A5"/>
    <w:rsid w:val="00493389"/>
    <w:rsid w:val="004A6ED7"/>
    <w:rsid w:val="004A7793"/>
    <w:rsid w:val="004B581C"/>
    <w:rsid w:val="004B7D36"/>
    <w:rsid w:val="004C0DEB"/>
    <w:rsid w:val="004C154E"/>
    <w:rsid w:val="004C1F6B"/>
    <w:rsid w:val="004C2461"/>
    <w:rsid w:val="004C501E"/>
    <w:rsid w:val="004C7462"/>
    <w:rsid w:val="004E103D"/>
    <w:rsid w:val="004E3754"/>
    <w:rsid w:val="004E56C4"/>
    <w:rsid w:val="004E77B2"/>
    <w:rsid w:val="00504B2D"/>
    <w:rsid w:val="0050607A"/>
    <w:rsid w:val="00510195"/>
    <w:rsid w:val="005141F7"/>
    <w:rsid w:val="005144EA"/>
    <w:rsid w:val="00515F5E"/>
    <w:rsid w:val="0052136D"/>
    <w:rsid w:val="005219A4"/>
    <w:rsid w:val="005248FF"/>
    <w:rsid w:val="0052775E"/>
    <w:rsid w:val="00532630"/>
    <w:rsid w:val="0053794A"/>
    <w:rsid w:val="005420F2"/>
    <w:rsid w:val="0054244D"/>
    <w:rsid w:val="005436C6"/>
    <w:rsid w:val="00544BA7"/>
    <w:rsid w:val="0055292C"/>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320C"/>
    <w:rsid w:val="005B3DB3"/>
    <w:rsid w:val="005B48A4"/>
    <w:rsid w:val="005B4E13"/>
    <w:rsid w:val="005C1A88"/>
    <w:rsid w:val="005C1A99"/>
    <w:rsid w:val="005C342F"/>
    <w:rsid w:val="005C4E03"/>
    <w:rsid w:val="005C7D1E"/>
    <w:rsid w:val="005E0E83"/>
    <w:rsid w:val="005F7691"/>
    <w:rsid w:val="005F7B75"/>
    <w:rsid w:val="006001EE"/>
    <w:rsid w:val="00605042"/>
    <w:rsid w:val="00610EFB"/>
    <w:rsid w:val="00611FC4"/>
    <w:rsid w:val="006176FB"/>
    <w:rsid w:val="00631266"/>
    <w:rsid w:val="00632E7E"/>
    <w:rsid w:val="00640B26"/>
    <w:rsid w:val="0064123D"/>
    <w:rsid w:val="00641DA6"/>
    <w:rsid w:val="00647727"/>
    <w:rsid w:val="00652D0A"/>
    <w:rsid w:val="00655665"/>
    <w:rsid w:val="00655949"/>
    <w:rsid w:val="00656F61"/>
    <w:rsid w:val="00662BB6"/>
    <w:rsid w:val="00671B51"/>
    <w:rsid w:val="00671B8F"/>
    <w:rsid w:val="0067362F"/>
    <w:rsid w:val="00676606"/>
    <w:rsid w:val="006772BD"/>
    <w:rsid w:val="00684C21"/>
    <w:rsid w:val="00694181"/>
    <w:rsid w:val="006969A5"/>
    <w:rsid w:val="006A2530"/>
    <w:rsid w:val="006A63DE"/>
    <w:rsid w:val="006B2AA8"/>
    <w:rsid w:val="006B38C2"/>
    <w:rsid w:val="006B6E1D"/>
    <w:rsid w:val="006C3589"/>
    <w:rsid w:val="006D0E64"/>
    <w:rsid w:val="006D2108"/>
    <w:rsid w:val="006D3334"/>
    <w:rsid w:val="006D37AF"/>
    <w:rsid w:val="006D51D0"/>
    <w:rsid w:val="006D5FB9"/>
    <w:rsid w:val="006D658E"/>
    <w:rsid w:val="006E1A85"/>
    <w:rsid w:val="006E291A"/>
    <w:rsid w:val="006E530E"/>
    <w:rsid w:val="006E564B"/>
    <w:rsid w:val="006E7191"/>
    <w:rsid w:val="006F0053"/>
    <w:rsid w:val="006F3603"/>
    <w:rsid w:val="006F55D5"/>
    <w:rsid w:val="006F6666"/>
    <w:rsid w:val="007005CC"/>
    <w:rsid w:val="00703577"/>
    <w:rsid w:val="00703725"/>
    <w:rsid w:val="00705894"/>
    <w:rsid w:val="00707AE7"/>
    <w:rsid w:val="007104D3"/>
    <w:rsid w:val="00710B46"/>
    <w:rsid w:val="00711DFF"/>
    <w:rsid w:val="00720B03"/>
    <w:rsid w:val="007220BA"/>
    <w:rsid w:val="00725824"/>
    <w:rsid w:val="0072632A"/>
    <w:rsid w:val="00731FBA"/>
    <w:rsid w:val="007327D5"/>
    <w:rsid w:val="007363A3"/>
    <w:rsid w:val="007374C7"/>
    <w:rsid w:val="00740ADE"/>
    <w:rsid w:val="00741DAB"/>
    <w:rsid w:val="007629C8"/>
    <w:rsid w:val="00763E39"/>
    <w:rsid w:val="00765FE0"/>
    <w:rsid w:val="0077047D"/>
    <w:rsid w:val="007808D3"/>
    <w:rsid w:val="00786C10"/>
    <w:rsid w:val="007941A9"/>
    <w:rsid w:val="007A28B3"/>
    <w:rsid w:val="007A3646"/>
    <w:rsid w:val="007B6BA5"/>
    <w:rsid w:val="007B7F20"/>
    <w:rsid w:val="007C3390"/>
    <w:rsid w:val="007C3FC8"/>
    <w:rsid w:val="007C4F4B"/>
    <w:rsid w:val="007D45C4"/>
    <w:rsid w:val="007D7231"/>
    <w:rsid w:val="007D7D97"/>
    <w:rsid w:val="007E01E9"/>
    <w:rsid w:val="007E4540"/>
    <w:rsid w:val="007E568F"/>
    <w:rsid w:val="007E63F3"/>
    <w:rsid w:val="007E79BF"/>
    <w:rsid w:val="007F00DD"/>
    <w:rsid w:val="007F255D"/>
    <w:rsid w:val="007F3821"/>
    <w:rsid w:val="007F6611"/>
    <w:rsid w:val="00804593"/>
    <w:rsid w:val="00805276"/>
    <w:rsid w:val="008057EE"/>
    <w:rsid w:val="008103A8"/>
    <w:rsid w:val="00811920"/>
    <w:rsid w:val="0081592B"/>
    <w:rsid w:val="00815AD0"/>
    <w:rsid w:val="00815EDB"/>
    <w:rsid w:val="0082239C"/>
    <w:rsid w:val="008242D7"/>
    <w:rsid w:val="008257B1"/>
    <w:rsid w:val="00832334"/>
    <w:rsid w:val="00843767"/>
    <w:rsid w:val="008679D9"/>
    <w:rsid w:val="0087205C"/>
    <w:rsid w:val="008752E1"/>
    <w:rsid w:val="00881990"/>
    <w:rsid w:val="00883522"/>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900152"/>
    <w:rsid w:val="009143FD"/>
    <w:rsid w:val="00915EF6"/>
    <w:rsid w:val="00917C48"/>
    <w:rsid w:val="009223CA"/>
    <w:rsid w:val="00922987"/>
    <w:rsid w:val="00923BBF"/>
    <w:rsid w:val="00930560"/>
    <w:rsid w:val="00930F85"/>
    <w:rsid w:val="0093745E"/>
    <w:rsid w:val="00940F93"/>
    <w:rsid w:val="00941ABE"/>
    <w:rsid w:val="00943CF0"/>
    <w:rsid w:val="0094467E"/>
    <w:rsid w:val="009448C3"/>
    <w:rsid w:val="009456C7"/>
    <w:rsid w:val="00953DD1"/>
    <w:rsid w:val="00955913"/>
    <w:rsid w:val="009760F3"/>
    <w:rsid w:val="00976CFB"/>
    <w:rsid w:val="009873AF"/>
    <w:rsid w:val="009A0830"/>
    <w:rsid w:val="009A0E8D"/>
    <w:rsid w:val="009A3168"/>
    <w:rsid w:val="009A581B"/>
    <w:rsid w:val="009B26E7"/>
    <w:rsid w:val="009B64BB"/>
    <w:rsid w:val="009C300D"/>
    <w:rsid w:val="009C442E"/>
    <w:rsid w:val="009D2100"/>
    <w:rsid w:val="009F1104"/>
    <w:rsid w:val="009F24C5"/>
    <w:rsid w:val="00A00697"/>
    <w:rsid w:val="00A00A3F"/>
    <w:rsid w:val="00A01489"/>
    <w:rsid w:val="00A062D2"/>
    <w:rsid w:val="00A16878"/>
    <w:rsid w:val="00A16D61"/>
    <w:rsid w:val="00A2253E"/>
    <w:rsid w:val="00A271CD"/>
    <w:rsid w:val="00A3026E"/>
    <w:rsid w:val="00A30B5B"/>
    <w:rsid w:val="00A312EA"/>
    <w:rsid w:val="00A338F1"/>
    <w:rsid w:val="00A35BE0"/>
    <w:rsid w:val="00A4537E"/>
    <w:rsid w:val="00A45D77"/>
    <w:rsid w:val="00A521DD"/>
    <w:rsid w:val="00A540A1"/>
    <w:rsid w:val="00A553C8"/>
    <w:rsid w:val="00A6129C"/>
    <w:rsid w:val="00A62C39"/>
    <w:rsid w:val="00A72710"/>
    <w:rsid w:val="00A72F22"/>
    <w:rsid w:val="00A7360F"/>
    <w:rsid w:val="00A748A6"/>
    <w:rsid w:val="00A769F4"/>
    <w:rsid w:val="00A776B4"/>
    <w:rsid w:val="00A9133E"/>
    <w:rsid w:val="00A91666"/>
    <w:rsid w:val="00A94361"/>
    <w:rsid w:val="00AA060A"/>
    <w:rsid w:val="00AA1FEF"/>
    <w:rsid w:val="00AA293C"/>
    <w:rsid w:val="00AA4D44"/>
    <w:rsid w:val="00AA6657"/>
    <w:rsid w:val="00AB347B"/>
    <w:rsid w:val="00AB582C"/>
    <w:rsid w:val="00AC4A1B"/>
    <w:rsid w:val="00AC7D2D"/>
    <w:rsid w:val="00AD4029"/>
    <w:rsid w:val="00AE15BF"/>
    <w:rsid w:val="00AE5CD0"/>
    <w:rsid w:val="00AF4E3A"/>
    <w:rsid w:val="00AF737B"/>
    <w:rsid w:val="00B104CC"/>
    <w:rsid w:val="00B212BB"/>
    <w:rsid w:val="00B275BE"/>
    <w:rsid w:val="00B30179"/>
    <w:rsid w:val="00B326F8"/>
    <w:rsid w:val="00B35B4B"/>
    <w:rsid w:val="00B402FA"/>
    <w:rsid w:val="00B421C1"/>
    <w:rsid w:val="00B45E41"/>
    <w:rsid w:val="00B53C21"/>
    <w:rsid w:val="00B53CE6"/>
    <w:rsid w:val="00B55C71"/>
    <w:rsid w:val="00B56DBD"/>
    <w:rsid w:val="00B56E4A"/>
    <w:rsid w:val="00B56E9C"/>
    <w:rsid w:val="00B57773"/>
    <w:rsid w:val="00B64B1F"/>
    <w:rsid w:val="00B6553F"/>
    <w:rsid w:val="00B72186"/>
    <w:rsid w:val="00B77D05"/>
    <w:rsid w:val="00B81206"/>
    <w:rsid w:val="00B81E12"/>
    <w:rsid w:val="00BA0995"/>
    <w:rsid w:val="00BA5275"/>
    <w:rsid w:val="00BC3FA0"/>
    <w:rsid w:val="00BC6FB5"/>
    <w:rsid w:val="00BC74E9"/>
    <w:rsid w:val="00BD11F9"/>
    <w:rsid w:val="00BE3693"/>
    <w:rsid w:val="00BF335A"/>
    <w:rsid w:val="00BF5897"/>
    <w:rsid w:val="00BF64FB"/>
    <w:rsid w:val="00BF68A8"/>
    <w:rsid w:val="00C025C4"/>
    <w:rsid w:val="00C051E2"/>
    <w:rsid w:val="00C11A03"/>
    <w:rsid w:val="00C21E00"/>
    <w:rsid w:val="00C22C0C"/>
    <w:rsid w:val="00C30657"/>
    <w:rsid w:val="00C3354D"/>
    <w:rsid w:val="00C40399"/>
    <w:rsid w:val="00C4527F"/>
    <w:rsid w:val="00C45828"/>
    <w:rsid w:val="00C463DD"/>
    <w:rsid w:val="00C4724C"/>
    <w:rsid w:val="00C573A0"/>
    <w:rsid w:val="00C601B9"/>
    <w:rsid w:val="00C629A0"/>
    <w:rsid w:val="00C6369C"/>
    <w:rsid w:val="00C64629"/>
    <w:rsid w:val="00C726B6"/>
    <w:rsid w:val="00C745C3"/>
    <w:rsid w:val="00C756CC"/>
    <w:rsid w:val="00C76E75"/>
    <w:rsid w:val="00C96DF2"/>
    <w:rsid w:val="00CA325A"/>
    <w:rsid w:val="00CA3C5B"/>
    <w:rsid w:val="00CA6B13"/>
    <w:rsid w:val="00CB3E03"/>
    <w:rsid w:val="00CD3B60"/>
    <w:rsid w:val="00CD4AA6"/>
    <w:rsid w:val="00CD78B5"/>
    <w:rsid w:val="00CE272F"/>
    <w:rsid w:val="00CE4A8F"/>
    <w:rsid w:val="00CF0F0B"/>
    <w:rsid w:val="00CF1A4B"/>
    <w:rsid w:val="00D016D9"/>
    <w:rsid w:val="00D023D0"/>
    <w:rsid w:val="00D04C8B"/>
    <w:rsid w:val="00D06031"/>
    <w:rsid w:val="00D16D9C"/>
    <w:rsid w:val="00D17394"/>
    <w:rsid w:val="00D2031B"/>
    <w:rsid w:val="00D214D8"/>
    <w:rsid w:val="00D24702"/>
    <w:rsid w:val="00D248B6"/>
    <w:rsid w:val="00D25C83"/>
    <w:rsid w:val="00D25FE2"/>
    <w:rsid w:val="00D26E07"/>
    <w:rsid w:val="00D303F4"/>
    <w:rsid w:val="00D3126E"/>
    <w:rsid w:val="00D322D8"/>
    <w:rsid w:val="00D360CC"/>
    <w:rsid w:val="00D4197B"/>
    <w:rsid w:val="00D43252"/>
    <w:rsid w:val="00D47EEA"/>
    <w:rsid w:val="00D51093"/>
    <w:rsid w:val="00D6145A"/>
    <w:rsid w:val="00D6640C"/>
    <w:rsid w:val="00D70056"/>
    <w:rsid w:val="00D74E1F"/>
    <w:rsid w:val="00D773DF"/>
    <w:rsid w:val="00D816DF"/>
    <w:rsid w:val="00D90635"/>
    <w:rsid w:val="00D92825"/>
    <w:rsid w:val="00D92E89"/>
    <w:rsid w:val="00D95303"/>
    <w:rsid w:val="00D978C6"/>
    <w:rsid w:val="00DA0476"/>
    <w:rsid w:val="00DA3C1C"/>
    <w:rsid w:val="00DA6132"/>
    <w:rsid w:val="00DC0DFA"/>
    <w:rsid w:val="00DC193F"/>
    <w:rsid w:val="00DC59E9"/>
    <w:rsid w:val="00DC6D39"/>
    <w:rsid w:val="00DD3320"/>
    <w:rsid w:val="00DD6958"/>
    <w:rsid w:val="00DE6B03"/>
    <w:rsid w:val="00E01BEB"/>
    <w:rsid w:val="00E03036"/>
    <w:rsid w:val="00E046DF"/>
    <w:rsid w:val="00E06D4A"/>
    <w:rsid w:val="00E11E65"/>
    <w:rsid w:val="00E22B0C"/>
    <w:rsid w:val="00E23D09"/>
    <w:rsid w:val="00E265A0"/>
    <w:rsid w:val="00E27346"/>
    <w:rsid w:val="00E40A45"/>
    <w:rsid w:val="00E40C7D"/>
    <w:rsid w:val="00E43A07"/>
    <w:rsid w:val="00E450F5"/>
    <w:rsid w:val="00E524B5"/>
    <w:rsid w:val="00E54749"/>
    <w:rsid w:val="00E560CA"/>
    <w:rsid w:val="00E60215"/>
    <w:rsid w:val="00E71BC8"/>
    <w:rsid w:val="00E7260F"/>
    <w:rsid w:val="00E7265E"/>
    <w:rsid w:val="00E73F5D"/>
    <w:rsid w:val="00E77E4E"/>
    <w:rsid w:val="00E838BD"/>
    <w:rsid w:val="00E87FBF"/>
    <w:rsid w:val="00E90DB8"/>
    <w:rsid w:val="00E944F7"/>
    <w:rsid w:val="00E963A2"/>
    <w:rsid w:val="00E96630"/>
    <w:rsid w:val="00EA2A77"/>
    <w:rsid w:val="00EA5931"/>
    <w:rsid w:val="00EB1090"/>
    <w:rsid w:val="00EB13D3"/>
    <w:rsid w:val="00EC6D8C"/>
    <w:rsid w:val="00ED7443"/>
    <w:rsid w:val="00ED7757"/>
    <w:rsid w:val="00ED7A2A"/>
    <w:rsid w:val="00EE112B"/>
    <w:rsid w:val="00EE2D63"/>
    <w:rsid w:val="00EF0B13"/>
    <w:rsid w:val="00EF1D7F"/>
    <w:rsid w:val="00F07589"/>
    <w:rsid w:val="00F16022"/>
    <w:rsid w:val="00F240A1"/>
    <w:rsid w:val="00F2555C"/>
    <w:rsid w:val="00F256C2"/>
    <w:rsid w:val="00F31E5F"/>
    <w:rsid w:val="00F35213"/>
    <w:rsid w:val="00F40B22"/>
    <w:rsid w:val="00F443FF"/>
    <w:rsid w:val="00F508A3"/>
    <w:rsid w:val="00F5399E"/>
    <w:rsid w:val="00F6100A"/>
    <w:rsid w:val="00F92CAD"/>
    <w:rsid w:val="00F93781"/>
    <w:rsid w:val="00F95493"/>
    <w:rsid w:val="00F977DF"/>
    <w:rsid w:val="00FA4F63"/>
    <w:rsid w:val="00FA61BA"/>
    <w:rsid w:val="00FB415B"/>
    <w:rsid w:val="00FB613B"/>
    <w:rsid w:val="00FC234D"/>
    <w:rsid w:val="00FC6329"/>
    <w:rsid w:val="00FC68B7"/>
    <w:rsid w:val="00FD2962"/>
    <w:rsid w:val="00FD3F98"/>
    <w:rsid w:val="00FD4F8D"/>
    <w:rsid w:val="00FE106A"/>
    <w:rsid w:val="00FE1696"/>
    <w:rsid w:val="00FE5476"/>
    <w:rsid w:val="00FE7450"/>
    <w:rsid w:val="00FF145D"/>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1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07AE7"/>
    <w:rPr>
      <w:sz w:val="6"/>
    </w:rPr>
  </w:style>
  <w:style w:type="paragraph" w:styleId="CommentText">
    <w:name w:val="annotation text"/>
    <w:basedOn w:val="Normal"/>
    <w:link w:val="CommentTextChar"/>
    <w:semiHidden/>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Default">
    <w:name w:val="Default"/>
    <w:rsid w:val="00111006"/>
    <w:pPr>
      <w:autoSpaceDE w:val="0"/>
      <w:autoSpaceDN w:val="0"/>
      <w:adjustRightInd w:val="0"/>
    </w:pPr>
    <w:rPr>
      <w:color w:val="000000"/>
      <w:sz w:val="24"/>
      <w:szCs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07AE7"/>
    <w:rPr>
      <w:sz w:val="6"/>
    </w:rPr>
  </w:style>
  <w:style w:type="paragraph" w:styleId="CommentText">
    <w:name w:val="annotation text"/>
    <w:basedOn w:val="Normal"/>
    <w:link w:val="CommentTextChar"/>
    <w:semiHidden/>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Default">
    <w:name w:val="Default"/>
    <w:rsid w:val="00111006"/>
    <w:pPr>
      <w:autoSpaceDE w:val="0"/>
      <w:autoSpaceDN w:val="0"/>
      <w:adjustRightInd w:val="0"/>
    </w:pPr>
    <w:rPr>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42255971">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953052877">
      <w:bodyDiv w:val="1"/>
      <w:marLeft w:val="0"/>
      <w:marRight w:val="0"/>
      <w:marTop w:val="0"/>
      <w:marBottom w:val="0"/>
      <w:divBdr>
        <w:top w:val="none" w:sz="0" w:space="0" w:color="auto"/>
        <w:left w:val="none" w:sz="0" w:space="0" w:color="auto"/>
        <w:bottom w:val="none" w:sz="0" w:space="0" w:color="auto"/>
        <w:right w:val="none" w:sz="0" w:space="0" w:color="auto"/>
      </w:divBdr>
      <w:divsChild>
        <w:div w:id="596595890">
          <w:marLeft w:val="0"/>
          <w:marRight w:val="0"/>
          <w:marTop w:val="0"/>
          <w:marBottom w:val="0"/>
          <w:divBdr>
            <w:top w:val="none" w:sz="0" w:space="0" w:color="auto"/>
            <w:left w:val="none" w:sz="0" w:space="0" w:color="auto"/>
            <w:bottom w:val="none" w:sz="0" w:space="0" w:color="auto"/>
            <w:right w:val="none" w:sz="0" w:space="0" w:color="auto"/>
          </w:divBdr>
        </w:div>
        <w:div w:id="1392658135">
          <w:marLeft w:val="0"/>
          <w:marRight w:val="0"/>
          <w:marTop w:val="0"/>
          <w:marBottom w:val="0"/>
          <w:divBdr>
            <w:top w:val="none" w:sz="0" w:space="0" w:color="auto"/>
            <w:left w:val="none" w:sz="0" w:space="0" w:color="auto"/>
            <w:bottom w:val="none" w:sz="0" w:space="0" w:color="auto"/>
            <w:right w:val="none" w:sz="0" w:space="0" w:color="auto"/>
          </w:divBdr>
        </w:div>
      </w:divsChild>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210075091">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sChild>
        <w:div w:id="1569614734">
          <w:marLeft w:val="0"/>
          <w:marRight w:val="0"/>
          <w:marTop w:val="0"/>
          <w:marBottom w:val="0"/>
          <w:divBdr>
            <w:top w:val="none" w:sz="0" w:space="0" w:color="auto"/>
            <w:left w:val="none" w:sz="0" w:space="0" w:color="auto"/>
            <w:bottom w:val="none" w:sz="0" w:space="0" w:color="auto"/>
            <w:right w:val="none" w:sz="0" w:space="0" w:color="auto"/>
          </w:divBdr>
          <w:divsChild>
            <w:div w:id="1985114162">
              <w:marLeft w:val="0"/>
              <w:marRight w:val="0"/>
              <w:marTop w:val="0"/>
              <w:marBottom w:val="0"/>
              <w:divBdr>
                <w:top w:val="none" w:sz="0" w:space="0" w:color="auto"/>
                <w:left w:val="none" w:sz="0" w:space="0" w:color="auto"/>
                <w:bottom w:val="none" w:sz="0" w:space="0" w:color="auto"/>
                <w:right w:val="none" w:sz="0" w:space="0" w:color="auto"/>
              </w:divBdr>
              <w:divsChild>
                <w:div w:id="1240213561">
                  <w:marLeft w:val="0"/>
                  <w:marRight w:val="0"/>
                  <w:marTop w:val="0"/>
                  <w:marBottom w:val="0"/>
                  <w:divBdr>
                    <w:top w:val="none" w:sz="0" w:space="0" w:color="auto"/>
                    <w:left w:val="none" w:sz="0" w:space="0" w:color="auto"/>
                    <w:bottom w:val="none" w:sz="0" w:space="0" w:color="auto"/>
                    <w:right w:val="none" w:sz="0" w:space="0" w:color="auto"/>
                  </w:divBdr>
                </w:div>
                <w:div w:id="920716176">
                  <w:marLeft w:val="0"/>
                  <w:marRight w:val="0"/>
                  <w:marTop w:val="0"/>
                  <w:marBottom w:val="0"/>
                  <w:divBdr>
                    <w:top w:val="none" w:sz="0" w:space="0" w:color="auto"/>
                    <w:left w:val="none" w:sz="0" w:space="0" w:color="auto"/>
                    <w:bottom w:val="none" w:sz="0" w:space="0" w:color="auto"/>
                    <w:right w:val="none" w:sz="0" w:space="0" w:color="auto"/>
                  </w:divBdr>
                </w:div>
                <w:div w:id="983662020">
                  <w:marLeft w:val="0"/>
                  <w:marRight w:val="0"/>
                  <w:marTop w:val="0"/>
                  <w:marBottom w:val="0"/>
                  <w:divBdr>
                    <w:top w:val="none" w:sz="0" w:space="0" w:color="auto"/>
                    <w:left w:val="none" w:sz="0" w:space="0" w:color="auto"/>
                    <w:bottom w:val="none" w:sz="0" w:space="0" w:color="auto"/>
                    <w:right w:val="none" w:sz="0" w:space="0" w:color="auto"/>
                  </w:divBdr>
                </w:div>
                <w:div w:id="1799060552">
                  <w:marLeft w:val="0"/>
                  <w:marRight w:val="0"/>
                  <w:marTop w:val="0"/>
                  <w:marBottom w:val="0"/>
                  <w:divBdr>
                    <w:top w:val="none" w:sz="0" w:space="0" w:color="auto"/>
                    <w:left w:val="none" w:sz="0" w:space="0" w:color="auto"/>
                    <w:bottom w:val="none" w:sz="0" w:space="0" w:color="auto"/>
                    <w:right w:val="none" w:sz="0" w:space="0" w:color="auto"/>
                  </w:divBdr>
                </w:div>
                <w:div w:id="285895479">
                  <w:marLeft w:val="0"/>
                  <w:marRight w:val="0"/>
                  <w:marTop w:val="0"/>
                  <w:marBottom w:val="0"/>
                  <w:divBdr>
                    <w:top w:val="none" w:sz="0" w:space="0" w:color="auto"/>
                    <w:left w:val="none" w:sz="0" w:space="0" w:color="auto"/>
                    <w:bottom w:val="none" w:sz="0" w:space="0" w:color="auto"/>
                    <w:right w:val="none" w:sz="0" w:space="0" w:color="auto"/>
                  </w:divBdr>
                </w:div>
                <w:div w:id="1022895063">
                  <w:marLeft w:val="0"/>
                  <w:marRight w:val="0"/>
                  <w:marTop w:val="0"/>
                  <w:marBottom w:val="0"/>
                  <w:divBdr>
                    <w:top w:val="none" w:sz="0" w:space="0" w:color="auto"/>
                    <w:left w:val="none" w:sz="0" w:space="0" w:color="auto"/>
                    <w:bottom w:val="none" w:sz="0" w:space="0" w:color="auto"/>
                    <w:right w:val="none" w:sz="0" w:space="0" w:color="auto"/>
                  </w:divBdr>
                </w:div>
                <w:div w:id="1988779056">
                  <w:marLeft w:val="0"/>
                  <w:marRight w:val="0"/>
                  <w:marTop w:val="0"/>
                  <w:marBottom w:val="0"/>
                  <w:divBdr>
                    <w:top w:val="none" w:sz="0" w:space="0" w:color="auto"/>
                    <w:left w:val="none" w:sz="0" w:space="0" w:color="auto"/>
                    <w:bottom w:val="none" w:sz="0" w:space="0" w:color="auto"/>
                    <w:right w:val="none" w:sz="0" w:space="0" w:color="auto"/>
                  </w:divBdr>
                </w:div>
                <w:div w:id="1141774970">
                  <w:marLeft w:val="0"/>
                  <w:marRight w:val="0"/>
                  <w:marTop w:val="0"/>
                  <w:marBottom w:val="0"/>
                  <w:divBdr>
                    <w:top w:val="none" w:sz="0" w:space="0" w:color="auto"/>
                    <w:left w:val="none" w:sz="0" w:space="0" w:color="auto"/>
                    <w:bottom w:val="none" w:sz="0" w:space="0" w:color="auto"/>
                    <w:right w:val="none" w:sz="0" w:space="0" w:color="auto"/>
                  </w:divBdr>
                </w:div>
                <w:div w:id="1062829490">
                  <w:marLeft w:val="0"/>
                  <w:marRight w:val="0"/>
                  <w:marTop w:val="0"/>
                  <w:marBottom w:val="0"/>
                  <w:divBdr>
                    <w:top w:val="none" w:sz="0" w:space="0" w:color="auto"/>
                    <w:left w:val="none" w:sz="0" w:space="0" w:color="auto"/>
                    <w:bottom w:val="none" w:sz="0" w:space="0" w:color="auto"/>
                    <w:right w:val="none" w:sz="0" w:space="0" w:color="auto"/>
                  </w:divBdr>
                </w:div>
                <w:div w:id="10848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8121">
      <w:bodyDiv w:val="1"/>
      <w:marLeft w:val="0"/>
      <w:marRight w:val="0"/>
      <w:marTop w:val="0"/>
      <w:marBottom w:val="0"/>
      <w:divBdr>
        <w:top w:val="none" w:sz="0" w:space="0" w:color="auto"/>
        <w:left w:val="none" w:sz="0" w:space="0" w:color="auto"/>
        <w:bottom w:val="none" w:sz="0" w:space="0" w:color="auto"/>
        <w:right w:val="none" w:sz="0" w:space="0" w:color="auto"/>
      </w:divBdr>
      <w:divsChild>
        <w:div w:id="803043580">
          <w:marLeft w:val="0"/>
          <w:marRight w:val="0"/>
          <w:marTop w:val="0"/>
          <w:marBottom w:val="0"/>
          <w:divBdr>
            <w:top w:val="none" w:sz="0" w:space="0" w:color="auto"/>
            <w:left w:val="none" w:sz="0" w:space="0" w:color="auto"/>
            <w:bottom w:val="none" w:sz="0" w:space="0" w:color="auto"/>
            <w:right w:val="none" w:sz="0" w:space="0" w:color="auto"/>
          </w:divBdr>
        </w:div>
        <w:div w:id="11325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inea/en/connecting-europe-facility/cef-transport/projects-by-transport-mode/its-for-road"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europa.eu/growth/tools-databases/newsroom/cf/itemdetail.cfm?item_id=85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ea/en/ten-t/ten-t-projects/projects-by-transport-mode/its-for-road" TargetMode="External"/><Relationship Id="rId5" Type="http://schemas.openxmlformats.org/officeDocument/2006/relationships/settings" Target="settings.xml"/><Relationship Id="rId15" Type="http://schemas.openxmlformats.org/officeDocument/2006/relationships/image" Target="media/image2.gif"/><Relationship Id="rId10" Type="http://schemas.openxmlformats.org/officeDocument/2006/relationships/hyperlink" Target="http://ec.europa.eu/transport/themes/its/news/doc/c-its-platform-deployment/corrigendum-call-for-application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transport/themes/its/news/c-its-deployment-platform_en.htm" TargetMode="External"/><Relationship Id="rId14" Type="http://schemas.openxmlformats.org/officeDocument/2006/relationships/hyperlink" Target="http://ec.europa.eu/transport/themes/its/doc/c-its-platform-final-report-january-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2EAD-2D05-4122-B65B-45C996CE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2</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Francois E. Guichard</cp:lastModifiedBy>
  <cp:revision>2</cp:revision>
  <cp:lastPrinted>2012-09-11T09:32:00Z</cp:lastPrinted>
  <dcterms:created xsi:type="dcterms:W3CDTF">2016-02-04T07:56:00Z</dcterms:created>
  <dcterms:modified xsi:type="dcterms:W3CDTF">2016-02-04T07:56:00Z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