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B85364">
                <w:t>TRANS/WP.29/GRRF/2016/31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CF781A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B85364">
                <w:t>7 July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CF781A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D6AEF" w:rsidRPr="00562B32" w:rsidRDefault="001D6AEF" w:rsidP="00562B32">
      <w:pPr>
        <w:spacing w:before="120"/>
        <w:rPr>
          <w:sz w:val="28"/>
          <w:szCs w:val="28"/>
        </w:rPr>
      </w:pPr>
      <w:r w:rsidRPr="00562B32">
        <w:rPr>
          <w:sz w:val="28"/>
          <w:szCs w:val="28"/>
        </w:rPr>
        <w:t>Комитет по внутреннему транспорту</w:t>
      </w:r>
    </w:p>
    <w:p w:rsidR="001D6AEF" w:rsidRPr="00562B32" w:rsidRDefault="001D6AEF" w:rsidP="00562B32">
      <w:pPr>
        <w:spacing w:before="120"/>
        <w:rPr>
          <w:b/>
          <w:bCs/>
          <w:sz w:val="24"/>
          <w:szCs w:val="24"/>
        </w:rPr>
      </w:pPr>
      <w:r w:rsidRPr="00562B32">
        <w:rPr>
          <w:b/>
          <w:bCs/>
          <w:sz w:val="24"/>
          <w:szCs w:val="24"/>
        </w:rPr>
        <w:t>Всемирны</w:t>
      </w:r>
      <w:r w:rsidR="00562B32">
        <w:rPr>
          <w:b/>
          <w:bCs/>
          <w:sz w:val="24"/>
          <w:szCs w:val="24"/>
        </w:rPr>
        <w:t>й форум для согласования правил</w:t>
      </w:r>
      <w:r w:rsidR="00562B32" w:rsidRPr="00562B32">
        <w:rPr>
          <w:b/>
          <w:bCs/>
          <w:sz w:val="24"/>
          <w:szCs w:val="24"/>
        </w:rPr>
        <w:br/>
      </w:r>
      <w:r w:rsidRPr="00562B32">
        <w:rPr>
          <w:b/>
          <w:bCs/>
          <w:sz w:val="24"/>
          <w:szCs w:val="24"/>
        </w:rPr>
        <w:t>в области транспортных средств</w:t>
      </w:r>
    </w:p>
    <w:p w:rsidR="001D6AEF" w:rsidRPr="00562B32" w:rsidRDefault="001D6AEF" w:rsidP="00562B32">
      <w:pPr>
        <w:spacing w:before="120"/>
        <w:rPr>
          <w:b/>
          <w:bCs/>
        </w:rPr>
      </w:pPr>
      <w:r w:rsidRPr="00562B32">
        <w:rPr>
          <w:b/>
          <w:bCs/>
        </w:rPr>
        <w:t>Рабоча</w:t>
      </w:r>
      <w:r w:rsidR="00562B32">
        <w:rPr>
          <w:b/>
          <w:bCs/>
        </w:rPr>
        <w:t>я группа по вопросам торможения</w:t>
      </w:r>
      <w:r w:rsidR="00562B32" w:rsidRPr="00562B32">
        <w:rPr>
          <w:b/>
          <w:bCs/>
        </w:rPr>
        <w:br/>
      </w:r>
      <w:r w:rsidRPr="00562B32">
        <w:rPr>
          <w:b/>
          <w:bCs/>
        </w:rPr>
        <w:t>и ходовой части</w:t>
      </w:r>
    </w:p>
    <w:p w:rsidR="001D6AEF" w:rsidRPr="00562B32" w:rsidRDefault="001D6AEF" w:rsidP="00562B32">
      <w:pPr>
        <w:spacing w:before="120"/>
        <w:rPr>
          <w:b/>
          <w:bCs/>
        </w:rPr>
      </w:pPr>
      <w:r w:rsidRPr="00562B32">
        <w:rPr>
          <w:b/>
          <w:bCs/>
        </w:rPr>
        <w:t>Восемьдесят вторая сессия</w:t>
      </w:r>
    </w:p>
    <w:p w:rsidR="001D6AEF" w:rsidRPr="001D6AEF" w:rsidRDefault="001D6AEF" w:rsidP="00562B32">
      <w:r w:rsidRPr="001D6AEF">
        <w:t>Женева, 20−23 сентября 2016 года</w:t>
      </w:r>
    </w:p>
    <w:p w:rsidR="001D6AEF" w:rsidRPr="001D6AEF" w:rsidRDefault="001D6AEF" w:rsidP="00562B32">
      <w:r w:rsidRPr="001D6AEF">
        <w:t>Пункт 4 предварительной повестки дня</w:t>
      </w:r>
    </w:p>
    <w:p w:rsidR="001D6AEF" w:rsidRPr="00562B32" w:rsidRDefault="001D6AEF" w:rsidP="00562B32">
      <w:pPr>
        <w:rPr>
          <w:b/>
          <w:bCs/>
        </w:rPr>
      </w:pPr>
      <w:r w:rsidRPr="00562B32">
        <w:rPr>
          <w:b/>
          <w:bCs/>
        </w:rPr>
        <w:t>Правила № 55</w:t>
      </w:r>
      <w:r w:rsidRPr="00562B32">
        <w:rPr>
          <w:rStyle w:val="FootnoteReference"/>
          <w:b/>
          <w:bCs/>
          <w:sz w:val="20"/>
          <w:vertAlign w:val="baseline"/>
        </w:rPr>
        <w:t xml:space="preserve"> </w:t>
      </w:r>
    </w:p>
    <w:p w:rsidR="001D6AEF" w:rsidRPr="001D6AEF" w:rsidRDefault="00562B32" w:rsidP="00562B32">
      <w:pPr>
        <w:pStyle w:val="HChGR"/>
      </w:pPr>
      <w:r w:rsidRPr="00A90CA4">
        <w:tab/>
      </w:r>
      <w:r w:rsidRPr="00A90CA4">
        <w:tab/>
      </w:r>
      <w:r w:rsidR="001D6AEF" w:rsidRPr="001D6AEF">
        <w:t xml:space="preserve">Предложение по поправкам к Правилам № 55 (механические сцепные устройства) </w:t>
      </w:r>
    </w:p>
    <w:p w:rsidR="001D6AEF" w:rsidRPr="001D6AEF" w:rsidRDefault="00562B32" w:rsidP="00562B32">
      <w:pPr>
        <w:pStyle w:val="H1GR"/>
      </w:pPr>
      <w:r w:rsidRPr="00A90CA4">
        <w:tab/>
      </w:r>
      <w:r w:rsidRPr="00A90CA4">
        <w:tab/>
      </w:r>
      <w:r w:rsidR="001D6AEF" w:rsidRPr="001D6AEF">
        <w:t xml:space="preserve">Представлено Председателем неофициальной </w:t>
      </w:r>
      <w:r w:rsidR="001D6AEF">
        <w:t>рабочей группы по Правилам № 55</w:t>
      </w:r>
      <w:r w:rsidR="001D6AEF" w:rsidRPr="00562B32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1D6AEF" w:rsidRPr="001D6AEF" w:rsidRDefault="00562B32" w:rsidP="001D6AEF">
      <w:pPr>
        <w:pStyle w:val="SingleTxtGR"/>
      </w:pPr>
      <w:r w:rsidRPr="00A90CA4">
        <w:tab/>
      </w:r>
      <w:r w:rsidR="001D6AEF" w:rsidRPr="001D6AEF">
        <w:t>Воспроизведенный ниже текст был подготовлен экспертами неофициал</w:t>
      </w:r>
      <w:r w:rsidR="001D6AEF" w:rsidRPr="001D6AEF">
        <w:t>ь</w:t>
      </w:r>
      <w:r w:rsidR="001D6AEF" w:rsidRPr="001D6AEF">
        <w:t xml:space="preserve">ной рабочей группы по Правилам № 55 и содержит: </w:t>
      </w:r>
    </w:p>
    <w:p w:rsidR="001D6AEF" w:rsidRPr="001D6AEF" w:rsidRDefault="00562B32" w:rsidP="001D6AEF">
      <w:pPr>
        <w:pStyle w:val="SingleTxtGR"/>
      </w:pPr>
      <w:r w:rsidRPr="00A90CA4">
        <w:tab/>
      </w:r>
      <w:r w:rsidR="001D6AEF" w:rsidRPr="001D6AEF">
        <w:t>a)</w:t>
      </w:r>
      <w:r w:rsidR="001D6AEF" w:rsidRPr="001D6AEF">
        <w:tab/>
        <w:t>исправление ошибки на рис. 12 и 17 в приложении 5;</w:t>
      </w:r>
    </w:p>
    <w:p w:rsidR="001D6AEF" w:rsidRPr="001D6AEF" w:rsidRDefault="00562B32" w:rsidP="001D6AEF">
      <w:pPr>
        <w:pStyle w:val="SingleTxtGR"/>
      </w:pPr>
      <w:r w:rsidRPr="00A90CA4">
        <w:tab/>
      </w:r>
      <w:r w:rsidR="001D6AEF" w:rsidRPr="001D6AEF">
        <w:t>b)</w:t>
      </w:r>
      <w:r w:rsidR="001D6AEF" w:rsidRPr="001D6AEF">
        <w:tab/>
        <w:t>поправку, касающуюся определения наименее благоприятных условий для оценки конструкции;</w:t>
      </w:r>
    </w:p>
    <w:p w:rsidR="001D6AEF" w:rsidRPr="001D6AEF" w:rsidRDefault="00562B32" w:rsidP="001D6AEF">
      <w:pPr>
        <w:pStyle w:val="SingleTxtGR"/>
      </w:pPr>
      <w:r w:rsidRPr="00A90CA4">
        <w:tab/>
      </w:r>
      <w:r w:rsidR="001D6AEF" w:rsidRPr="001D6AEF">
        <w:t>с)</w:t>
      </w:r>
      <w:r w:rsidR="001D6AEF" w:rsidRPr="001D6AEF">
        <w:tab/>
        <w:t>разъяснения в отношении минимальной величины углов отклон</w:t>
      </w:r>
      <w:r w:rsidR="001D6AEF" w:rsidRPr="001D6AEF">
        <w:t>е</w:t>
      </w:r>
      <w:r w:rsidR="001D6AEF" w:rsidRPr="001D6AEF">
        <w:t>ния.</w:t>
      </w:r>
    </w:p>
    <w:p w:rsidR="001D6AEF" w:rsidRPr="001D6AEF" w:rsidRDefault="00562B32" w:rsidP="001D6AEF">
      <w:pPr>
        <w:pStyle w:val="SingleTxtGR"/>
      </w:pPr>
      <w:r w:rsidRPr="00A90CA4">
        <w:tab/>
      </w:r>
      <w:r w:rsidR="001D6AEF" w:rsidRPr="001D6AEF">
        <w:t>Изменения к существующему тексту Правил выделены жирным шрифтом в случае новых положений или зачеркиванием в случае исключенных элеме</w:t>
      </w:r>
      <w:r w:rsidR="001D6AEF" w:rsidRPr="001D6AEF">
        <w:t>н</w:t>
      </w:r>
      <w:r w:rsidR="001D6AEF" w:rsidRPr="001D6AEF">
        <w:t>тов.</w:t>
      </w:r>
    </w:p>
    <w:p w:rsidR="001D6AEF" w:rsidRPr="001D6AEF" w:rsidRDefault="00562B32" w:rsidP="00562B32">
      <w:pPr>
        <w:pStyle w:val="HChGR"/>
      </w:pPr>
      <w:r w:rsidRPr="00A90CA4">
        <w:lastRenderedPageBreak/>
        <w:tab/>
      </w:r>
      <w:r w:rsidR="00C36FA8">
        <w:rPr>
          <w:lang w:val="en-US"/>
        </w:rPr>
        <w:t>I</w:t>
      </w:r>
      <w:r w:rsidR="00C36FA8" w:rsidRPr="00A90CA4">
        <w:t>.</w:t>
      </w:r>
      <w:r w:rsidRPr="00A90CA4">
        <w:tab/>
      </w:r>
      <w:r w:rsidR="001D6AEF" w:rsidRPr="001D6AEF">
        <w:t>Предложение</w:t>
      </w:r>
    </w:p>
    <w:p w:rsidR="001D6AEF" w:rsidRPr="00A90CA4" w:rsidRDefault="00562B32" w:rsidP="001D6AEF">
      <w:pPr>
        <w:pStyle w:val="SingleTxtGR"/>
      </w:pPr>
      <w:r w:rsidRPr="00BD4A2D">
        <w:rPr>
          <w:i/>
          <w:iCs/>
        </w:rPr>
        <w:t>Приложение</w:t>
      </w:r>
      <w:r w:rsidR="009D6C42" w:rsidRPr="00BD4A2D">
        <w:rPr>
          <w:i/>
          <w:iCs/>
        </w:rPr>
        <w:t xml:space="preserve"> 5</w:t>
      </w:r>
    </w:p>
    <w:p w:rsidR="001D6AEF" w:rsidRPr="001D6AEF" w:rsidRDefault="001D6AEF" w:rsidP="001D6AEF">
      <w:pPr>
        <w:pStyle w:val="SingleTxtGR"/>
      </w:pPr>
      <w:r w:rsidRPr="00562B32">
        <w:rPr>
          <w:i/>
          <w:iCs/>
        </w:rPr>
        <w:t>Рис. 12</w:t>
      </w:r>
      <w:r w:rsidRPr="001D6AEF">
        <w:t xml:space="preserve"> изменить следующим образом:</w:t>
      </w:r>
    </w:p>
    <w:p w:rsidR="001D6AEF" w:rsidRPr="001D6AEF" w:rsidRDefault="001D6AEF" w:rsidP="001D6AEF">
      <w:pPr>
        <w:pStyle w:val="SingleTxtGR"/>
      </w:pPr>
      <w:r w:rsidRPr="001D6AEF">
        <w:t xml:space="preserve">«… изменить диаметр отверстия втулки </w:t>
      </w:r>
      <w:r w:rsidRPr="00562B32">
        <w:rPr>
          <w:strike/>
        </w:rPr>
        <w:t>Ø06H8</w:t>
      </w:r>
      <w:r w:rsidRPr="001D6AEF">
        <w:t xml:space="preserve"> на </w:t>
      </w:r>
      <w:r w:rsidRPr="00562B32">
        <w:rPr>
          <w:b/>
          <w:bCs/>
        </w:rPr>
        <w:t>Ø60H8</w:t>
      </w:r>
      <w:r w:rsidRPr="001D6AEF">
        <w:t>…».</w:t>
      </w:r>
    </w:p>
    <w:p w:rsidR="001D6AEF" w:rsidRPr="001D6AEF" w:rsidRDefault="001D6AEF" w:rsidP="001D6AEF">
      <w:pPr>
        <w:pStyle w:val="SingleTxtGR"/>
      </w:pPr>
      <w:r w:rsidRPr="00562B32">
        <w:rPr>
          <w:i/>
          <w:iCs/>
        </w:rPr>
        <w:t>Пункт 7.3.2</w:t>
      </w:r>
      <w:r w:rsidRPr="001D6AEF">
        <w:t xml:space="preserve"> изменить следующим образом:</w:t>
      </w:r>
    </w:p>
    <w:p w:rsidR="001D6AEF" w:rsidRPr="001D6AEF" w:rsidRDefault="001D6AEF" w:rsidP="009D6C42">
      <w:pPr>
        <w:pStyle w:val="SingleTxtGR"/>
        <w:ind w:left="2268" w:hanging="1134"/>
      </w:pPr>
      <w:r w:rsidRPr="001D6AEF">
        <w:t xml:space="preserve">«7.3.2 </w:t>
      </w:r>
      <w:r w:rsidRPr="001D6AEF">
        <w:tab/>
      </w:r>
      <w:r w:rsidRPr="00562B32">
        <w:rPr>
          <w:strike/>
        </w:rPr>
        <w:t>±12°</w:t>
      </w:r>
      <w:r w:rsidRPr="001D6AEF">
        <w:t xml:space="preserve"> </w:t>
      </w:r>
      <w:r w:rsidRPr="00562B32">
        <w:rPr>
          <w:b/>
          <w:bCs/>
        </w:rPr>
        <w:t>6° вперед и 7° назад</w:t>
      </w:r>
      <w:r w:rsidRPr="001D6AEF">
        <w:t xml:space="preserve"> вокруг горизонтальной оси, перпендик</w:t>
      </w:r>
      <w:r w:rsidRPr="001D6AEF">
        <w:t>у</w:t>
      </w:r>
      <w:r w:rsidRPr="001D6AEF">
        <w:t>лярной направлению движения».</w:t>
      </w:r>
    </w:p>
    <w:p w:rsidR="001D6AEF" w:rsidRPr="001D6AEF" w:rsidRDefault="001D6AEF" w:rsidP="008F682E">
      <w:pPr>
        <w:pStyle w:val="SingleTxtGR"/>
        <w:spacing w:after="240"/>
      </w:pPr>
      <w:r w:rsidRPr="00562B32">
        <w:rPr>
          <w:i/>
          <w:iCs/>
        </w:rPr>
        <w:t>Рис. 17</w:t>
      </w:r>
      <w:r w:rsidRPr="001D6AEF">
        <w:t xml:space="preserve"> изменить следующим образом:</w:t>
      </w:r>
    </w:p>
    <w:p w:rsidR="001D6AEF" w:rsidRDefault="001D6AEF" w:rsidP="009D6C42">
      <w:pPr>
        <w:spacing w:after="240" w:line="240" w:lineRule="auto"/>
        <w:ind w:left="2268" w:right="1134" w:hanging="1134"/>
        <w:jc w:val="both"/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7C90F" wp14:editId="28A9361E">
                <wp:simplePos x="0" y="0"/>
                <wp:positionH relativeFrom="column">
                  <wp:posOffset>1880870</wp:posOffset>
                </wp:positionH>
                <wp:positionV relativeFrom="paragraph">
                  <wp:posOffset>1393914</wp:posOffset>
                </wp:positionV>
                <wp:extent cx="807720" cy="167640"/>
                <wp:effectExtent l="0" t="0" r="0" b="381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:rsidR="001D6AEF" w:rsidRPr="004613E0" w:rsidRDefault="001D6AEF" w:rsidP="002009B0">
                            <w:pPr>
                              <w:spacing w:line="1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613E0">
                              <w:rPr>
                                <w:sz w:val="18"/>
                                <w:szCs w:val="18"/>
                              </w:rPr>
                              <w:t>сцепленный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48.1pt;margin-top:109.75pt;width:63.6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" fillcolor="window" stroked="f" strokeweight=".25pt">
                <v:textbox inset="0,0,0,0">
                  <w:txbxContent>
                    <w:p w:rsidR="001D6AEF" w:rsidRPr="004613E0" w:rsidRDefault="001D6AEF" w:rsidP="002009B0">
                      <w:pPr>
                        <w:spacing w:line="160" w:lineRule="exact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4613E0">
                        <w:rPr>
                          <w:sz w:val="18"/>
                          <w:szCs w:val="18"/>
                        </w:rPr>
                        <w:t>сцепленный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DE56D" wp14:editId="24A78035">
                <wp:simplePos x="0" y="0"/>
                <wp:positionH relativeFrom="column">
                  <wp:posOffset>1992630</wp:posOffset>
                </wp:positionH>
                <wp:positionV relativeFrom="paragraph">
                  <wp:posOffset>1144905</wp:posOffset>
                </wp:positionV>
                <wp:extent cx="807720" cy="167640"/>
                <wp:effectExtent l="0" t="0" r="0" b="381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AEF" w:rsidRPr="004613E0" w:rsidRDefault="001D6AEF" w:rsidP="001D6A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13E0">
                              <w:rPr>
                                <w:sz w:val="18"/>
                                <w:szCs w:val="18"/>
                              </w:rPr>
                              <w:t>несцепленный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56.9pt;margin-top:90.15pt;width:63.6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" fillcolor="white [3201]" stroked="f" strokeweight=".25pt">
                <v:textbox inset="0,0,0,0">
                  <w:txbxContent>
                    <w:p w:rsidR="001D6AEF" w:rsidRPr="004613E0" w:rsidRDefault="001D6AEF" w:rsidP="001D6AEF">
                      <w:pPr>
                        <w:rPr>
                          <w:sz w:val="18"/>
                          <w:szCs w:val="18"/>
                        </w:rPr>
                      </w:pPr>
                      <w:r w:rsidRPr="004613E0">
                        <w:rPr>
                          <w:sz w:val="18"/>
                          <w:szCs w:val="18"/>
                        </w:rPr>
                        <w:t>несцепленный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48EE439A" wp14:editId="77A43652">
            <wp:extent cx="4855217" cy="3345180"/>
            <wp:effectExtent l="0" t="0" r="254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980" cy="334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EF" w:rsidRPr="00562B32" w:rsidRDefault="001D6AEF" w:rsidP="001D6AEF">
      <w:pPr>
        <w:pStyle w:val="SingleTxtGR"/>
        <w:rPr>
          <w:i/>
          <w:iCs/>
        </w:rPr>
      </w:pPr>
      <w:r w:rsidRPr="00562B32">
        <w:rPr>
          <w:i/>
          <w:iCs/>
        </w:rPr>
        <w:t>Приложение 6</w:t>
      </w:r>
    </w:p>
    <w:p w:rsidR="001D6AEF" w:rsidRPr="001D6AEF" w:rsidRDefault="001D6AEF" w:rsidP="001D6AEF">
      <w:pPr>
        <w:pStyle w:val="SingleTxtGR"/>
      </w:pPr>
      <w:r w:rsidRPr="00562B32">
        <w:rPr>
          <w:i/>
          <w:iCs/>
        </w:rPr>
        <w:t>Пункт 1.1</w:t>
      </w:r>
      <w:r w:rsidRPr="001D6AEF">
        <w:t xml:space="preserve"> изменить следующим образом:</w:t>
      </w:r>
    </w:p>
    <w:p w:rsidR="001D6AEF" w:rsidRPr="00562B32" w:rsidRDefault="001D6AEF" w:rsidP="00562B32">
      <w:pPr>
        <w:pStyle w:val="SingleTxtGR"/>
        <w:ind w:left="2268" w:hanging="1134"/>
        <w:rPr>
          <w:spacing w:val="2"/>
        </w:rPr>
      </w:pPr>
      <w:r w:rsidRPr="001D6AEF">
        <w:t>1.1</w:t>
      </w:r>
      <w:r w:rsidRPr="001D6AEF">
        <w:tab/>
      </w:r>
      <w:r w:rsidR="00562B32" w:rsidRPr="00562B32">
        <w:tab/>
      </w:r>
      <w:r w:rsidRPr="001D6AEF">
        <w:t>Образцы сцепных устройств должны испытываться как на про</w:t>
      </w:r>
      <w:r w:rsidRPr="001D6AEF">
        <w:t>ч</w:t>
      </w:r>
      <w:r w:rsidRPr="001D6AEF">
        <w:t xml:space="preserve">ность, так и на функционирование. </w:t>
      </w:r>
      <w:r w:rsidR="00562B32" w:rsidRPr="00562B32">
        <w:rPr>
          <w:b/>
          <w:bCs/>
          <w:spacing w:val="2"/>
        </w:rPr>
        <w:t>Испытания проводят в</w:t>
      </w:r>
      <w:r w:rsidR="00562B32" w:rsidRPr="00562B32">
        <w:rPr>
          <w:b/>
          <w:bCs/>
          <w:spacing w:val="2"/>
          <w:lang w:val="en-US"/>
        </w:rPr>
        <w:t xml:space="preserve"> </w:t>
      </w:r>
      <w:r w:rsidRPr="00562B32">
        <w:rPr>
          <w:b/>
          <w:bCs/>
          <w:spacing w:val="2"/>
        </w:rPr>
        <w:t>наим</w:t>
      </w:r>
      <w:r w:rsidRPr="00562B32">
        <w:rPr>
          <w:b/>
          <w:bCs/>
          <w:spacing w:val="2"/>
        </w:rPr>
        <w:t>е</w:t>
      </w:r>
      <w:r w:rsidRPr="00562B32">
        <w:rPr>
          <w:b/>
          <w:bCs/>
          <w:spacing w:val="2"/>
        </w:rPr>
        <w:t>нее благоприятных условиях.</w:t>
      </w:r>
    </w:p>
    <w:p w:rsidR="001D6AEF" w:rsidRPr="001D6AEF" w:rsidRDefault="001D6AEF" w:rsidP="00562B32">
      <w:pPr>
        <w:pStyle w:val="SingleTxtGR"/>
        <w:ind w:left="2268" w:hanging="1134"/>
      </w:pPr>
      <w:r w:rsidRPr="001D6AEF">
        <w:tab/>
      </w:r>
      <w:r w:rsidR="00562B32">
        <w:rPr>
          <w:lang w:val="en-US"/>
        </w:rPr>
        <w:tab/>
      </w:r>
      <w:r w:rsidRPr="00562B32">
        <w:rPr>
          <w:b/>
          <w:bCs/>
          <w:spacing w:val="2"/>
        </w:rPr>
        <w:t>Для определения наименее благоприятных условий могут пров</w:t>
      </w:r>
      <w:r w:rsidRPr="00562B32">
        <w:rPr>
          <w:b/>
          <w:bCs/>
          <w:spacing w:val="2"/>
        </w:rPr>
        <w:t>о</w:t>
      </w:r>
      <w:r w:rsidRPr="00562B32">
        <w:rPr>
          <w:b/>
          <w:bCs/>
          <w:spacing w:val="2"/>
        </w:rPr>
        <w:t>диться аналитические проверки.</w:t>
      </w:r>
      <w:r w:rsidRPr="00562B32">
        <w:rPr>
          <w:spacing w:val="2"/>
        </w:rPr>
        <w:t xml:space="preserve"> Испытания физико-механических свойств</w:t>
      </w:r>
      <w:r w:rsidRPr="001D6AEF">
        <w:t xml:space="preserve"> должны проводиться по мере возможности, однако если не предусмотрено иное, то орган по официальному утверждению типа или техническая служба может отказаться от проведения испыт</w:t>
      </w:r>
      <w:r w:rsidRPr="001D6AEF">
        <w:t>а</w:t>
      </w:r>
      <w:r w:rsidRPr="001D6AEF">
        <w:t xml:space="preserve">ния на проверку прочности устройства, если простота конструкции элемента допускает аналитическую </w:t>
      </w:r>
      <w:r w:rsidRPr="009D6C42">
        <w:rPr>
          <w:strike/>
        </w:rPr>
        <w:t>проверку</w:t>
      </w:r>
      <w:r w:rsidRPr="001D6AEF">
        <w:t xml:space="preserve"> </w:t>
      </w:r>
      <w:r w:rsidRPr="009D6C42">
        <w:rPr>
          <w:b/>
          <w:bCs/>
        </w:rPr>
        <w:t>оценку</w:t>
      </w:r>
      <w:r w:rsidRPr="001D6AEF">
        <w:t xml:space="preserve">. </w:t>
      </w:r>
    </w:p>
    <w:p w:rsidR="001D6AEF" w:rsidRPr="001D6AEF" w:rsidRDefault="001D6AEF" w:rsidP="00562B32">
      <w:pPr>
        <w:pStyle w:val="SingleTxtGR"/>
        <w:ind w:left="2268" w:hanging="1134"/>
      </w:pPr>
      <w:r w:rsidRPr="001D6AEF">
        <w:tab/>
      </w:r>
      <w:r w:rsidR="00562B32" w:rsidRPr="00A90CA4">
        <w:tab/>
      </w:r>
      <w:r w:rsidRPr="00562B32">
        <w:rPr>
          <w:strike/>
        </w:rPr>
        <w:t>Аналитические проверки могут проводиться для определения наименее благоприятных условий.</w:t>
      </w:r>
      <w:r w:rsidRPr="001D6AEF">
        <w:t xml:space="preserve"> Во всех случаях качество р</w:t>
      </w:r>
      <w:r w:rsidRPr="001D6AEF">
        <w:t>е</w:t>
      </w:r>
      <w:r w:rsidRPr="001D6AEF">
        <w:t xml:space="preserve">зультатов, получаемых при аналитических </w:t>
      </w:r>
      <w:r w:rsidRPr="009D6C42">
        <w:rPr>
          <w:strike/>
        </w:rPr>
        <w:t>проверках</w:t>
      </w:r>
      <w:r w:rsidRPr="001D6AEF">
        <w:t xml:space="preserve"> </w:t>
      </w:r>
      <w:r w:rsidRPr="009D6C42">
        <w:rPr>
          <w:b/>
          <w:bCs/>
        </w:rPr>
        <w:t>оценках</w:t>
      </w:r>
      <w:r w:rsidRPr="001D6AEF">
        <w:t xml:space="preserve">, </w:t>
      </w:r>
      <w:r w:rsidRPr="001D6AEF">
        <w:lastRenderedPageBreak/>
        <w:t>должно быть таким же, как и в случае динамических или статич</w:t>
      </w:r>
      <w:r w:rsidRPr="001D6AEF">
        <w:t>е</w:t>
      </w:r>
      <w:r w:rsidRPr="001D6AEF">
        <w:t>ских испытаний. В случае сомнений преимущественную силу им</w:t>
      </w:r>
      <w:r w:rsidRPr="001D6AEF">
        <w:t>е</w:t>
      </w:r>
      <w:r w:rsidRPr="001D6AEF">
        <w:t>ют результаты испытания физико-механических свойств.</w:t>
      </w:r>
    </w:p>
    <w:p w:rsidR="001D6AEF" w:rsidRPr="001D6AEF" w:rsidRDefault="00562B32" w:rsidP="001D6AEF">
      <w:pPr>
        <w:pStyle w:val="SingleTxtGR"/>
      </w:pPr>
      <w:r w:rsidRPr="00A90CA4">
        <w:tab/>
      </w:r>
      <w:r w:rsidRPr="00A90CA4">
        <w:tab/>
      </w:r>
      <w:r w:rsidR="001D6AEF" w:rsidRPr="001D6AEF">
        <w:t>См. также пункт 4.8 настоящих Правил.</w:t>
      </w:r>
    </w:p>
    <w:p w:rsidR="001D6AEF" w:rsidRPr="001D6AEF" w:rsidRDefault="001D6AEF" w:rsidP="001D6AEF">
      <w:pPr>
        <w:pStyle w:val="SingleTxtGR"/>
      </w:pPr>
      <w:r w:rsidRPr="00562B32">
        <w:rPr>
          <w:i/>
          <w:iCs/>
        </w:rPr>
        <w:t>Пункт 3.6.1</w:t>
      </w:r>
      <w:r w:rsidRPr="001D6AEF">
        <w:t xml:space="preserve"> изменить следующим образом:</w:t>
      </w:r>
    </w:p>
    <w:p w:rsidR="001D6AEF" w:rsidRPr="001D6AEF" w:rsidRDefault="001D6AEF" w:rsidP="00562B32">
      <w:pPr>
        <w:pStyle w:val="SingleTxtGR"/>
        <w:ind w:left="2268" w:hanging="1134"/>
      </w:pPr>
      <w:r w:rsidRPr="001D6AEF">
        <w:t>3.6.1</w:t>
      </w:r>
      <w:r w:rsidRPr="001D6AEF">
        <w:tab/>
      </w:r>
      <w:r w:rsidR="00562B32" w:rsidRPr="00562B32">
        <w:tab/>
      </w:r>
      <w:r w:rsidRPr="001D6AEF">
        <w:t>Сцепные тяги должны испытываться таким же образом, как и пр</w:t>
      </w:r>
      <w:r w:rsidRPr="001D6AEF">
        <w:t>о</w:t>
      </w:r>
      <w:r w:rsidRPr="001D6AEF">
        <w:t xml:space="preserve">ушины сцепных тяг (см. пункт 3.4). Орган по официальному утверждению типа или техническая служба может отказаться от проведения испытания на усталостную прочность, если простота конструкции элемента допускает аналитическую </w:t>
      </w:r>
      <w:r w:rsidRPr="00562B32">
        <w:rPr>
          <w:strike/>
        </w:rPr>
        <w:t>проверку</w:t>
      </w:r>
      <w:r w:rsidRPr="001D6AEF">
        <w:t xml:space="preserve"> </w:t>
      </w:r>
      <w:r w:rsidRPr="00562B32">
        <w:rPr>
          <w:b/>
          <w:bCs/>
        </w:rPr>
        <w:t>оценку</w:t>
      </w:r>
      <w:r w:rsidRPr="001D6AEF">
        <w:t xml:space="preserve"> его прочности. Номинальные силы, необходимые для аналитич</w:t>
      </w:r>
      <w:r w:rsidRPr="001D6AEF">
        <w:t>е</w:t>
      </w:r>
      <w:r w:rsidRPr="001D6AEF">
        <w:t>ской проверки сцепных тяг прицепов с центрально расположенной осью, масса C которых составляет не более 3,5 т, указаны в ста</w:t>
      </w:r>
      <w:r w:rsidRPr="001D6AEF">
        <w:t>н</w:t>
      </w:r>
      <w:r w:rsidRPr="001D6AEF">
        <w:t>дарте ISO 7641/1:1983. Номинальные силы, необходимые для ан</w:t>
      </w:r>
      <w:r w:rsidRPr="001D6AEF">
        <w:t>а</w:t>
      </w:r>
      <w:r w:rsidRPr="001D6AEF">
        <w:t>литической проверки сцепных тяг прицепов с центрально распол</w:t>
      </w:r>
      <w:r w:rsidRPr="001D6AEF">
        <w:t>о</w:t>
      </w:r>
      <w:r w:rsidRPr="001D6AEF">
        <w:t>женной осью, масса C которых превышает 3,5 т, должны рассчит</w:t>
      </w:r>
      <w:r w:rsidRPr="001D6AEF">
        <w:t>ы</w:t>
      </w:r>
      <w:r w:rsidRPr="001D6AEF">
        <w:t>ваться следующим образом:</w:t>
      </w:r>
    </w:p>
    <w:p w:rsidR="001D6AEF" w:rsidRPr="001D6AEF" w:rsidRDefault="00562B32" w:rsidP="001D6AEF">
      <w:pPr>
        <w:pStyle w:val="SingleTxtGR"/>
      </w:pPr>
      <w:r w:rsidRPr="00A90CA4">
        <w:tab/>
      </w:r>
      <w:r w:rsidRPr="00A90CA4">
        <w:tab/>
      </w:r>
      <w:r w:rsidR="001D6AEF" w:rsidRPr="001D6AEF">
        <w:t>Fsp = (g х S/1</w:t>
      </w:r>
      <w:r w:rsidR="009D6C42">
        <w:t xml:space="preserve"> </w:t>
      </w:r>
      <w:r w:rsidR="001D6AEF" w:rsidRPr="001D6AEF">
        <w:t>000) + V,</w:t>
      </w:r>
    </w:p>
    <w:p w:rsidR="001D6AEF" w:rsidRPr="001D6AEF" w:rsidRDefault="00562B32" w:rsidP="00562B32">
      <w:pPr>
        <w:pStyle w:val="SingleTxtGR"/>
        <w:ind w:left="2268" w:hanging="1134"/>
      </w:pPr>
      <w:r w:rsidRPr="00A90CA4">
        <w:tab/>
      </w:r>
      <w:r w:rsidRPr="00A90CA4">
        <w:tab/>
      </w:r>
      <w:r w:rsidR="001D6AEF" w:rsidRPr="001D6AEF">
        <w:t xml:space="preserve">где величина V силы равна величине, </w:t>
      </w:r>
      <w:r w:rsidR="001D6AEF" w:rsidRPr="00562B32">
        <w:rPr>
          <w:strike/>
        </w:rPr>
        <w:t>указанной</w:t>
      </w:r>
      <w:r w:rsidR="001D6AEF" w:rsidRPr="001D6AEF">
        <w:t xml:space="preserve"> </w:t>
      </w:r>
      <w:r w:rsidR="001D6AEF" w:rsidRPr="00562B32">
        <w:rPr>
          <w:b/>
          <w:bCs/>
        </w:rPr>
        <w:t>определенной</w:t>
      </w:r>
      <w:r>
        <w:t xml:space="preserve"> в</w:t>
      </w:r>
      <w:r>
        <w:rPr>
          <w:lang w:val="en-US"/>
        </w:rPr>
        <w:t> </w:t>
      </w:r>
      <w:r w:rsidR="001D6AEF" w:rsidRPr="001D6AEF">
        <w:t xml:space="preserve">пункте 2.11.4 настоящих Правил. </w:t>
      </w:r>
    </w:p>
    <w:p w:rsidR="001D6AEF" w:rsidRPr="001D6AEF" w:rsidRDefault="00562B32" w:rsidP="00562B32">
      <w:pPr>
        <w:pStyle w:val="SingleTxtGR"/>
        <w:ind w:left="2268" w:hanging="1134"/>
      </w:pPr>
      <w:r w:rsidRPr="00A90CA4">
        <w:tab/>
      </w:r>
      <w:r w:rsidRPr="00A90CA4">
        <w:tab/>
      </w:r>
      <w:r w:rsidR="001D6AEF" w:rsidRPr="001D6AEF">
        <w:t>Допустимые напряжения, определяемые на основе номинальных масс, передаваемых на прицепы, общая масса C которых превыш</w:t>
      </w:r>
      <w:r w:rsidR="001D6AEF" w:rsidRPr="001D6AEF">
        <w:t>а</w:t>
      </w:r>
      <w:r w:rsidR="001D6AEF" w:rsidRPr="001D6AEF">
        <w:t>ет 3,5 т, должны соответствовать предписаниям пункта 5.3 ста</w:t>
      </w:r>
      <w:r w:rsidR="001D6AEF" w:rsidRPr="001D6AEF">
        <w:t>н</w:t>
      </w:r>
      <w:r w:rsidR="001D6AEF" w:rsidRPr="001D6AEF">
        <w:t>дарта ISO 7641/1:1983. В случае коленчатых сцепных тяг (напр</w:t>
      </w:r>
      <w:r w:rsidR="001D6AEF" w:rsidRPr="001D6AEF">
        <w:t>и</w:t>
      </w:r>
      <w:r w:rsidR="001D6AEF" w:rsidRPr="001D6AEF">
        <w:t>мер, S-образных скоб) и сцепных тяг полных прицепов принимае</w:t>
      </w:r>
      <w:r w:rsidR="001D6AEF" w:rsidRPr="001D6AEF">
        <w:t>т</w:t>
      </w:r>
      <w:r w:rsidR="001D6AEF" w:rsidRPr="001D6AEF">
        <w:t>ся во внимание горизонтальная составляющая силы Fhp = 1,0 × D.</w:t>
      </w:r>
    </w:p>
    <w:p w:rsidR="001D6AEF" w:rsidRPr="00562B32" w:rsidRDefault="001D6AEF" w:rsidP="001D6AEF">
      <w:pPr>
        <w:pStyle w:val="SingleTxtGR"/>
        <w:rPr>
          <w:i/>
          <w:iCs/>
        </w:rPr>
      </w:pPr>
      <w:r w:rsidRPr="00562B32">
        <w:rPr>
          <w:i/>
          <w:iCs/>
        </w:rPr>
        <w:t>Приложение 7</w:t>
      </w:r>
    </w:p>
    <w:p w:rsidR="001D6AEF" w:rsidRPr="001D6AEF" w:rsidRDefault="001D6AEF" w:rsidP="001D6AEF">
      <w:pPr>
        <w:pStyle w:val="SingleTxtGR"/>
      </w:pPr>
      <w:r w:rsidRPr="00562B32">
        <w:rPr>
          <w:i/>
          <w:iCs/>
        </w:rPr>
        <w:t xml:space="preserve">Включить новый пункт 1.3.5 </w:t>
      </w:r>
      <w:r w:rsidRPr="001D6AEF">
        <w:t>следующего содержания:</w:t>
      </w:r>
    </w:p>
    <w:p w:rsidR="001D6AEF" w:rsidRPr="00562B32" w:rsidRDefault="001D6AEF" w:rsidP="001D6AEF">
      <w:pPr>
        <w:pStyle w:val="SingleTxtGR"/>
        <w:rPr>
          <w:b/>
          <w:bCs/>
        </w:rPr>
      </w:pPr>
      <w:r w:rsidRPr="001D6AEF">
        <w:t>«</w:t>
      </w:r>
      <w:r w:rsidRPr="00562B32">
        <w:rPr>
          <w:b/>
          <w:bCs/>
        </w:rPr>
        <w:t>1.3.5</w:t>
      </w:r>
      <w:r w:rsidRPr="00562B32">
        <w:rPr>
          <w:b/>
          <w:bCs/>
        </w:rPr>
        <w:tab/>
      </w:r>
      <w:r w:rsidR="00562B32" w:rsidRPr="00562B32">
        <w:rPr>
          <w:b/>
          <w:bCs/>
          <w:lang w:val="en-US"/>
        </w:rPr>
        <w:tab/>
      </w:r>
      <w:r w:rsidRPr="00562B32">
        <w:rPr>
          <w:b/>
          <w:bCs/>
        </w:rPr>
        <w:t>Минимальные углы отклонения</w:t>
      </w:r>
    </w:p>
    <w:p w:rsidR="001D6AEF" w:rsidRPr="00562B32" w:rsidRDefault="00562B32" w:rsidP="00562B32">
      <w:pPr>
        <w:pStyle w:val="SingleTxtGR"/>
        <w:ind w:left="2268" w:hanging="1134"/>
        <w:rPr>
          <w:b/>
          <w:bCs/>
        </w:rPr>
      </w:pPr>
      <w:r w:rsidRPr="00562B32">
        <w:rPr>
          <w:b/>
          <w:bCs/>
          <w:lang w:val="en-US"/>
        </w:rPr>
        <w:tab/>
      </w:r>
      <w:r w:rsidRPr="00562B32">
        <w:rPr>
          <w:b/>
          <w:bCs/>
          <w:lang w:val="en-US"/>
        </w:rPr>
        <w:tab/>
      </w:r>
      <w:r w:rsidR="001D6AEF" w:rsidRPr="00562B32">
        <w:rPr>
          <w:b/>
          <w:bCs/>
        </w:rPr>
        <w:t>Когда сцепное устройство прикреплено к транспортному сре</w:t>
      </w:r>
      <w:r w:rsidR="001D6AEF" w:rsidRPr="00562B32">
        <w:rPr>
          <w:b/>
          <w:bCs/>
        </w:rPr>
        <w:t>д</w:t>
      </w:r>
      <w:r w:rsidR="001D6AEF" w:rsidRPr="00562B32">
        <w:rPr>
          <w:b/>
          <w:bCs/>
        </w:rPr>
        <w:t>ству, угол поворота в горизонтальной плоскости проушины сцепной тяги, удлиненной при помощи воображаемой беск</w:t>
      </w:r>
      <w:r w:rsidR="001D6AEF" w:rsidRPr="00562B32">
        <w:rPr>
          <w:b/>
          <w:bCs/>
        </w:rPr>
        <w:t>о</w:t>
      </w:r>
      <w:r w:rsidR="001D6AEF" w:rsidRPr="00562B32">
        <w:rPr>
          <w:b/>
          <w:bCs/>
        </w:rPr>
        <w:t>нечной оси, должен составлять по меньшей мере 90° в обе ст</w:t>
      </w:r>
      <w:r w:rsidR="001D6AEF" w:rsidRPr="00562B32">
        <w:rPr>
          <w:b/>
          <w:bCs/>
        </w:rPr>
        <w:t>о</w:t>
      </w:r>
      <w:r w:rsidR="001D6AEF" w:rsidRPr="00562B32">
        <w:rPr>
          <w:b/>
          <w:bCs/>
        </w:rPr>
        <w:t>роны от центральной линии сцепного устройства и крепления.</w:t>
      </w:r>
    </w:p>
    <w:p w:rsidR="001D6AEF" w:rsidRPr="001D6AEF" w:rsidRDefault="00562B32" w:rsidP="00562B32">
      <w:pPr>
        <w:pStyle w:val="SingleTxtGR"/>
        <w:ind w:left="2268" w:hanging="1134"/>
      </w:pPr>
      <w:r w:rsidRPr="00A90CA4">
        <w:rPr>
          <w:b/>
          <w:bCs/>
        </w:rPr>
        <w:tab/>
      </w:r>
      <w:r w:rsidRPr="00A90CA4">
        <w:rPr>
          <w:b/>
          <w:bCs/>
        </w:rPr>
        <w:tab/>
      </w:r>
      <w:r w:rsidR="001D6AEF" w:rsidRPr="00562B32">
        <w:rPr>
          <w:b/>
          <w:bCs/>
        </w:rPr>
        <w:t xml:space="preserve">Одновременно должна обеспечиваться возможность свободного вертикального движения на </w:t>
      </w:r>
      <w:r>
        <w:rPr>
          <w:b/>
          <w:bCs/>
        </w:rPr>
        <w:t>20° вверх и вниз по отношению к</w:t>
      </w:r>
      <w:r>
        <w:rPr>
          <w:b/>
          <w:bCs/>
          <w:lang w:val="en-US"/>
        </w:rPr>
        <w:t> </w:t>
      </w:r>
      <w:r w:rsidR="001D6AEF" w:rsidRPr="00562B32">
        <w:rPr>
          <w:b/>
          <w:bCs/>
        </w:rPr>
        <w:t>горизонтальной оси.</w:t>
      </w:r>
      <w:r w:rsidR="001D6AEF" w:rsidRPr="001D6AEF">
        <w:t xml:space="preserve"> </w:t>
      </w:r>
    </w:p>
    <w:p w:rsidR="001D6AEF" w:rsidRPr="001D6AEF" w:rsidRDefault="00562B32" w:rsidP="00562B32">
      <w:pPr>
        <w:pStyle w:val="SingleTxtGR"/>
        <w:ind w:left="2268" w:hanging="1134"/>
      </w:pPr>
      <w:r w:rsidRPr="00A90CA4">
        <w:tab/>
      </w:r>
      <w:r w:rsidRPr="00A90CA4">
        <w:tab/>
      </w:r>
      <w:r w:rsidR="001D6AEF" w:rsidRPr="00562B32">
        <w:rPr>
          <w:b/>
          <w:bCs/>
        </w:rPr>
        <w:t>В случае низкой сцепки (например, для обеспечения возможн</w:t>
      </w:r>
      <w:r w:rsidR="001D6AEF" w:rsidRPr="00562B32">
        <w:rPr>
          <w:b/>
          <w:bCs/>
        </w:rPr>
        <w:t>о</w:t>
      </w:r>
      <w:r w:rsidR="001D6AEF" w:rsidRPr="00562B32">
        <w:rPr>
          <w:b/>
          <w:bCs/>
        </w:rPr>
        <w:t>сти буксировки при небольшом расстоянии между тягачом и буксируемым транспортным средством) угол свободного верт</w:t>
      </w:r>
      <w:r w:rsidR="001D6AEF" w:rsidRPr="00562B32">
        <w:rPr>
          <w:b/>
          <w:bCs/>
        </w:rPr>
        <w:t>и</w:t>
      </w:r>
      <w:r w:rsidR="001D6AEF" w:rsidRPr="00562B32">
        <w:rPr>
          <w:b/>
          <w:bCs/>
        </w:rPr>
        <w:t>кального движения может быть уменьшен до 6° вверх и вниз от горизонтали</w:t>
      </w:r>
      <w:r w:rsidR="001D6AEF" w:rsidRPr="001D6AEF">
        <w:t>».</w:t>
      </w:r>
    </w:p>
    <w:p w:rsidR="001D6AEF" w:rsidRPr="001D6AEF" w:rsidRDefault="001D6AEF" w:rsidP="001D6AEF">
      <w:pPr>
        <w:pStyle w:val="SingleTxtGR"/>
      </w:pPr>
      <w:r w:rsidRPr="00562B32">
        <w:rPr>
          <w:i/>
          <w:iCs/>
        </w:rPr>
        <w:t>Пункты 1.3.5−1.3.8 (прежние)</w:t>
      </w:r>
      <w:r w:rsidRPr="001D6AEF">
        <w:t>, изменить нумерацию на 1.3.6−1.3.9 соотве</w:t>
      </w:r>
      <w:r w:rsidRPr="001D6AEF">
        <w:t>т</w:t>
      </w:r>
      <w:r w:rsidRPr="001D6AEF">
        <w:t>ственно.</w:t>
      </w:r>
    </w:p>
    <w:p w:rsidR="001D6AEF" w:rsidRPr="001D6AEF" w:rsidRDefault="00C36FA8" w:rsidP="00C36FA8">
      <w:pPr>
        <w:pStyle w:val="HChGR"/>
      </w:pPr>
      <w:r>
        <w:lastRenderedPageBreak/>
        <w:tab/>
      </w:r>
      <w:r>
        <w:rPr>
          <w:lang w:val="en-US"/>
        </w:rPr>
        <w:t>II</w:t>
      </w:r>
      <w:r w:rsidRPr="00A90CA4">
        <w:t>.</w:t>
      </w:r>
      <w:r w:rsidRPr="00A90CA4">
        <w:tab/>
      </w:r>
      <w:r w:rsidR="001D6AEF" w:rsidRPr="001D6AEF">
        <w:t>Обоснование</w:t>
      </w:r>
    </w:p>
    <w:p w:rsidR="001D6AEF" w:rsidRPr="001D6AEF" w:rsidRDefault="001D6AEF" w:rsidP="001D6AEF">
      <w:pPr>
        <w:pStyle w:val="SingleTxtGR"/>
      </w:pPr>
      <w:r w:rsidRPr="001D6AEF">
        <w:t>1.</w:t>
      </w:r>
      <w:r w:rsidRPr="001D6AEF">
        <w:tab/>
        <w:t>В настоящее время метод определения наименее благоприятных условий нуждается в уточнении. Поэтому в пункт 1.1 приложения 6 были внесены п</w:t>
      </w:r>
      <w:r w:rsidRPr="001D6AEF">
        <w:t>о</w:t>
      </w:r>
      <w:r w:rsidRPr="001D6AEF">
        <w:t xml:space="preserve">правки. </w:t>
      </w:r>
    </w:p>
    <w:p w:rsidR="001D6AEF" w:rsidRPr="001D6AEF" w:rsidRDefault="001D6AEF" w:rsidP="001D6AEF">
      <w:pPr>
        <w:pStyle w:val="SingleTxtGR"/>
      </w:pPr>
      <w:r w:rsidRPr="001D6AEF">
        <w:t>2.</w:t>
      </w:r>
      <w:r w:rsidRPr="001D6AEF">
        <w:tab/>
        <w:t xml:space="preserve">В пунктах 1.1 и 3.6.1 приложения 6 слово «проверка» в соответствующих случаях было заменено словом «оценка» для уточнения того, что эти меры применяются в контексте официального утверждения, а не сводятся к обычной проверке. </w:t>
      </w:r>
    </w:p>
    <w:p w:rsidR="001D6AEF" w:rsidRPr="001D6AEF" w:rsidRDefault="001D6AEF" w:rsidP="001D6AEF">
      <w:pPr>
        <w:pStyle w:val="SingleTxtGR"/>
      </w:pPr>
      <w:r w:rsidRPr="001D6AEF">
        <w:t>3.</w:t>
      </w:r>
      <w:r w:rsidRPr="001D6AEF">
        <w:tab/>
        <w:t>Предлагается исправить две опечатки на рис. 12 и 17 в приложении 5.</w:t>
      </w:r>
    </w:p>
    <w:p w:rsidR="00A658DB" w:rsidRDefault="001D6AEF" w:rsidP="001D6AEF">
      <w:pPr>
        <w:pStyle w:val="SingleTxtGR"/>
      </w:pPr>
      <w:r w:rsidRPr="001D6AEF">
        <w:t>4.</w:t>
      </w:r>
      <w:r w:rsidRPr="001D6AEF">
        <w:tab/>
        <w:t>Предлагаемое изменение процедуры про</w:t>
      </w:r>
      <w:r w:rsidR="009D6C42">
        <w:t>верки соответствия произво</w:t>
      </w:r>
      <w:r w:rsidR="009D6C42">
        <w:t>д</w:t>
      </w:r>
      <w:r w:rsidR="009D6C42">
        <w:t>ства </w:t>
      </w:r>
      <w:r w:rsidRPr="001D6AEF">
        <w:t>(СП) отвечает также намерениям в отношении обеспеч</w:t>
      </w:r>
      <w:r w:rsidR="009D6C42">
        <w:t>ения надзора за </w:t>
      </w:r>
      <w:r w:rsidRPr="001D6AEF">
        <w:t>рынком и его транспарентности, что важно в контексте нынешнего пер</w:t>
      </w:r>
      <w:r w:rsidRPr="001D6AEF">
        <w:t>е</w:t>
      </w:r>
      <w:r w:rsidRPr="001D6AEF">
        <w:t>смотра Европейской рамочной директивы.</w:t>
      </w:r>
    </w:p>
    <w:p w:rsidR="00C36FA8" w:rsidRPr="00C36FA8" w:rsidRDefault="00C36FA8" w:rsidP="00C36FA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6FA8" w:rsidRPr="00C36FA8" w:rsidSect="004D639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B8" w:rsidRDefault="00581CB8" w:rsidP="00B471C5">
      <w:r>
        <w:separator/>
      </w:r>
    </w:p>
  </w:endnote>
  <w:endnote w:type="continuationSeparator" w:id="0">
    <w:p w:rsidR="00581CB8" w:rsidRDefault="00581CB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F781A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C36FA8">
      <w:rPr>
        <w:lang w:val="en-US"/>
      </w:rPr>
      <w:t>11604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C36FA8" w:rsidP="007005EE">
    <w:pPr>
      <w:pStyle w:val="Footer"/>
      <w:rPr>
        <w:lang w:val="en-US"/>
      </w:rPr>
    </w:pPr>
    <w:r>
      <w:rPr>
        <w:lang w:val="en-US"/>
      </w:rPr>
      <w:t>GE.16-11604</w:t>
    </w:r>
    <w:r w:rsidR="007005EE">
      <w:rPr>
        <w:lang w:val="en-US"/>
      </w:rPr>
      <w:tab/>
    </w:r>
    <w:r w:rsidR="007005EE"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="007005EE" w:rsidRPr="00BA2D2B">
      <w:rPr>
        <w:b/>
        <w:sz w:val="18"/>
        <w:szCs w:val="18"/>
      </w:rPr>
      <w:fldChar w:fldCharType="separate"/>
    </w:r>
    <w:r w:rsidR="00CF781A">
      <w:rPr>
        <w:b/>
        <w:noProof/>
        <w:sz w:val="18"/>
        <w:szCs w:val="18"/>
      </w:rPr>
      <w:t>3</w:t>
    </w:r>
    <w:r w:rsidR="007005EE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36FA8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C36FA8">
            <w:t>11604</w:t>
          </w:r>
          <w:r w:rsidRPr="001C3ABC">
            <w:rPr>
              <w:lang w:val="en-US"/>
            </w:rPr>
            <w:t xml:space="preserve"> (R)</w:t>
          </w:r>
          <w:r w:rsidR="00C36FA8">
            <w:t xml:space="preserve">  190716  190716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C36FA8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6" name="Рисунок 6" descr="http://undocs.org/m2/QRCode.ashx?DS=ECE/TRANS/WP.29/GRRF/2016/3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RF/2016/3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36FA8" w:rsidRDefault="00C36FA8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36FA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36FA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36FA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36FA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36FA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36FA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36FA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36FA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36FA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B8" w:rsidRPr="009141DC" w:rsidRDefault="00581CB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581CB8" w:rsidRPr="00D1261C" w:rsidRDefault="00581CB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D6AEF" w:rsidRPr="00562B32" w:rsidRDefault="001D6AEF" w:rsidP="001D6AEF">
      <w:pPr>
        <w:pStyle w:val="FootnoteText"/>
        <w:rPr>
          <w:sz w:val="20"/>
          <w:lang w:val="ru-RU"/>
        </w:rPr>
      </w:pPr>
      <w:r>
        <w:tab/>
      </w:r>
      <w:r w:rsidRPr="001D6AEF">
        <w:rPr>
          <w:rStyle w:val="FootnoteReference"/>
          <w:sz w:val="20"/>
          <w:vertAlign w:val="baseline"/>
          <w:lang w:val="ru-RU"/>
        </w:rPr>
        <w:t>*</w:t>
      </w:r>
      <w:r w:rsidRPr="001D6AEF">
        <w:rPr>
          <w:lang w:val="ru-RU"/>
        </w:rPr>
        <w:tab/>
        <w:t>В соответствии с программой работы Ком</w:t>
      </w:r>
      <w:r w:rsidR="00562B32">
        <w:rPr>
          <w:lang w:val="ru-RU"/>
        </w:rPr>
        <w:t>итета по внутреннему транспорту</w:t>
      </w:r>
      <w:r w:rsidR="00562B32" w:rsidRPr="00562B32">
        <w:rPr>
          <w:lang w:val="ru-RU"/>
        </w:rPr>
        <w:br/>
      </w:r>
      <w:r w:rsidRPr="001D6AEF"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C36FA8">
    <w:pPr>
      <w:pStyle w:val="Header"/>
      <w:rPr>
        <w:lang w:val="en-US"/>
      </w:rPr>
    </w:pPr>
    <w:r w:rsidRPr="00C36FA8">
      <w:rPr>
        <w:lang w:val="en-US"/>
      </w:rPr>
      <w:t>ECE/TRANS/WP.29/GRRF/2016/31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C36FA8" w:rsidP="007005EE">
    <w:pPr>
      <w:pStyle w:val="Header"/>
      <w:jc w:val="right"/>
      <w:rPr>
        <w:lang w:val="en-US"/>
      </w:rPr>
    </w:pPr>
    <w:r w:rsidRPr="00C36FA8">
      <w:rPr>
        <w:lang w:val="en-US"/>
      </w:rPr>
      <w:t>ECE/TRANS/WP.29/GRRF/2016/31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B8"/>
    <w:rsid w:val="000450D1"/>
    <w:rsid w:val="000B1FD5"/>
    <w:rsid w:val="000C718E"/>
    <w:rsid w:val="000F2A4F"/>
    <w:rsid w:val="001A4F47"/>
    <w:rsid w:val="001D6AEF"/>
    <w:rsid w:val="002009B0"/>
    <w:rsid w:val="00203F84"/>
    <w:rsid w:val="00254991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326F8"/>
    <w:rsid w:val="00544379"/>
    <w:rsid w:val="00562B32"/>
    <w:rsid w:val="00566944"/>
    <w:rsid w:val="00581CB8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8F682E"/>
    <w:rsid w:val="009141DC"/>
    <w:rsid w:val="009174A1"/>
    <w:rsid w:val="0098674D"/>
    <w:rsid w:val="00997ACA"/>
    <w:rsid w:val="009D6C42"/>
    <w:rsid w:val="00A03FB7"/>
    <w:rsid w:val="00A55C56"/>
    <w:rsid w:val="00A658DB"/>
    <w:rsid w:val="00A75A11"/>
    <w:rsid w:val="00A90CA4"/>
    <w:rsid w:val="00A9606E"/>
    <w:rsid w:val="00AD7EAD"/>
    <w:rsid w:val="00B35A32"/>
    <w:rsid w:val="00B432C6"/>
    <w:rsid w:val="00B471C5"/>
    <w:rsid w:val="00B6474A"/>
    <w:rsid w:val="00B85364"/>
    <w:rsid w:val="00BD4A2D"/>
    <w:rsid w:val="00BE1742"/>
    <w:rsid w:val="00C36FA8"/>
    <w:rsid w:val="00CF781A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1A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1A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EAC7-E1BB-4C1F-B52C-FAA81DDD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4538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Benedicte Boudol</cp:lastModifiedBy>
  <cp:revision>2</cp:revision>
  <cp:lastPrinted>2016-07-19T12:08:00Z</cp:lastPrinted>
  <dcterms:created xsi:type="dcterms:W3CDTF">2016-08-05T09:13:00Z</dcterms:created>
  <dcterms:modified xsi:type="dcterms:W3CDTF">2016-08-05T09:13:00Z</dcterms:modified>
</cp:coreProperties>
</file>