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0C7488" w:rsidRDefault="00B56E9C" w:rsidP="000C7488">
            <w:pPr>
              <w:spacing w:line="20" w:lineRule="exact"/>
              <w:rPr>
                <w:sz w:val="2"/>
              </w:rPr>
            </w:pPr>
            <w:bookmarkStart w:id="0" w:name="_GoBack"/>
            <w:bookmarkEnd w:id="0"/>
          </w:p>
          <w:p w:rsidR="000C7488" w:rsidRPr="00CF20B1" w:rsidRDefault="000C7488"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014F6B">
            <w:pPr>
              <w:jc w:val="right"/>
            </w:pPr>
            <w:r w:rsidRPr="00CF20B1">
              <w:rPr>
                <w:sz w:val="40"/>
              </w:rPr>
              <w:t>ECE</w:t>
            </w:r>
            <w:r w:rsidRPr="00CF20B1">
              <w:t>/TRANS/WP.29/GRRF/201</w:t>
            </w:r>
            <w:r w:rsidR="00116813">
              <w:t>6</w:t>
            </w:r>
            <w:r w:rsidRPr="00CF20B1">
              <w:t>/</w:t>
            </w:r>
            <w:r w:rsidR="00596294">
              <w:t>3</w:t>
            </w:r>
            <w:r w:rsidR="00014F6B">
              <w:t>1</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C43B0" w:rsidP="00923752">
            <w:pPr>
              <w:spacing w:before="120"/>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B86C3D" w:rsidRDefault="006216CD" w:rsidP="00923752">
            <w:pPr>
              <w:spacing w:line="240" w:lineRule="exact"/>
            </w:pPr>
            <w:r>
              <w:t>7</w:t>
            </w:r>
            <w:r w:rsidR="00FF162A">
              <w:t xml:space="preserve"> Ju</w:t>
            </w:r>
            <w:r w:rsidR="00A11F4D">
              <w:t>ly</w:t>
            </w:r>
            <w:r w:rsidR="00FF162A">
              <w:t xml:space="preserve"> 2016</w:t>
            </w:r>
          </w:p>
          <w:p w:rsidR="00FF162A" w:rsidRDefault="00FF162A"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116813" w:rsidRPr="00907534" w:rsidRDefault="00116813" w:rsidP="00116813">
      <w:pPr>
        <w:spacing w:before="120"/>
        <w:jc w:val="both"/>
        <w:rPr>
          <w:b/>
        </w:rPr>
      </w:pPr>
      <w:r>
        <w:rPr>
          <w:b/>
        </w:rPr>
        <w:t>Eighty</w:t>
      </w:r>
      <w:r w:rsidR="005307F2">
        <w:rPr>
          <w:b/>
        </w:rPr>
        <w:t>-</w:t>
      </w:r>
      <w:r w:rsidR="00682938">
        <w:rPr>
          <w:b/>
        </w:rPr>
        <w:t>second</w:t>
      </w:r>
      <w:r w:rsidRPr="00907534">
        <w:rPr>
          <w:b/>
        </w:rPr>
        <w:t xml:space="preserve"> session</w:t>
      </w:r>
    </w:p>
    <w:p w:rsidR="00116813" w:rsidRPr="00907534" w:rsidRDefault="00116813" w:rsidP="00116813">
      <w:pPr>
        <w:jc w:val="both"/>
      </w:pPr>
      <w:r w:rsidRPr="00907534">
        <w:t xml:space="preserve">Geneva, </w:t>
      </w:r>
      <w:r w:rsidR="00682938">
        <w:t>20-23 September</w:t>
      </w:r>
      <w:r w:rsidRPr="00907534">
        <w:rPr>
          <w:lang w:eastAsia="ja-JP"/>
        </w:rPr>
        <w:t xml:space="preserve"> </w:t>
      </w:r>
      <w:r w:rsidRPr="00907534">
        <w:t>201</w:t>
      </w:r>
      <w:r>
        <w:rPr>
          <w:lang w:eastAsia="ja-JP"/>
        </w:rPr>
        <w:t>6</w:t>
      </w:r>
    </w:p>
    <w:p w:rsidR="00116813" w:rsidRPr="00907534" w:rsidRDefault="00956CEE" w:rsidP="00116813">
      <w:pPr>
        <w:jc w:val="both"/>
      </w:pPr>
      <w:r w:rsidRPr="00FF162A">
        <w:t xml:space="preserve">Item </w:t>
      </w:r>
      <w:proofErr w:type="gramStart"/>
      <w:r w:rsidR="00A11F4D">
        <w:t>4</w:t>
      </w:r>
      <w:proofErr w:type="gramEnd"/>
      <w:r w:rsidR="00116813" w:rsidRPr="00907534">
        <w:t xml:space="preserve"> of the provisional agenda</w:t>
      </w:r>
    </w:p>
    <w:p w:rsidR="00AB1C8B" w:rsidRPr="00CF20B1" w:rsidRDefault="00A66797" w:rsidP="00116813">
      <w:pPr>
        <w:rPr>
          <w:b/>
        </w:rPr>
      </w:pPr>
      <w:r>
        <w:rPr>
          <w:b/>
        </w:rPr>
        <w:t xml:space="preserve">Regulation No. </w:t>
      </w:r>
      <w:r w:rsidR="00A11F4D">
        <w:rPr>
          <w:b/>
        </w:rPr>
        <w:t>55</w:t>
      </w:r>
    </w:p>
    <w:p w:rsidR="00AB1C8B" w:rsidRDefault="00AB1C8B" w:rsidP="002659DD">
      <w:pPr>
        <w:pStyle w:val="HChG"/>
        <w:tabs>
          <w:tab w:val="clear" w:pos="851"/>
        </w:tabs>
        <w:ind w:firstLine="0"/>
        <w:jc w:val="both"/>
      </w:pPr>
      <w:r w:rsidRPr="00CF20B1">
        <w:t xml:space="preserve">Proposal for </w:t>
      </w:r>
      <w:r w:rsidR="008941EC">
        <w:t xml:space="preserve">amendments </w:t>
      </w:r>
      <w:r w:rsidR="00A11F4D">
        <w:t>to Regulation No. 55 (</w:t>
      </w:r>
      <w:r w:rsidR="00A11F4D" w:rsidRPr="00CE1006">
        <w:t>Mechanical couplings</w:t>
      </w:r>
      <w:r w:rsidR="00A11F4D">
        <w:t>)</w:t>
      </w:r>
      <w:r w:rsidR="00E35AD0">
        <w:t xml:space="preserve"> </w:t>
      </w:r>
    </w:p>
    <w:p w:rsidR="00E35AD0" w:rsidRPr="00E35AD0" w:rsidRDefault="00E35AD0" w:rsidP="00E35AD0"/>
    <w:p w:rsidR="00AB1C8B" w:rsidRPr="00CF20B1" w:rsidRDefault="00AB1C8B" w:rsidP="002659DD">
      <w:pPr>
        <w:pStyle w:val="H1G"/>
        <w:tabs>
          <w:tab w:val="clear" w:pos="851"/>
        </w:tabs>
        <w:spacing w:before="0"/>
        <w:ind w:firstLine="0"/>
        <w:jc w:val="both"/>
        <w:rPr>
          <w:b w:val="0"/>
          <w:sz w:val="20"/>
        </w:rPr>
      </w:pPr>
      <w:r w:rsidRPr="00CF20B1">
        <w:rPr>
          <w:bCs/>
        </w:rPr>
        <w:t xml:space="preserve">Submitted by </w:t>
      </w:r>
      <w:r w:rsidR="00A11F4D" w:rsidRPr="00567C3E">
        <w:rPr>
          <w:bCs/>
          <w:szCs w:val="24"/>
        </w:rPr>
        <w:t xml:space="preserve">the </w:t>
      </w:r>
      <w:r w:rsidR="00A11F4D" w:rsidRPr="00CE1006">
        <w:rPr>
          <w:bCs/>
          <w:szCs w:val="24"/>
        </w:rPr>
        <w:t xml:space="preserve">Chair of the informal </w:t>
      </w:r>
      <w:r w:rsidR="008941EC">
        <w:rPr>
          <w:bCs/>
          <w:szCs w:val="24"/>
        </w:rPr>
        <w:t xml:space="preserve">working </w:t>
      </w:r>
      <w:r w:rsidR="00A11F4D" w:rsidRPr="00CE1006">
        <w:rPr>
          <w:bCs/>
          <w:szCs w:val="24"/>
        </w:rPr>
        <w:t>group on Regulation No. 55</w:t>
      </w:r>
      <w:r w:rsidRPr="00CF20B1">
        <w:rPr>
          <w:rStyle w:val="FootnoteReference"/>
          <w:b w:val="0"/>
          <w:sz w:val="20"/>
          <w:vertAlign w:val="baseline"/>
        </w:rPr>
        <w:footnoteReference w:customMarkFollows="1" w:id="2"/>
        <w:t>*</w:t>
      </w:r>
    </w:p>
    <w:p w:rsidR="00014F6B" w:rsidRDefault="00014F6B" w:rsidP="00014F6B">
      <w:pPr>
        <w:keepNext/>
        <w:keepLines/>
        <w:spacing w:after="120" w:line="240" w:lineRule="auto"/>
        <w:ind w:left="1134" w:right="992" w:firstLine="567"/>
        <w:jc w:val="both"/>
      </w:pPr>
      <w:r w:rsidRPr="00B102FE">
        <w:t xml:space="preserve">The text reproduced below </w:t>
      </w:r>
      <w:proofErr w:type="gramStart"/>
      <w:r w:rsidRPr="00B102FE">
        <w:t>was prepared</w:t>
      </w:r>
      <w:proofErr w:type="gramEnd"/>
      <w:r w:rsidRPr="00B102FE">
        <w:t xml:space="preserve"> by the </w:t>
      </w:r>
      <w:r>
        <w:t xml:space="preserve">experts of </w:t>
      </w:r>
      <w:r w:rsidRPr="00CE1006">
        <w:t xml:space="preserve">the informal </w:t>
      </w:r>
      <w:r>
        <w:t xml:space="preserve">working </w:t>
      </w:r>
      <w:r w:rsidRPr="00CE1006">
        <w:t>group on Regulation No. 55</w:t>
      </w:r>
      <w:r>
        <w:t xml:space="preserve"> and</w:t>
      </w:r>
      <w:r w:rsidRPr="00154E36">
        <w:t xml:space="preserve"> </w:t>
      </w:r>
      <w:r>
        <w:t>i</w:t>
      </w:r>
      <w:r w:rsidRPr="00B102FE">
        <w:t>ntroduc</w:t>
      </w:r>
      <w:r>
        <w:t xml:space="preserve">es: </w:t>
      </w:r>
    </w:p>
    <w:p w:rsidR="00014F6B" w:rsidRDefault="00014F6B" w:rsidP="00014F6B">
      <w:pPr>
        <w:keepNext/>
        <w:keepLines/>
        <w:spacing w:after="120" w:line="240" w:lineRule="auto"/>
        <w:ind w:left="1701" w:right="992"/>
        <w:jc w:val="both"/>
      </w:pPr>
      <w:r>
        <w:t>(a)</w:t>
      </w:r>
      <w:r>
        <w:tab/>
        <w:t>The correction of an error in Annex 5, figures 12 and 17</w:t>
      </w:r>
      <w:proofErr w:type="gramStart"/>
      <w:r w:rsidR="008941EC">
        <w:t>;</w:t>
      </w:r>
      <w:proofErr w:type="gramEnd"/>
    </w:p>
    <w:p w:rsidR="00014F6B" w:rsidRDefault="00014F6B" w:rsidP="00014F6B">
      <w:pPr>
        <w:keepNext/>
        <w:keepLines/>
        <w:spacing w:after="120" w:line="240" w:lineRule="auto"/>
        <w:ind w:left="1701" w:right="992"/>
        <w:jc w:val="both"/>
      </w:pPr>
      <w:r>
        <w:t>(b)</w:t>
      </w:r>
      <w:r>
        <w:tab/>
        <w:t xml:space="preserve">An amendment that </w:t>
      </w:r>
      <w:r w:rsidRPr="002C48F9">
        <w:t xml:space="preserve">concerns </w:t>
      </w:r>
      <w:r>
        <w:t>identification of worst cases for design assessment</w:t>
      </w:r>
      <w:r w:rsidR="008941EC">
        <w:t>;</w:t>
      </w:r>
    </w:p>
    <w:p w:rsidR="00014F6B" w:rsidRDefault="00014F6B" w:rsidP="00014F6B">
      <w:pPr>
        <w:keepNext/>
        <w:keepLines/>
        <w:spacing w:after="120" w:line="240" w:lineRule="auto"/>
        <w:ind w:left="1134" w:right="992" w:firstLine="567"/>
        <w:jc w:val="both"/>
      </w:pPr>
      <w:proofErr w:type="gramStart"/>
      <w:r>
        <w:t>(c)</w:t>
      </w:r>
      <w:r>
        <w:tab/>
        <w:t>Clarifications on minimum articulation angles</w:t>
      </w:r>
      <w:r>
        <w:rPr>
          <w:lang w:eastAsia="fr-BE"/>
        </w:rPr>
        <w:t>.</w:t>
      </w:r>
      <w:proofErr w:type="gramEnd"/>
    </w:p>
    <w:p w:rsidR="00D97DFC" w:rsidRDefault="006C1249" w:rsidP="006C1249">
      <w:pPr>
        <w:keepNext/>
        <w:keepLines/>
        <w:spacing w:after="120" w:line="240" w:lineRule="auto"/>
        <w:ind w:left="1134" w:right="992" w:firstLine="567"/>
        <w:jc w:val="both"/>
      </w:pPr>
      <w:r w:rsidRPr="00CF20B1">
        <w:t>The modifications to the existing text of the Regulation are marked in bold for new or str</w:t>
      </w:r>
      <w:r>
        <w:t>ike</w:t>
      </w:r>
      <w:r w:rsidRPr="00CF20B1">
        <w:t>through for deleted characters</w:t>
      </w:r>
      <w:r>
        <w:t>.</w:t>
      </w:r>
    </w:p>
    <w:p w:rsidR="00AB1C8B" w:rsidRDefault="00AB1C8B" w:rsidP="006C1249">
      <w:pPr>
        <w:pStyle w:val="HChG"/>
        <w:pageBreakBefore/>
        <w:numPr>
          <w:ilvl w:val="0"/>
          <w:numId w:val="20"/>
        </w:numPr>
        <w:tabs>
          <w:tab w:val="clear" w:pos="851"/>
        </w:tabs>
        <w:spacing w:line="240" w:lineRule="auto"/>
        <w:ind w:left="1134" w:hanging="567"/>
      </w:pPr>
      <w:r w:rsidRPr="00CF20B1">
        <w:lastRenderedPageBreak/>
        <w:t>Proposal</w:t>
      </w:r>
    </w:p>
    <w:p w:rsidR="00014F6B" w:rsidRPr="00014F6B" w:rsidRDefault="00014F6B" w:rsidP="00014F6B">
      <w:pPr>
        <w:spacing w:after="120"/>
        <w:ind w:left="2268" w:right="1134" w:hanging="1134"/>
        <w:rPr>
          <w:i/>
        </w:rPr>
      </w:pPr>
      <w:r>
        <w:rPr>
          <w:i/>
        </w:rPr>
        <w:t xml:space="preserve">Annex </w:t>
      </w:r>
      <w:proofErr w:type="gramStart"/>
      <w:r>
        <w:rPr>
          <w:i/>
        </w:rPr>
        <w:t>5</w:t>
      </w:r>
      <w:proofErr w:type="gramEnd"/>
      <w:r>
        <w:rPr>
          <w:i/>
        </w:rPr>
        <w:t>,</w:t>
      </w:r>
    </w:p>
    <w:p w:rsidR="00014F6B" w:rsidRPr="00014F6B" w:rsidRDefault="00014F6B" w:rsidP="00014F6B">
      <w:pPr>
        <w:spacing w:after="120"/>
        <w:ind w:left="2268" w:right="1134" w:hanging="1134"/>
        <w:rPr>
          <w:i/>
          <w:lang w:val="en-US"/>
        </w:rPr>
      </w:pPr>
      <w:r>
        <w:rPr>
          <w:i/>
          <w:lang w:val="en-US"/>
        </w:rPr>
        <w:t>F</w:t>
      </w:r>
      <w:r w:rsidRPr="00014F6B">
        <w:rPr>
          <w:i/>
          <w:lang w:val="en-US"/>
        </w:rPr>
        <w:t>igure 12</w:t>
      </w:r>
      <w:r>
        <w:rPr>
          <w:i/>
          <w:lang w:val="en-US"/>
        </w:rPr>
        <w:t>,</w:t>
      </w:r>
      <w:r w:rsidRPr="00014F6B">
        <w:rPr>
          <w:i/>
          <w:lang w:val="en-US"/>
        </w:rPr>
        <w:t xml:space="preserve"> </w:t>
      </w:r>
      <w:r w:rsidRPr="00014F6B">
        <w:rPr>
          <w:lang w:val="en-US"/>
        </w:rPr>
        <w:t>amend as follow:</w:t>
      </w:r>
    </w:p>
    <w:p w:rsidR="00014F6B" w:rsidRPr="00014F6B" w:rsidRDefault="00014F6B" w:rsidP="00014F6B">
      <w:pPr>
        <w:spacing w:after="120"/>
        <w:ind w:left="2268" w:right="1134" w:hanging="1134"/>
        <w:rPr>
          <w:rFonts w:eastAsia="Calibri"/>
          <w:b/>
          <w:lang w:val="en-US"/>
        </w:rPr>
      </w:pPr>
      <w:r>
        <w:rPr>
          <w:rFonts w:eastAsia="Calibri"/>
          <w:lang w:val="en-US"/>
        </w:rPr>
        <w:t>"…</w:t>
      </w:r>
      <w:r w:rsidRPr="00014F6B">
        <w:rPr>
          <w:rFonts w:eastAsia="Calibri"/>
          <w:lang w:val="en-US"/>
        </w:rPr>
        <w:t xml:space="preserve">Change dimension sleeve bore diameter </w:t>
      </w:r>
      <w:r w:rsidRPr="00014F6B">
        <w:rPr>
          <w:rFonts w:eastAsia="Calibri"/>
          <w:strike/>
          <w:lang w:val="en-US"/>
        </w:rPr>
        <w:t xml:space="preserve">Ø06H8 </w:t>
      </w:r>
      <w:r w:rsidRPr="00014F6B">
        <w:rPr>
          <w:rFonts w:eastAsia="Calibri"/>
          <w:lang w:val="en-US"/>
        </w:rPr>
        <w:t xml:space="preserve">to </w:t>
      </w:r>
      <w:r w:rsidRPr="00014F6B">
        <w:rPr>
          <w:rFonts w:eastAsia="Calibri"/>
          <w:b/>
          <w:lang w:val="en-US"/>
        </w:rPr>
        <w:t>Ø60H8</w:t>
      </w:r>
      <w:r w:rsidRPr="00014F6B">
        <w:rPr>
          <w:rFonts w:eastAsia="Calibri"/>
          <w:lang w:val="en-US"/>
        </w:rPr>
        <w:t>…</w:t>
      </w:r>
      <w:r>
        <w:rPr>
          <w:rFonts w:eastAsia="Calibri"/>
          <w:b/>
          <w:lang w:val="en-US"/>
        </w:rPr>
        <w:t>"</w:t>
      </w:r>
    </w:p>
    <w:p w:rsidR="00014F6B" w:rsidRPr="00014F6B" w:rsidRDefault="00014F6B" w:rsidP="00014F6B">
      <w:pPr>
        <w:spacing w:after="120"/>
        <w:ind w:left="2268" w:right="1134" w:hanging="1134"/>
        <w:rPr>
          <w:i/>
          <w:lang w:val="en-US"/>
        </w:rPr>
      </w:pPr>
      <w:r>
        <w:rPr>
          <w:i/>
          <w:lang w:val="en-US"/>
        </w:rPr>
        <w:t>P</w:t>
      </w:r>
      <w:r w:rsidRPr="00014F6B">
        <w:rPr>
          <w:i/>
          <w:lang w:val="en-US"/>
        </w:rPr>
        <w:t xml:space="preserve">aragraph 7.3.2., </w:t>
      </w:r>
      <w:r w:rsidRPr="008941EC">
        <w:rPr>
          <w:lang w:val="en-US"/>
        </w:rPr>
        <w:t>amend to read:</w:t>
      </w:r>
    </w:p>
    <w:p w:rsidR="00014F6B" w:rsidRPr="00014F6B" w:rsidRDefault="008941EC" w:rsidP="00014F6B">
      <w:pPr>
        <w:spacing w:after="120"/>
        <w:ind w:left="2268" w:right="1134" w:hanging="1134"/>
        <w:jc w:val="both"/>
        <w:rPr>
          <w:rFonts w:eastAsia="Calibri"/>
          <w:lang w:val="en-US"/>
        </w:rPr>
      </w:pPr>
      <w:proofErr w:type="gramStart"/>
      <w:r>
        <w:rPr>
          <w:rFonts w:eastAsia="Calibri"/>
          <w:lang w:val="en-US"/>
        </w:rPr>
        <w:t>"</w:t>
      </w:r>
      <w:r w:rsidR="00014F6B" w:rsidRPr="00014F6B">
        <w:rPr>
          <w:rFonts w:eastAsia="Calibri"/>
          <w:lang w:val="en-US"/>
        </w:rPr>
        <w:t xml:space="preserve">7.3.2. </w:t>
      </w:r>
      <w:r w:rsidR="00014F6B" w:rsidRPr="00014F6B">
        <w:rPr>
          <w:rFonts w:eastAsia="Calibri"/>
          <w:lang w:val="en-US"/>
        </w:rPr>
        <w:tab/>
      </w:r>
      <w:r w:rsidR="00014F6B" w:rsidRPr="00014F6B">
        <w:rPr>
          <w:rFonts w:eastAsia="Calibri"/>
          <w:strike/>
          <w:lang w:val="en-US"/>
        </w:rPr>
        <w:t>±12°</w:t>
      </w:r>
      <w:r w:rsidR="00014F6B" w:rsidRPr="00014F6B">
        <w:rPr>
          <w:rFonts w:eastAsia="Calibri"/>
          <w:lang w:val="en-US"/>
        </w:rPr>
        <w:t xml:space="preserve">   </w:t>
      </w:r>
      <w:r w:rsidR="00014F6B" w:rsidRPr="00014F6B">
        <w:rPr>
          <w:rFonts w:eastAsia="Calibri"/>
          <w:b/>
          <w:lang w:val="en-US"/>
        </w:rPr>
        <w:t>6° towards the front and 7° towards the rear</w:t>
      </w:r>
      <w:r w:rsidR="00014F6B" w:rsidRPr="00014F6B">
        <w:rPr>
          <w:rFonts w:eastAsia="Calibri"/>
          <w:lang w:val="en-US"/>
        </w:rPr>
        <w:t xml:space="preserve"> about the horizontal axis transverse to the direction of travel.</w:t>
      </w:r>
      <w:r>
        <w:rPr>
          <w:rFonts w:eastAsia="Calibri"/>
          <w:lang w:val="en-US"/>
        </w:rPr>
        <w:t>"</w:t>
      </w:r>
      <w:proofErr w:type="gramEnd"/>
    </w:p>
    <w:p w:rsidR="00014F6B" w:rsidRPr="00977E08" w:rsidRDefault="00014F6B" w:rsidP="00014F6B">
      <w:pPr>
        <w:ind w:left="1134"/>
        <w:rPr>
          <w:i/>
          <w:lang w:val="en-US"/>
        </w:rPr>
      </w:pPr>
      <w:r>
        <w:rPr>
          <w:i/>
          <w:lang w:val="en-US"/>
        </w:rPr>
        <w:t>F</w:t>
      </w:r>
      <w:r w:rsidRPr="00977E08">
        <w:rPr>
          <w:i/>
          <w:lang w:val="en-US"/>
        </w:rPr>
        <w:t>igure 17</w:t>
      </w:r>
      <w:r>
        <w:rPr>
          <w:i/>
          <w:lang w:val="en-US"/>
        </w:rPr>
        <w:t>,</w:t>
      </w:r>
      <w:r w:rsidRPr="00014F6B">
        <w:rPr>
          <w:lang w:val="en-US"/>
        </w:rPr>
        <w:t xml:space="preserve"> amend to read:</w:t>
      </w:r>
    </w:p>
    <w:p w:rsidR="006C1249" w:rsidRDefault="00014F6B" w:rsidP="00014F6B">
      <w:pPr>
        <w:jc w:val="center"/>
        <w:rPr>
          <w:lang w:val="en-US"/>
        </w:rPr>
      </w:pPr>
      <w:r>
        <w:rPr>
          <w:noProof/>
          <w:lang w:eastAsia="en-GB"/>
        </w:rPr>
        <w:drawing>
          <wp:inline distT="0" distB="0" distL="0" distR="0" wp14:anchorId="7798A587" wp14:editId="36132F05">
            <wp:extent cx="3706084" cy="2806810"/>
            <wp:effectExtent l="0" t="0" r="8890" b="0"/>
            <wp:docPr id="1" name="Bildobjekt 1"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107" cy="2806827"/>
                    </a:xfrm>
                    <a:prstGeom prst="rect">
                      <a:avLst/>
                    </a:prstGeom>
                    <a:noFill/>
                    <a:ln>
                      <a:noFill/>
                    </a:ln>
                  </pic:spPr>
                </pic:pic>
              </a:graphicData>
            </a:graphic>
          </wp:inline>
        </w:drawing>
      </w:r>
    </w:p>
    <w:p w:rsidR="00014F6B" w:rsidRDefault="00014F6B" w:rsidP="00064FC7">
      <w:pPr>
        <w:suppressAutoHyphens w:val="0"/>
        <w:spacing w:after="120" w:line="240" w:lineRule="auto"/>
        <w:ind w:left="2268" w:right="1134" w:hanging="1134"/>
        <w:jc w:val="both"/>
        <w:rPr>
          <w:i/>
        </w:rPr>
      </w:pPr>
      <w:r w:rsidRPr="00977E08">
        <w:rPr>
          <w:i/>
        </w:rPr>
        <w:t xml:space="preserve">Annex </w:t>
      </w:r>
      <w:proofErr w:type="gramStart"/>
      <w:r w:rsidRPr="00977E08">
        <w:rPr>
          <w:i/>
        </w:rPr>
        <w:t>6</w:t>
      </w:r>
      <w:proofErr w:type="gramEnd"/>
      <w:r w:rsidR="008941EC">
        <w:rPr>
          <w:i/>
        </w:rPr>
        <w:t>,</w:t>
      </w:r>
    </w:p>
    <w:p w:rsidR="00014F6B" w:rsidRPr="008941EC" w:rsidRDefault="008941EC" w:rsidP="00064FC7">
      <w:pPr>
        <w:suppressAutoHyphens w:val="0"/>
        <w:spacing w:after="120" w:line="240" w:lineRule="auto"/>
        <w:ind w:left="2268" w:right="1134" w:hanging="1134"/>
        <w:jc w:val="both"/>
        <w:rPr>
          <w:lang w:val="en-US"/>
        </w:rPr>
      </w:pPr>
      <w:r>
        <w:rPr>
          <w:i/>
          <w:lang w:val="en-US" w:eastAsia="en-GB"/>
        </w:rPr>
        <w:t>P</w:t>
      </w:r>
      <w:r w:rsidR="00014F6B" w:rsidRPr="00977E08">
        <w:rPr>
          <w:i/>
          <w:lang w:val="en-US" w:eastAsia="en-GB"/>
        </w:rPr>
        <w:t xml:space="preserve">aragraph </w:t>
      </w:r>
      <w:r w:rsidR="00014F6B" w:rsidRPr="00977E08">
        <w:rPr>
          <w:i/>
          <w:lang w:val="en-US"/>
        </w:rPr>
        <w:t>1.1</w:t>
      </w:r>
      <w:r w:rsidR="00014F6B" w:rsidRPr="008941EC">
        <w:rPr>
          <w:lang w:val="en-US"/>
        </w:rPr>
        <w:t>.</w:t>
      </w:r>
      <w:r>
        <w:rPr>
          <w:lang w:val="en-US"/>
        </w:rPr>
        <w:t>,</w:t>
      </w:r>
      <w:r w:rsidR="00014F6B" w:rsidRPr="008941EC">
        <w:rPr>
          <w:lang w:val="en-US"/>
        </w:rPr>
        <w:t xml:space="preserve"> </w:t>
      </w:r>
      <w:r>
        <w:rPr>
          <w:lang w:val="en-US"/>
        </w:rPr>
        <w:t xml:space="preserve">amend </w:t>
      </w:r>
      <w:r w:rsidR="00014F6B" w:rsidRPr="008941EC">
        <w:rPr>
          <w:lang w:val="en-US"/>
        </w:rPr>
        <w:t>to read:</w:t>
      </w:r>
    </w:p>
    <w:p w:rsidR="00014F6B" w:rsidRPr="00014F6B" w:rsidRDefault="00014F6B" w:rsidP="00064FC7">
      <w:pPr>
        <w:spacing w:after="120"/>
        <w:ind w:left="2268" w:right="1134" w:hanging="1134"/>
        <w:jc w:val="both"/>
        <w:rPr>
          <w:b/>
          <w:lang w:val="en-US"/>
        </w:rPr>
      </w:pPr>
      <w:r>
        <w:rPr>
          <w:lang w:val="en-US"/>
        </w:rPr>
        <w:t>1.1</w:t>
      </w:r>
      <w:r w:rsidR="008941EC">
        <w:rPr>
          <w:lang w:val="en-US"/>
        </w:rPr>
        <w:t>.</w:t>
      </w:r>
      <w:r>
        <w:rPr>
          <w:lang w:val="en-US"/>
        </w:rPr>
        <w:tab/>
      </w:r>
      <w:r w:rsidRPr="00014F6B">
        <w:rPr>
          <w:lang w:val="en-US"/>
        </w:rPr>
        <w:t xml:space="preserve">Samples of coupling devices shall be tested for both strength and function. </w:t>
      </w:r>
      <w:r w:rsidRPr="00014F6B">
        <w:rPr>
          <w:b/>
          <w:lang w:val="en-US"/>
        </w:rPr>
        <w:t>Tests shall be performed in relation to worst case conditions.</w:t>
      </w:r>
    </w:p>
    <w:p w:rsidR="00014F6B" w:rsidRPr="00977E08" w:rsidRDefault="00014F6B" w:rsidP="00064FC7">
      <w:pPr>
        <w:suppressAutoHyphens w:val="0"/>
        <w:autoSpaceDE w:val="0"/>
        <w:autoSpaceDN w:val="0"/>
        <w:adjustRightInd w:val="0"/>
        <w:spacing w:after="120" w:line="240" w:lineRule="auto"/>
        <w:ind w:left="2268" w:right="1134" w:hanging="1134"/>
        <w:jc w:val="both"/>
        <w:rPr>
          <w:b/>
          <w:lang w:val="en-US"/>
        </w:rPr>
      </w:pPr>
      <w:r>
        <w:rPr>
          <w:b/>
          <w:lang w:val="en-US"/>
        </w:rPr>
        <w:tab/>
      </w:r>
      <w:r w:rsidRPr="00977E08">
        <w:rPr>
          <w:b/>
          <w:lang w:val="en-US"/>
        </w:rPr>
        <w:t>Theoretical assessment may be carried out to determine worst case conditions</w:t>
      </w:r>
      <w:r w:rsidRPr="00977E08">
        <w:rPr>
          <w:lang w:val="en-US"/>
        </w:rPr>
        <w:t xml:space="preserve"> Physical testing shall be carried out wherever possible but unless stated otherwise the Type Approval Authority or Technical Service may waive a physical strength test if the simple design of a component makes a theoretical </w:t>
      </w:r>
      <w:r w:rsidRPr="00977E08">
        <w:rPr>
          <w:strike/>
          <w:lang w:val="en-US"/>
        </w:rPr>
        <w:t>check</w:t>
      </w:r>
      <w:r w:rsidRPr="00977E08">
        <w:rPr>
          <w:lang w:val="en-US"/>
        </w:rPr>
        <w:t xml:space="preserve"> </w:t>
      </w:r>
      <w:r w:rsidRPr="00977E08">
        <w:rPr>
          <w:b/>
          <w:lang w:val="en-US"/>
        </w:rPr>
        <w:t>assessment</w:t>
      </w:r>
      <w:r w:rsidRPr="00977E08">
        <w:rPr>
          <w:lang w:val="en-US"/>
        </w:rPr>
        <w:t xml:space="preserve"> possible. </w:t>
      </w:r>
    </w:p>
    <w:p w:rsidR="00014F6B" w:rsidRPr="00977E08" w:rsidRDefault="00014F6B" w:rsidP="00064FC7">
      <w:pPr>
        <w:suppressAutoHyphens w:val="0"/>
        <w:autoSpaceDE w:val="0"/>
        <w:autoSpaceDN w:val="0"/>
        <w:adjustRightInd w:val="0"/>
        <w:spacing w:after="120" w:line="240" w:lineRule="auto"/>
        <w:ind w:left="2268" w:right="1134" w:hanging="1134"/>
        <w:jc w:val="both"/>
        <w:rPr>
          <w:lang w:val="en-US"/>
        </w:rPr>
      </w:pPr>
      <w:r w:rsidRPr="00014F6B">
        <w:rPr>
          <w:lang w:val="en-US"/>
        </w:rPr>
        <w:tab/>
      </w:r>
      <w:r w:rsidRPr="00977E08">
        <w:rPr>
          <w:strike/>
          <w:lang w:val="en-US"/>
        </w:rPr>
        <w:t xml:space="preserve">Theoretical checks may be carried out to determine worst case conditions. </w:t>
      </w:r>
      <w:r w:rsidRPr="00977E08">
        <w:rPr>
          <w:lang w:val="en-US"/>
        </w:rPr>
        <w:t xml:space="preserve">In all cases, theoretical </w:t>
      </w:r>
      <w:r w:rsidRPr="00977E08">
        <w:rPr>
          <w:strike/>
          <w:lang w:val="en-US"/>
        </w:rPr>
        <w:t>checks</w:t>
      </w:r>
      <w:r w:rsidRPr="00977E08">
        <w:rPr>
          <w:lang w:val="en-US"/>
        </w:rPr>
        <w:t xml:space="preserve"> </w:t>
      </w:r>
      <w:r w:rsidRPr="00977E08">
        <w:rPr>
          <w:b/>
          <w:lang w:val="en-US"/>
        </w:rPr>
        <w:t>assessments</w:t>
      </w:r>
      <w:r w:rsidRPr="00977E08">
        <w:rPr>
          <w:lang w:val="en-US"/>
        </w:rPr>
        <w:t xml:space="preserve"> shall ensure the same quality of results as with dynamic or static testing. In cases of doubt it is the results of physical testing that are overriding.</w:t>
      </w:r>
    </w:p>
    <w:p w:rsidR="00014F6B" w:rsidRPr="00977E08" w:rsidRDefault="00014F6B" w:rsidP="00064FC7">
      <w:pPr>
        <w:suppressAutoHyphens w:val="0"/>
        <w:spacing w:after="120" w:line="240" w:lineRule="auto"/>
        <w:ind w:left="2268" w:right="1134"/>
        <w:jc w:val="both"/>
        <w:rPr>
          <w:lang w:val="en-US"/>
        </w:rPr>
      </w:pPr>
      <w:r w:rsidRPr="00977E08">
        <w:rPr>
          <w:lang w:val="en-US"/>
        </w:rPr>
        <w:t xml:space="preserve">See also paragraph 4.8. </w:t>
      </w:r>
      <w:proofErr w:type="gramStart"/>
      <w:r w:rsidRPr="00977E08">
        <w:rPr>
          <w:lang w:val="en-US"/>
        </w:rPr>
        <w:t>of</w:t>
      </w:r>
      <w:proofErr w:type="gramEnd"/>
      <w:r w:rsidRPr="00977E08">
        <w:rPr>
          <w:lang w:val="en-US"/>
        </w:rPr>
        <w:t xml:space="preserve"> this Regulation.</w:t>
      </w:r>
    </w:p>
    <w:p w:rsidR="00014F6B" w:rsidRDefault="00014F6B" w:rsidP="00064FC7">
      <w:pPr>
        <w:suppressAutoHyphens w:val="0"/>
        <w:spacing w:after="120" w:line="240" w:lineRule="auto"/>
        <w:ind w:left="2268" w:right="1134" w:hanging="1134"/>
        <w:jc w:val="both"/>
        <w:rPr>
          <w:i/>
          <w:lang w:val="en-US"/>
        </w:rPr>
      </w:pPr>
      <w:r>
        <w:rPr>
          <w:i/>
          <w:lang w:val="en-US"/>
        </w:rPr>
        <w:t xml:space="preserve">Paragraph </w:t>
      </w:r>
      <w:r w:rsidRPr="00977E08">
        <w:rPr>
          <w:i/>
          <w:lang w:val="en-US"/>
        </w:rPr>
        <w:t>3.6.1.</w:t>
      </w:r>
      <w:r>
        <w:rPr>
          <w:i/>
          <w:lang w:val="en-US"/>
        </w:rPr>
        <w:t>,</w:t>
      </w:r>
      <w:r w:rsidRPr="00977E08">
        <w:rPr>
          <w:i/>
          <w:lang w:val="en-US"/>
        </w:rPr>
        <w:t xml:space="preserve"> </w:t>
      </w:r>
      <w:r w:rsidRPr="00014F6B">
        <w:rPr>
          <w:lang w:val="en-US"/>
        </w:rPr>
        <w:t>amend to read:</w:t>
      </w:r>
    </w:p>
    <w:p w:rsidR="00014F6B" w:rsidRPr="00014F6B" w:rsidRDefault="00014F6B" w:rsidP="00064FC7">
      <w:pPr>
        <w:pStyle w:val="ListParagraph"/>
        <w:numPr>
          <w:ilvl w:val="2"/>
          <w:numId w:val="33"/>
        </w:numPr>
        <w:autoSpaceDE w:val="0"/>
        <w:autoSpaceDN w:val="0"/>
        <w:adjustRightInd w:val="0"/>
        <w:spacing w:after="120"/>
        <w:ind w:left="2268" w:right="1134" w:hanging="1134"/>
        <w:contextualSpacing w:val="0"/>
        <w:jc w:val="both"/>
        <w:rPr>
          <w:sz w:val="20"/>
          <w:szCs w:val="20"/>
          <w:lang w:val="en-US"/>
        </w:rPr>
      </w:pPr>
      <w:r w:rsidRPr="00014F6B">
        <w:rPr>
          <w:sz w:val="20"/>
          <w:szCs w:val="20"/>
          <w:lang w:val="en-US"/>
        </w:rPr>
        <w:t xml:space="preserve">Drawbars shall be tested in the same way as drawbar eyes (see paragraph 3.4.). The Type Approval Authority or Technical Service may waive an endurance test if the simple design of a component makes a theoretical </w:t>
      </w:r>
      <w:r w:rsidRPr="00014F6B">
        <w:rPr>
          <w:strike/>
          <w:sz w:val="20"/>
          <w:szCs w:val="20"/>
          <w:lang w:val="en-US"/>
        </w:rPr>
        <w:t>check</w:t>
      </w:r>
      <w:r w:rsidRPr="00014F6B">
        <w:rPr>
          <w:sz w:val="20"/>
          <w:szCs w:val="20"/>
          <w:lang w:val="en-US"/>
        </w:rPr>
        <w:t xml:space="preserve"> </w:t>
      </w:r>
      <w:r w:rsidRPr="00014F6B">
        <w:rPr>
          <w:b/>
          <w:sz w:val="20"/>
          <w:szCs w:val="20"/>
          <w:lang w:val="en-US"/>
        </w:rPr>
        <w:t xml:space="preserve">assessment </w:t>
      </w:r>
      <w:r w:rsidRPr="00014F6B">
        <w:rPr>
          <w:sz w:val="20"/>
          <w:szCs w:val="20"/>
          <w:lang w:val="en-US"/>
        </w:rPr>
        <w:t xml:space="preserve">of its strength possible. The design forces for the theoretical </w:t>
      </w:r>
      <w:r w:rsidRPr="00014F6B">
        <w:rPr>
          <w:sz w:val="20"/>
          <w:szCs w:val="20"/>
          <w:lang w:val="en-US"/>
        </w:rPr>
        <w:lastRenderedPageBreak/>
        <w:t xml:space="preserve">verification of the drawbar of </w:t>
      </w:r>
      <w:proofErr w:type="spellStart"/>
      <w:r w:rsidRPr="00014F6B">
        <w:rPr>
          <w:sz w:val="20"/>
          <w:szCs w:val="20"/>
          <w:lang w:val="en-US"/>
        </w:rPr>
        <w:t>centre</w:t>
      </w:r>
      <w:proofErr w:type="spellEnd"/>
      <w:r w:rsidRPr="00014F6B">
        <w:rPr>
          <w:sz w:val="20"/>
          <w:szCs w:val="20"/>
          <w:lang w:val="en-US"/>
        </w:rPr>
        <w:t xml:space="preserve"> axle trailers with a mass, C, of up to and including 3.5 </w:t>
      </w:r>
      <w:proofErr w:type="spellStart"/>
      <w:r w:rsidRPr="00014F6B">
        <w:rPr>
          <w:sz w:val="20"/>
          <w:szCs w:val="20"/>
          <w:lang w:val="en-US"/>
        </w:rPr>
        <w:t>tonnes</w:t>
      </w:r>
      <w:proofErr w:type="spellEnd"/>
      <w:r w:rsidRPr="00014F6B">
        <w:rPr>
          <w:sz w:val="20"/>
          <w:szCs w:val="20"/>
          <w:lang w:val="en-US"/>
        </w:rPr>
        <w:t xml:space="preserve"> shall be taken from ISO 7641/1:1983. The design forces for the theoretical verification of drawbars for </w:t>
      </w:r>
      <w:proofErr w:type="spellStart"/>
      <w:r w:rsidRPr="00014F6B">
        <w:rPr>
          <w:sz w:val="20"/>
          <w:szCs w:val="20"/>
          <w:lang w:val="en-US"/>
        </w:rPr>
        <w:t>centre</w:t>
      </w:r>
      <w:proofErr w:type="spellEnd"/>
      <w:r w:rsidRPr="00014F6B">
        <w:rPr>
          <w:sz w:val="20"/>
          <w:szCs w:val="20"/>
          <w:lang w:val="en-US"/>
        </w:rPr>
        <w:t xml:space="preserve"> axle trailers having a mass, C, over 3.5 </w:t>
      </w:r>
      <w:proofErr w:type="spellStart"/>
      <w:r w:rsidRPr="00014F6B">
        <w:rPr>
          <w:sz w:val="20"/>
          <w:szCs w:val="20"/>
          <w:lang w:val="en-US"/>
        </w:rPr>
        <w:t>tonnes</w:t>
      </w:r>
      <w:proofErr w:type="spellEnd"/>
      <w:r w:rsidRPr="00014F6B">
        <w:rPr>
          <w:sz w:val="20"/>
          <w:szCs w:val="20"/>
          <w:lang w:val="en-US"/>
        </w:rPr>
        <w:t xml:space="preserve"> shall be calculated as</w:t>
      </w:r>
      <w:r w:rsidRPr="00014F6B">
        <w:rPr>
          <w:b/>
          <w:sz w:val="20"/>
          <w:szCs w:val="20"/>
          <w:lang w:val="en-US"/>
        </w:rPr>
        <w:t xml:space="preserve"> </w:t>
      </w:r>
      <w:r w:rsidRPr="00014F6B">
        <w:rPr>
          <w:sz w:val="20"/>
          <w:szCs w:val="20"/>
          <w:lang w:val="en-US"/>
        </w:rPr>
        <w:t>follows:</w:t>
      </w:r>
    </w:p>
    <w:p w:rsidR="00014F6B" w:rsidRDefault="00014F6B" w:rsidP="00064FC7">
      <w:pPr>
        <w:suppressAutoHyphens w:val="0"/>
        <w:spacing w:after="120" w:line="240" w:lineRule="auto"/>
        <w:ind w:left="2268" w:right="1134"/>
        <w:jc w:val="both"/>
        <w:rPr>
          <w:lang w:val="en-US"/>
        </w:rPr>
      </w:pPr>
      <w:proofErr w:type="spellStart"/>
      <w:r w:rsidRPr="00977E08">
        <w:rPr>
          <w:lang w:val="en-US"/>
        </w:rPr>
        <w:t>Fsp</w:t>
      </w:r>
      <w:proofErr w:type="spellEnd"/>
      <w:r w:rsidRPr="00977E08">
        <w:rPr>
          <w:lang w:val="en-US"/>
        </w:rPr>
        <w:t xml:space="preserve"> = (g × S/1000) + V</w:t>
      </w:r>
    </w:p>
    <w:p w:rsidR="00014F6B" w:rsidRPr="00977E08" w:rsidRDefault="00014F6B" w:rsidP="00064FC7">
      <w:pPr>
        <w:suppressAutoHyphens w:val="0"/>
        <w:autoSpaceDE w:val="0"/>
        <w:autoSpaceDN w:val="0"/>
        <w:adjustRightInd w:val="0"/>
        <w:spacing w:after="120" w:line="240" w:lineRule="auto"/>
        <w:ind w:left="2268" w:right="1134"/>
        <w:jc w:val="both"/>
        <w:rPr>
          <w:lang w:val="en-US"/>
        </w:rPr>
      </w:pPr>
      <w:proofErr w:type="gramStart"/>
      <w:r w:rsidRPr="00977E08">
        <w:rPr>
          <w:lang w:val="en-US"/>
        </w:rPr>
        <w:t xml:space="preserve">Where the force amplitude V is that </w:t>
      </w:r>
      <w:r w:rsidRPr="00977E08">
        <w:rPr>
          <w:strike/>
          <w:lang w:val="en-US"/>
        </w:rPr>
        <w:t>given</w:t>
      </w:r>
      <w:r w:rsidRPr="00977E08">
        <w:rPr>
          <w:lang w:val="en-US"/>
        </w:rPr>
        <w:t xml:space="preserve"> </w:t>
      </w:r>
      <w:r w:rsidRPr="00977E08">
        <w:rPr>
          <w:b/>
          <w:lang w:val="en-US"/>
        </w:rPr>
        <w:t xml:space="preserve">defined </w:t>
      </w:r>
      <w:r w:rsidRPr="00977E08">
        <w:rPr>
          <w:lang w:val="en-US"/>
        </w:rPr>
        <w:t>in paragraph 2.11.4.</w:t>
      </w:r>
      <w:proofErr w:type="gramEnd"/>
      <w:r w:rsidRPr="00977E08">
        <w:rPr>
          <w:lang w:val="en-US"/>
        </w:rPr>
        <w:t xml:space="preserve"> </w:t>
      </w:r>
      <w:proofErr w:type="gramStart"/>
      <w:r w:rsidRPr="00977E08">
        <w:rPr>
          <w:lang w:val="en-US"/>
        </w:rPr>
        <w:t>of</w:t>
      </w:r>
      <w:proofErr w:type="gramEnd"/>
      <w:r w:rsidRPr="00977E08">
        <w:rPr>
          <w:lang w:val="en-US"/>
        </w:rPr>
        <w:t xml:space="preserve"> this Regulation. </w:t>
      </w:r>
    </w:p>
    <w:p w:rsidR="00014F6B" w:rsidRDefault="00014F6B" w:rsidP="00064FC7">
      <w:pPr>
        <w:suppressAutoHyphens w:val="0"/>
        <w:spacing w:after="120" w:line="240" w:lineRule="auto"/>
        <w:ind w:left="2268" w:right="1134"/>
        <w:jc w:val="both"/>
        <w:rPr>
          <w:lang w:val="en-US"/>
        </w:rPr>
      </w:pPr>
      <w:r w:rsidRPr="00977E08">
        <w:rPr>
          <w:lang w:val="en-US"/>
        </w:rPr>
        <w:t xml:space="preserve">The permissible stresses based on the design masses for trailers having a total mass, </w:t>
      </w:r>
      <w:proofErr w:type="gramStart"/>
      <w:r w:rsidRPr="00977E08">
        <w:rPr>
          <w:lang w:val="en-US"/>
        </w:rPr>
        <w:t>C,</w:t>
      </w:r>
      <w:proofErr w:type="gramEnd"/>
      <w:r w:rsidRPr="00977E08">
        <w:rPr>
          <w:lang w:val="en-US"/>
        </w:rPr>
        <w:t xml:space="preserve"> over 3.5 </w:t>
      </w:r>
      <w:proofErr w:type="spellStart"/>
      <w:r w:rsidRPr="00977E08">
        <w:rPr>
          <w:lang w:val="en-US"/>
        </w:rPr>
        <w:t>tonnes</w:t>
      </w:r>
      <w:proofErr w:type="spellEnd"/>
      <w:r w:rsidRPr="00977E08">
        <w:rPr>
          <w:lang w:val="en-US"/>
        </w:rPr>
        <w:t xml:space="preserve"> shall be in accordance with paragraph 5.3. </w:t>
      </w:r>
      <w:proofErr w:type="gramStart"/>
      <w:r w:rsidRPr="00977E08">
        <w:rPr>
          <w:lang w:val="en-US"/>
        </w:rPr>
        <w:t>of</w:t>
      </w:r>
      <w:proofErr w:type="gramEnd"/>
      <w:r w:rsidRPr="00977E08">
        <w:rPr>
          <w:lang w:val="en-US"/>
        </w:rPr>
        <w:t xml:space="preserve"> ISO 7641/1:1983. For bent drawbars (e. g. swan neck) and for the drawbars of full trailers, the horizontal force component </w:t>
      </w:r>
      <w:proofErr w:type="spellStart"/>
      <w:r w:rsidRPr="00977E08">
        <w:rPr>
          <w:lang w:val="en-US"/>
        </w:rPr>
        <w:t>Fhp</w:t>
      </w:r>
      <w:proofErr w:type="spellEnd"/>
      <w:r w:rsidRPr="00977E08">
        <w:rPr>
          <w:lang w:val="en-US"/>
        </w:rPr>
        <w:t xml:space="preserve"> = 1.0 × D shall be taken into consideration.</w:t>
      </w:r>
    </w:p>
    <w:p w:rsidR="00014F6B" w:rsidRDefault="00014F6B" w:rsidP="00014F6B">
      <w:pPr>
        <w:suppressAutoHyphens w:val="0"/>
        <w:spacing w:after="120" w:line="240" w:lineRule="auto"/>
        <w:ind w:left="2268" w:right="1134" w:hanging="1134"/>
        <w:rPr>
          <w:i/>
        </w:rPr>
      </w:pPr>
      <w:r w:rsidRPr="00977E08">
        <w:rPr>
          <w:i/>
        </w:rPr>
        <w:t xml:space="preserve">Annex </w:t>
      </w:r>
      <w:proofErr w:type="gramStart"/>
      <w:r w:rsidRPr="00977E08">
        <w:rPr>
          <w:i/>
        </w:rPr>
        <w:t>7</w:t>
      </w:r>
      <w:proofErr w:type="gramEnd"/>
      <w:r w:rsidR="008941EC">
        <w:rPr>
          <w:i/>
        </w:rPr>
        <w:t>,</w:t>
      </w:r>
    </w:p>
    <w:p w:rsidR="00014F6B" w:rsidRPr="00014F6B" w:rsidRDefault="00014F6B" w:rsidP="00064FC7">
      <w:pPr>
        <w:suppressAutoHyphens w:val="0"/>
        <w:spacing w:after="120" w:line="240" w:lineRule="auto"/>
        <w:ind w:left="2268" w:right="1134" w:hanging="1134"/>
        <w:jc w:val="both"/>
        <w:rPr>
          <w:lang w:val="en-US"/>
        </w:rPr>
      </w:pPr>
      <w:r w:rsidRPr="00977E08">
        <w:rPr>
          <w:i/>
          <w:lang w:val="en-US"/>
        </w:rPr>
        <w:t>Insert a new paragraph 1.3.5</w:t>
      </w:r>
      <w:r w:rsidR="006216CD">
        <w:rPr>
          <w:i/>
          <w:lang w:val="en-US"/>
        </w:rPr>
        <w:t>.</w:t>
      </w:r>
      <w:r w:rsidRPr="00977E08">
        <w:rPr>
          <w:i/>
          <w:lang w:val="en-US"/>
        </w:rPr>
        <w:t xml:space="preserve">, </w:t>
      </w:r>
      <w:r w:rsidRPr="00014F6B">
        <w:rPr>
          <w:lang w:val="en-US"/>
        </w:rPr>
        <w:t>to read:</w:t>
      </w:r>
    </w:p>
    <w:p w:rsidR="00014F6B" w:rsidRPr="00977E08" w:rsidRDefault="00014F6B" w:rsidP="00064FC7">
      <w:pPr>
        <w:suppressAutoHyphens w:val="0"/>
        <w:autoSpaceDE w:val="0"/>
        <w:autoSpaceDN w:val="0"/>
        <w:adjustRightInd w:val="0"/>
        <w:spacing w:after="120" w:line="240" w:lineRule="auto"/>
        <w:ind w:left="2268" w:right="1134" w:hanging="1134"/>
        <w:jc w:val="both"/>
        <w:rPr>
          <w:rFonts w:eastAsia="Calibri"/>
          <w:b/>
          <w:lang w:val="en-US"/>
        </w:rPr>
      </w:pPr>
      <w:r w:rsidRPr="00014F6B">
        <w:rPr>
          <w:rFonts w:eastAsia="Calibri"/>
          <w:lang w:val="en-US"/>
        </w:rPr>
        <w:t>"</w:t>
      </w:r>
      <w:r w:rsidRPr="00977E08">
        <w:rPr>
          <w:rFonts w:eastAsia="Calibri"/>
          <w:b/>
          <w:lang w:val="en-US"/>
        </w:rPr>
        <w:t>1.3.5.</w:t>
      </w:r>
      <w:r w:rsidRPr="00977E08">
        <w:rPr>
          <w:rFonts w:eastAsia="Calibri"/>
          <w:b/>
          <w:lang w:val="en-US"/>
        </w:rPr>
        <w:tab/>
        <w:t>Minimum angles of articulation</w:t>
      </w:r>
    </w:p>
    <w:p w:rsidR="00014F6B" w:rsidRPr="00977E08" w:rsidRDefault="00014F6B" w:rsidP="00064FC7">
      <w:pPr>
        <w:suppressAutoHyphens w:val="0"/>
        <w:autoSpaceDE w:val="0"/>
        <w:autoSpaceDN w:val="0"/>
        <w:adjustRightInd w:val="0"/>
        <w:spacing w:after="120" w:line="240" w:lineRule="auto"/>
        <w:ind w:left="2268" w:right="1134"/>
        <w:jc w:val="both"/>
        <w:rPr>
          <w:rFonts w:eastAsia="Calibri"/>
          <w:b/>
          <w:lang w:val="en-US"/>
        </w:rPr>
      </w:pPr>
      <w:r w:rsidRPr="00977E08">
        <w:rPr>
          <w:rFonts w:eastAsia="Calibri"/>
          <w:b/>
          <w:lang w:val="en-US"/>
        </w:rPr>
        <w:t xml:space="preserve">When attached to the vehicle, the horizontal rotation of the drawbar eye elongated with an imaginary endless axis shall be at least 90° to each side of the </w:t>
      </w:r>
      <w:proofErr w:type="spellStart"/>
      <w:r w:rsidRPr="00977E08">
        <w:rPr>
          <w:rFonts w:eastAsia="Calibri"/>
          <w:b/>
          <w:lang w:val="en-US"/>
        </w:rPr>
        <w:t>centre</w:t>
      </w:r>
      <w:proofErr w:type="spellEnd"/>
      <w:r w:rsidRPr="00977E08">
        <w:rPr>
          <w:rFonts w:eastAsia="Calibri"/>
          <w:b/>
          <w:lang w:val="en-US"/>
        </w:rPr>
        <w:t xml:space="preserve"> line of the drawbar coupling and mounting.</w:t>
      </w:r>
    </w:p>
    <w:p w:rsidR="00014F6B" w:rsidRPr="00977E08" w:rsidRDefault="00014F6B" w:rsidP="00064FC7">
      <w:pPr>
        <w:suppressAutoHyphens w:val="0"/>
        <w:autoSpaceDE w:val="0"/>
        <w:autoSpaceDN w:val="0"/>
        <w:adjustRightInd w:val="0"/>
        <w:spacing w:after="120" w:line="240" w:lineRule="auto"/>
        <w:ind w:left="2268" w:right="1134"/>
        <w:jc w:val="both"/>
        <w:rPr>
          <w:rFonts w:eastAsia="Calibri"/>
          <w:b/>
          <w:lang w:val="en-US"/>
        </w:rPr>
      </w:pPr>
      <w:r w:rsidRPr="00977E08">
        <w:rPr>
          <w:rFonts w:eastAsia="Calibri"/>
          <w:b/>
          <w:lang w:val="en-US"/>
        </w:rPr>
        <w:t xml:space="preserve">Simultaneously, there shall be an angle of free vertical movement 20° above and below the horizontal. </w:t>
      </w:r>
    </w:p>
    <w:p w:rsidR="00014F6B" w:rsidRPr="00014F6B" w:rsidRDefault="00014F6B" w:rsidP="00064FC7">
      <w:pPr>
        <w:suppressAutoHyphens w:val="0"/>
        <w:spacing w:after="120" w:line="240" w:lineRule="auto"/>
        <w:ind w:left="2268" w:right="1134"/>
        <w:jc w:val="both"/>
        <w:rPr>
          <w:rFonts w:eastAsia="Calibri"/>
          <w:lang w:val="en-US"/>
        </w:rPr>
      </w:pPr>
      <w:r w:rsidRPr="00977E08">
        <w:rPr>
          <w:rFonts w:eastAsia="Calibri"/>
          <w:b/>
          <w:lang w:val="en-US"/>
        </w:rPr>
        <w:t>In the case of a low underslung coupling (e.g. to enable a short distance between the towing and the towed vehicle) the angle of free vertical movement may be reduced to 6° above and below the horizontal.</w:t>
      </w:r>
      <w:r>
        <w:rPr>
          <w:rFonts w:eastAsia="Calibri"/>
          <w:lang w:val="en-US"/>
        </w:rPr>
        <w:t>"</w:t>
      </w:r>
    </w:p>
    <w:p w:rsidR="00014F6B" w:rsidRPr="00064FC7" w:rsidRDefault="00014F6B" w:rsidP="00064FC7">
      <w:pPr>
        <w:suppressAutoHyphens w:val="0"/>
        <w:spacing w:after="120" w:line="240" w:lineRule="auto"/>
        <w:ind w:left="2268" w:right="1134" w:hanging="1134"/>
        <w:rPr>
          <w:i/>
          <w:lang w:val="en-US"/>
        </w:rPr>
      </w:pPr>
      <w:proofErr w:type="gramStart"/>
      <w:r w:rsidRPr="00977E08">
        <w:rPr>
          <w:i/>
          <w:lang w:val="en-US"/>
        </w:rPr>
        <w:t>Paragraphs 1.3.5.</w:t>
      </w:r>
      <w:proofErr w:type="gramEnd"/>
      <w:r w:rsidRPr="00977E08">
        <w:rPr>
          <w:i/>
          <w:lang w:val="en-US"/>
        </w:rPr>
        <w:t xml:space="preserve"> </w:t>
      </w:r>
      <w:proofErr w:type="gramStart"/>
      <w:r w:rsidRPr="00977E08">
        <w:rPr>
          <w:i/>
          <w:lang w:val="en-US"/>
        </w:rPr>
        <w:t>to</w:t>
      </w:r>
      <w:proofErr w:type="gramEnd"/>
      <w:r w:rsidRPr="00977E08">
        <w:rPr>
          <w:i/>
          <w:lang w:val="en-US"/>
        </w:rPr>
        <w:t xml:space="preserve"> 1.3.8. (</w:t>
      </w:r>
      <w:proofErr w:type="gramStart"/>
      <w:r w:rsidRPr="00977E08">
        <w:rPr>
          <w:i/>
          <w:lang w:val="en-US"/>
        </w:rPr>
        <w:t>former</w:t>
      </w:r>
      <w:proofErr w:type="gramEnd"/>
      <w:r w:rsidRPr="00977E08">
        <w:rPr>
          <w:i/>
          <w:lang w:val="en-US"/>
        </w:rPr>
        <w:t>)</w:t>
      </w:r>
      <w:r w:rsidR="008941EC">
        <w:rPr>
          <w:i/>
          <w:lang w:val="en-US"/>
        </w:rPr>
        <w:t>,</w:t>
      </w:r>
      <w:r w:rsidRPr="008941EC">
        <w:rPr>
          <w:lang w:val="en-US"/>
        </w:rPr>
        <w:t xml:space="preserve"> renumber as paragraphs 1.3.6. </w:t>
      </w:r>
      <w:proofErr w:type="gramStart"/>
      <w:r w:rsidRPr="008941EC">
        <w:rPr>
          <w:lang w:val="en-US"/>
        </w:rPr>
        <w:t>to</w:t>
      </w:r>
      <w:proofErr w:type="gramEnd"/>
      <w:r w:rsidRPr="008941EC">
        <w:rPr>
          <w:lang w:val="en-US"/>
        </w:rPr>
        <w:t xml:space="preserve"> 1.3.9. </w:t>
      </w:r>
      <w:proofErr w:type="gramStart"/>
      <w:r w:rsidRPr="008941EC">
        <w:rPr>
          <w:lang w:val="en-US"/>
        </w:rPr>
        <w:t>respectively</w:t>
      </w:r>
      <w:proofErr w:type="gramEnd"/>
      <w:r w:rsidRPr="00977E08">
        <w:rPr>
          <w:i/>
          <w:lang w:val="en-US"/>
        </w:rPr>
        <w:t>.</w:t>
      </w:r>
    </w:p>
    <w:p w:rsidR="00470DF2" w:rsidRPr="00881BB1" w:rsidRDefault="00470DF2" w:rsidP="00881BB1">
      <w:pPr>
        <w:pStyle w:val="HChG"/>
        <w:numPr>
          <w:ilvl w:val="0"/>
          <w:numId w:val="20"/>
        </w:numPr>
        <w:tabs>
          <w:tab w:val="clear" w:pos="851"/>
        </w:tabs>
        <w:spacing w:line="240" w:lineRule="auto"/>
        <w:ind w:left="1134" w:hanging="567"/>
      </w:pPr>
      <w:r>
        <w:t>Justification</w:t>
      </w:r>
    </w:p>
    <w:p w:rsidR="00064FC7" w:rsidRPr="00064FC7" w:rsidRDefault="006C1249" w:rsidP="00064FC7">
      <w:pPr>
        <w:pStyle w:val="SingleTxtG"/>
      </w:pPr>
      <w:r w:rsidRPr="00064FC7">
        <w:t>1.</w:t>
      </w:r>
      <w:r w:rsidRPr="00064FC7">
        <w:tab/>
      </w:r>
      <w:r w:rsidR="00064FC7">
        <w:t>Currently</w:t>
      </w:r>
      <w:r w:rsidR="008941EC">
        <w:t>,</w:t>
      </w:r>
      <w:r w:rsidR="00064FC7">
        <w:t xml:space="preserve"> the way to identify worst case(s) is unclear. </w:t>
      </w:r>
      <w:proofErr w:type="gramStart"/>
      <w:r w:rsidR="00064FC7">
        <w:t>Therefore,</w:t>
      </w:r>
      <w:r w:rsidR="00064FC7" w:rsidRPr="00064FC7">
        <w:t xml:space="preserve"> the text in </w:t>
      </w:r>
      <w:r w:rsidR="00064FC7">
        <w:t>A</w:t>
      </w:r>
      <w:r w:rsidR="00064FC7" w:rsidRPr="00064FC7">
        <w:t>nnex</w:t>
      </w:r>
      <w:r w:rsidR="00064FC7">
        <w:t> </w:t>
      </w:r>
      <w:r w:rsidR="00064FC7" w:rsidRPr="00064FC7">
        <w:t>6</w:t>
      </w:r>
      <w:r w:rsidR="00064FC7">
        <w:t>,</w:t>
      </w:r>
      <w:r w:rsidR="00064FC7" w:rsidRPr="00064FC7">
        <w:t xml:space="preserve"> </w:t>
      </w:r>
      <w:r w:rsidR="00064FC7">
        <w:t>paragraph</w:t>
      </w:r>
      <w:r w:rsidR="008941EC">
        <w:t xml:space="preserve"> </w:t>
      </w:r>
      <w:r w:rsidR="00064FC7" w:rsidRPr="00064FC7">
        <w:t>1.1.</w:t>
      </w:r>
      <w:proofErr w:type="gramEnd"/>
      <w:r w:rsidR="00064FC7" w:rsidRPr="00064FC7">
        <w:t xml:space="preserve"> </w:t>
      </w:r>
      <w:proofErr w:type="gramStart"/>
      <w:r w:rsidR="00064FC7" w:rsidRPr="00064FC7">
        <w:t>has</w:t>
      </w:r>
      <w:proofErr w:type="gramEnd"/>
      <w:r w:rsidR="00064FC7" w:rsidRPr="00064FC7">
        <w:t xml:space="preserve"> been </w:t>
      </w:r>
      <w:r w:rsidR="00064FC7">
        <w:t>amended</w:t>
      </w:r>
      <w:r w:rsidR="00064FC7" w:rsidRPr="00064FC7">
        <w:t>.</w:t>
      </w:r>
    </w:p>
    <w:p w:rsidR="00064FC7" w:rsidRPr="00064FC7" w:rsidRDefault="00064FC7" w:rsidP="00064FC7">
      <w:pPr>
        <w:pStyle w:val="SingleTxtG"/>
      </w:pPr>
      <w:r>
        <w:t>2.</w:t>
      </w:r>
      <w:r>
        <w:tab/>
        <w:t>In A</w:t>
      </w:r>
      <w:r w:rsidRPr="00064FC7">
        <w:t>nnex 6</w:t>
      </w:r>
      <w:r>
        <w:t>,</w:t>
      </w:r>
      <w:r w:rsidRPr="00064FC7">
        <w:t xml:space="preserve"> </w:t>
      </w:r>
      <w:r>
        <w:t>paragraph</w:t>
      </w:r>
      <w:r w:rsidR="008941EC">
        <w:t xml:space="preserve"> </w:t>
      </w:r>
      <w:r w:rsidRPr="00064FC7">
        <w:t xml:space="preserve">1.1. and </w:t>
      </w:r>
      <w:r>
        <w:t xml:space="preserve">paragraph </w:t>
      </w:r>
      <w:r w:rsidRPr="00064FC7">
        <w:t>3.6.1.</w:t>
      </w:r>
      <w:r>
        <w:t>,</w:t>
      </w:r>
      <w:r w:rsidRPr="00064FC7">
        <w:t xml:space="preserve"> </w:t>
      </w:r>
      <w:r>
        <w:t>the word "</w:t>
      </w:r>
      <w:r w:rsidRPr="00064FC7">
        <w:t>check</w:t>
      </w:r>
      <w:r>
        <w:t>"</w:t>
      </w:r>
      <w:r w:rsidRPr="00064FC7">
        <w:t xml:space="preserve"> where applicable h</w:t>
      </w:r>
      <w:r>
        <w:t>as been exchanged for the word "</w:t>
      </w:r>
      <w:r w:rsidRPr="00064FC7">
        <w:t>assessment</w:t>
      </w:r>
      <w:r>
        <w:t>"</w:t>
      </w:r>
      <w:r w:rsidRPr="00064FC7">
        <w:t xml:space="preserve"> in order to make clear the action is towards an approval and not just a check.</w:t>
      </w:r>
    </w:p>
    <w:p w:rsidR="00064FC7" w:rsidRPr="00064FC7" w:rsidRDefault="00064FC7" w:rsidP="00064FC7">
      <w:pPr>
        <w:pStyle w:val="SingleTxtG"/>
      </w:pPr>
      <w:r>
        <w:t>3.</w:t>
      </w:r>
      <w:r>
        <w:tab/>
        <w:t xml:space="preserve">It </w:t>
      </w:r>
      <w:proofErr w:type="gramStart"/>
      <w:r>
        <w:t>is proposed</w:t>
      </w:r>
      <w:proofErr w:type="gramEnd"/>
      <w:r>
        <w:t xml:space="preserve"> to correct two typos in </w:t>
      </w:r>
      <w:r w:rsidRPr="00064FC7">
        <w:t>Annex 5</w:t>
      </w:r>
      <w:r>
        <w:t>,</w:t>
      </w:r>
      <w:r w:rsidRPr="00064FC7">
        <w:t xml:space="preserve"> figure</w:t>
      </w:r>
      <w:r>
        <w:t>s</w:t>
      </w:r>
      <w:r w:rsidRPr="00064FC7">
        <w:t xml:space="preserve"> 12 </w:t>
      </w:r>
      <w:r>
        <w:t>and</w:t>
      </w:r>
      <w:r w:rsidRPr="00064FC7">
        <w:t xml:space="preserve"> 17.</w:t>
      </w:r>
    </w:p>
    <w:p w:rsidR="006C1249" w:rsidRPr="00064FC7" w:rsidRDefault="00064FC7" w:rsidP="00064FC7">
      <w:pPr>
        <w:pStyle w:val="SingleTxtG"/>
      </w:pPr>
      <w:r>
        <w:t>4.</w:t>
      </w:r>
      <w:r>
        <w:tab/>
      </w:r>
      <w:r w:rsidRPr="00064FC7">
        <w:t xml:space="preserve">The proposed change to the </w:t>
      </w:r>
      <w:r>
        <w:t>Conformity of Production (</w:t>
      </w:r>
      <w:proofErr w:type="spellStart"/>
      <w:r w:rsidRPr="00064FC7">
        <w:t>C</w:t>
      </w:r>
      <w:r>
        <w:t>o</w:t>
      </w:r>
      <w:r w:rsidRPr="00064FC7">
        <w:t>P</w:t>
      </w:r>
      <w:proofErr w:type="spellEnd"/>
      <w:r>
        <w:t>)</w:t>
      </w:r>
      <w:r w:rsidRPr="00064FC7">
        <w:t xml:space="preserve"> procedure also supports the intentions about market surveillance and transparency</w:t>
      </w:r>
      <w:r>
        <w:t>,</w:t>
      </w:r>
      <w:r w:rsidRPr="00064FC7">
        <w:t xml:space="preserve"> </w:t>
      </w:r>
      <w:r>
        <w:t>which</w:t>
      </w:r>
      <w:r w:rsidRPr="00064FC7">
        <w:t xml:space="preserve"> is a</w:t>
      </w:r>
      <w:r>
        <w:t>n important subject</w:t>
      </w:r>
      <w:r w:rsidRPr="00064FC7">
        <w:t xml:space="preserve"> of the current revision of the European frame</w:t>
      </w:r>
      <w:r>
        <w:t>work</w:t>
      </w:r>
      <w:r w:rsidRPr="00064FC7">
        <w:t xml:space="preserve"> directive.</w:t>
      </w:r>
    </w:p>
    <w:p w:rsidR="006C1249" w:rsidRPr="006C1249" w:rsidRDefault="006C1249" w:rsidP="006C1249">
      <w:pPr>
        <w:pStyle w:val="SingleTxtG"/>
        <w:jc w:val="center"/>
        <w:rPr>
          <w:u w:val="single"/>
        </w:rPr>
      </w:pPr>
      <w:r>
        <w:rPr>
          <w:u w:val="single"/>
        </w:rPr>
        <w:tab/>
      </w:r>
      <w:r>
        <w:rPr>
          <w:u w:val="single"/>
        </w:rPr>
        <w:tab/>
      </w:r>
      <w:r>
        <w:rPr>
          <w:u w:val="single"/>
        </w:rPr>
        <w:tab/>
      </w:r>
    </w:p>
    <w:sectPr w:rsidR="006C1249" w:rsidRPr="006C1249" w:rsidSect="00A11F4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54" w:rsidRDefault="00D23854"/>
  </w:endnote>
  <w:endnote w:type="continuationSeparator" w:id="0">
    <w:p w:rsidR="00D23854" w:rsidRDefault="00D23854"/>
  </w:endnote>
  <w:endnote w:type="continuationNotice" w:id="1">
    <w:p w:rsidR="00D23854" w:rsidRDefault="00D2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234CC6">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234CC6">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Default="00D23854" w:rsidP="00D534C4">
    <w:pPr>
      <w:pStyle w:val="Footer"/>
      <w:rPr>
        <w:sz w:val="20"/>
      </w:rPr>
    </w:pPr>
  </w:p>
  <w:p w:rsidR="00D534C4" w:rsidRDefault="00D534C4" w:rsidP="00D534C4">
    <w:pPr>
      <w:pStyle w:val="Footer"/>
      <w:ind w:right="1134"/>
      <w:rPr>
        <w:sz w:val="20"/>
      </w:rPr>
    </w:pPr>
    <w:r w:rsidRPr="00D534C4">
      <w:rPr>
        <w:rFonts w:ascii="C39T30Lfz" w:hAnsi="C39T30Lfz"/>
        <w:noProof/>
        <w:sz w:val="56"/>
        <w:u w:val="single"/>
        <w:lang w:eastAsia="en-GB"/>
      </w:rPr>
      <w:drawing>
        <wp:anchor distT="0" distB="0" distL="114300" distR="114300" simplePos="0" relativeHeight="251662336" behindDoc="0" locked="0" layoutInCell="1" allowOverlap="1" wp14:anchorId="6691521A" wp14:editId="70079EA3">
          <wp:simplePos x="0" y="0"/>
          <wp:positionH relativeFrom="margin">
            <wp:posOffset>4340860</wp:posOffset>
          </wp:positionH>
          <wp:positionV relativeFrom="margin">
            <wp:posOffset>8145145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 xml:space="preserve">GE.16-11604(E) </w:t>
    </w:r>
  </w:p>
  <w:p w:rsidR="00D534C4" w:rsidRPr="00D534C4" w:rsidRDefault="00D534C4" w:rsidP="00D534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ECE/TRANS/WP.29/GRRF/2016/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54" w:rsidRPr="000B175B" w:rsidRDefault="00D23854" w:rsidP="000B175B">
      <w:pPr>
        <w:tabs>
          <w:tab w:val="right" w:pos="2155"/>
        </w:tabs>
        <w:spacing w:after="80"/>
        <w:ind w:left="680"/>
        <w:rPr>
          <w:u w:val="single"/>
        </w:rPr>
      </w:pPr>
      <w:r>
        <w:rPr>
          <w:u w:val="single"/>
        </w:rPr>
        <w:tab/>
      </w:r>
    </w:p>
  </w:footnote>
  <w:footnote w:type="continuationSeparator" w:id="0">
    <w:p w:rsidR="00D23854" w:rsidRPr="00FC68B7" w:rsidRDefault="00D23854" w:rsidP="00FC68B7">
      <w:pPr>
        <w:tabs>
          <w:tab w:val="left" w:pos="2155"/>
        </w:tabs>
        <w:spacing w:after="80"/>
        <w:ind w:left="680"/>
        <w:rPr>
          <w:u w:val="single"/>
        </w:rPr>
      </w:pPr>
      <w:r>
        <w:rPr>
          <w:u w:val="single"/>
        </w:rPr>
        <w:tab/>
      </w:r>
    </w:p>
  </w:footnote>
  <w:footnote w:type="continuationNotice" w:id="1">
    <w:p w:rsidR="00D23854" w:rsidRDefault="00D23854"/>
  </w:footnote>
  <w:footnote w:id="2">
    <w:p w:rsidR="00D23854" w:rsidRPr="002232AF" w:rsidRDefault="00D23854" w:rsidP="00A205E0">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pPr>
      <w:pStyle w:val="Header"/>
    </w:pPr>
    <w:r>
      <w:t>ECE/TRANS/WP.29/GRRF/2016/</w:t>
    </w:r>
    <w:r w:rsidR="00596294">
      <w:t>3</w:t>
    </w:r>
    <w:r w:rsidR="00014F6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Header"/>
      <w:jc w:val="right"/>
    </w:pPr>
    <w:r>
      <w:t>ECE/TRANS/WP.29/GRRF/2016/</w:t>
    </w:r>
    <w:r w:rsidR="00596294">
      <w:t>3</w:t>
    </w:r>
    <w:r w:rsidR="00014F6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41762B"/>
    <w:multiLevelType w:val="multilevel"/>
    <w:tmpl w:val="66AA11D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1">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2">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31">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4F209A"/>
    <w:multiLevelType w:val="hybridMultilevel"/>
    <w:tmpl w:val="DBD6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1"/>
  </w:num>
  <w:num w:numId="14">
    <w:abstractNumId w:val="28"/>
  </w:num>
  <w:num w:numId="15">
    <w:abstractNumId w:val="32"/>
  </w:num>
  <w:num w:numId="16">
    <w:abstractNumId w:val="10"/>
  </w:num>
  <w:num w:numId="17">
    <w:abstractNumId w:val="17"/>
  </w:num>
  <w:num w:numId="18">
    <w:abstractNumId w:val="24"/>
  </w:num>
  <w:num w:numId="19">
    <w:abstractNumId w:val="31"/>
  </w:num>
  <w:num w:numId="20">
    <w:abstractNumId w:val="20"/>
  </w:num>
  <w:num w:numId="21">
    <w:abstractNumId w:val="15"/>
  </w:num>
  <w:num w:numId="22">
    <w:abstractNumId w:val="22"/>
  </w:num>
  <w:num w:numId="23">
    <w:abstractNumId w:val="23"/>
  </w:num>
  <w:num w:numId="24">
    <w:abstractNumId w:val="29"/>
  </w:num>
  <w:num w:numId="25">
    <w:abstractNumId w:val="21"/>
  </w:num>
  <w:num w:numId="26">
    <w:abstractNumId w:val="16"/>
  </w:num>
  <w:num w:numId="27">
    <w:abstractNumId w:val="30"/>
  </w:num>
  <w:num w:numId="28">
    <w:abstractNumId w:val="19"/>
  </w:num>
  <w:num w:numId="29">
    <w:abstractNumId w:val="13"/>
  </w:num>
  <w:num w:numId="30">
    <w:abstractNumId w:val="26"/>
  </w:num>
  <w:num w:numId="31">
    <w:abstractNumId w:val="25"/>
  </w:num>
  <w:num w:numId="32">
    <w:abstractNumId w:val="14"/>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14F6B"/>
    <w:rsid w:val="0003356E"/>
    <w:rsid w:val="000463FD"/>
    <w:rsid w:val="00046B1F"/>
    <w:rsid w:val="00050F6B"/>
    <w:rsid w:val="00052635"/>
    <w:rsid w:val="00056340"/>
    <w:rsid w:val="00057E97"/>
    <w:rsid w:val="000646F4"/>
    <w:rsid w:val="00064FC7"/>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3A07"/>
    <w:rsid w:val="001103AA"/>
    <w:rsid w:val="00112104"/>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08D9"/>
    <w:rsid w:val="00224092"/>
    <w:rsid w:val="0023295E"/>
    <w:rsid w:val="00234CC6"/>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47339"/>
    <w:rsid w:val="00350505"/>
    <w:rsid w:val="0035060C"/>
    <w:rsid w:val="00352709"/>
    <w:rsid w:val="003619B5"/>
    <w:rsid w:val="00361AC3"/>
    <w:rsid w:val="00362429"/>
    <w:rsid w:val="00365763"/>
    <w:rsid w:val="003659D8"/>
    <w:rsid w:val="003663FB"/>
    <w:rsid w:val="00371178"/>
    <w:rsid w:val="003721E2"/>
    <w:rsid w:val="00376300"/>
    <w:rsid w:val="00385977"/>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80A9F"/>
    <w:rsid w:val="0048397A"/>
    <w:rsid w:val="00485CBB"/>
    <w:rsid w:val="004866B7"/>
    <w:rsid w:val="0049228B"/>
    <w:rsid w:val="004C0977"/>
    <w:rsid w:val="004C2461"/>
    <w:rsid w:val="004C3897"/>
    <w:rsid w:val="004C7462"/>
    <w:rsid w:val="004E2097"/>
    <w:rsid w:val="004E6A8B"/>
    <w:rsid w:val="004E77B2"/>
    <w:rsid w:val="0050124B"/>
    <w:rsid w:val="00504B2D"/>
    <w:rsid w:val="0051331B"/>
    <w:rsid w:val="00515214"/>
    <w:rsid w:val="00515314"/>
    <w:rsid w:val="0052136D"/>
    <w:rsid w:val="0052775E"/>
    <w:rsid w:val="005307F2"/>
    <w:rsid w:val="005420F2"/>
    <w:rsid w:val="0056209A"/>
    <w:rsid w:val="005628B6"/>
    <w:rsid w:val="00576EF2"/>
    <w:rsid w:val="00584A35"/>
    <w:rsid w:val="0058660B"/>
    <w:rsid w:val="005872EA"/>
    <w:rsid w:val="00587B75"/>
    <w:rsid w:val="0059128E"/>
    <w:rsid w:val="005941EC"/>
    <w:rsid w:val="00596294"/>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216CD"/>
    <w:rsid w:val="00640B26"/>
    <w:rsid w:val="00641EB1"/>
    <w:rsid w:val="006438A8"/>
    <w:rsid w:val="00652D0A"/>
    <w:rsid w:val="00662BB6"/>
    <w:rsid w:val="006652DB"/>
    <w:rsid w:val="00671B51"/>
    <w:rsid w:val="0067362F"/>
    <w:rsid w:val="00676606"/>
    <w:rsid w:val="00680947"/>
    <w:rsid w:val="00681464"/>
    <w:rsid w:val="00682938"/>
    <w:rsid w:val="00684C21"/>
    <w:rsid w:val="006A2530"/>
    <w:rsid w:val="006A5A91"/>
    <w:rsid w:val="006B664D"/>
    <w:rsid w:val="006C1249"/>
    <w:rsid w:val="006C3589"/>
    <w:rsid w:val="006D010D"/>
    <w:rsid w:val="006D37AF"/>
    <w:rsid w:val="006D3968"/>
    <w:rsid w:val="006D51D0"/>
    <w:rsid w:val="006D5FB9"/>
    <w:rsid w:val="006D658E"/>
    <w:rsid w:val="006E564B"/>
    <w:rsid w:val="006E7191"/>
    <w:rsid w:val="006F22FE"/>
    <w:rsid w:val="006F41BF"/>
    <w:rsid w:val="00703577"/>
    <w:rsid w:val="00705894"/>
    <w:rsid w:val="007214AB"/>
    <w:rsid w:val="007256BA"/>
    <w:rsid w:val="0072632A"/>
    <w:rsid w:val="007327D5"/>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DED"/>
    <w:rsid w:val="0086161D"/>
    <w:rsid w:val="008679D9"/>
    <w:rsid w:val="008735C9"/>
    <w:rsid w:val="00881BB1"/>
    <w:rsid w:val="008878DE"/>
    <w:rsid w:val="00892830"/>
    <w:rsid w:val="008941EC"/>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06D74"/>
    <w:rsid w:val="00915EF6"/>
    <w:rsid w:val="009176A8"/>
    <w:rsid w:val="009223CA"/>
    <w:rsid w:val="00923752"/>
    <w:rsid w:val="00927489"/>
    <w:rsid w:val="00932C6B"/>
    <w:rsid w:val="009371B5"/>
    <w:rsid w:val="00940F93"/>
    <w:rsid w:val="009448C3"/>
    <w:rsid w:val="00956CEE"/>
    <w:rsid w:val="00957099"/>
    <w:rsid w:val="00960B13"/>
    <w:rsid w:val="009760F3"/>
    <w:rsid w:val="00976CFB"/>
    <w:rsid w:val="00977209"/>
    <w:rsid w:val="00984186"/>
    <w:rsid w:val="009856EA"/>
    <w:rsid w:val="0099366F"/>
    <w:rsid w:val="009A0830"/>
    <w:rsid w:val="009A0E8D"/>
    <w:rsid w:val="009B26E7"/>
    <w:rsid w:val="009B64BB"/>
    <w:rsid w:val="009C7BA7"/>
    <w:rsid w:val="009E50E8"/>
    <w:rsid w:val="009E5E02"/>
    <w:rsid w:val="009E6EBB"/>
    <w:rsid w:val="009E6F05"/>
    <w:rsid w:val="00A00697"/>
    <w:rsid w:val="00A00A3F"/>
    <w:rsid w:val="00A01489"/>
    <w:rsid w:val="00A105E6"/>
    <w:rsid w:val="00A1143E"/>
    <w:rsid w:val="00A11F4D"/>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1C2E"/>
    <w:rsid w:val="00A93814"/>
    <w:rsid w:val="00A94361"/>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6C7A"/>
    <w:rsid w:val="00C4527F"/>
    <w:rsid w:val="00C45283"/>
    <w:rsid w:val="00C4617E"/>
    <w:rsid w:val="00C463DD"/>
    <w:rsid w:val="00C4724C"/>
    <w:rsid w:val="00C54AC7"/>
    <w:rsid w:val="00C55245"/>
    <w:rsid w:val="00C629A0"/>
    <w:rsid w:val="00C64629"/>
    <w:rsid w:val="00C70888"/>
    <w:rsid w:val="00C745C3"/>
    <w:rsid w:val="00C84500"/>
    <w:rsid w:val="00C847D9"/>
    <w:rsid w:val="00C96DF2"/>
    <w:rsid w:val="00CB3E03"/>
    <w:rsid w:val="00CB5FFB"/>
    <w:rsid w:val="00CD22A1"/>
    <w:rsid w:val="00CD4AA6"/>
    <w:rsid w:val="00CE4A8F"/>
    <w:rsid w:val="00CF20B1"/>
    <w:rsid w:val="00CF7F1D"/>
    <w:rsid w:val="00D026E0"/>
    <w:rsid w:val="00D10E2D"/>
    <w:rsid w:val="00D2031B"/>
    <w:rsid w:val="00D23854"/>
    <w:rsid w:val="00D248B6"/>
    <w:rsid w:val="00D25C23"/>
    <w:rsid w:val="00D25FE2"/>
    <w:rsid w:val="00D26E07"/>
    <w:rsid w:val="00D30DD2"/>
    <w:rsid w:val="00D43252"/>
    <w:rsid w:val="00D47EEA"/>
    <w:rsid w:val="00D534C4"/>
    <w:rsid w:val="00D62335"/>
    <w:rsid w:val="00D6499F"/>
    <w:rsid w:val="00D70325"/>
    <w:rsid w:val="00D70B69"/>
    <w:rsid w:val="00D735B3"/>
    <w:rsid w:val="00D73933"/>
    <w:rsid w:val="00D76245"/>
    <w:rsid w:val="00D773DF"/>
    <w:rsid w:val="00D83B07"/>
    <w:rsid w:val="00D84A31"/>
    <w:rsid w:val="00D91CE7"/>
    <w:rsid w:val="00D95303"/>
    <w:rsid w:val="00D978C6"/>
    <w:rsid w:val="00D97DFC"/>
    <w:rsid w:val="00DA104B"/>
    <w:rsid w:val="00DA3C1C"/>
    <w:rsid w:val="00DA7B18"/>
    <w:rsid w:val="00DB5483"/>
    <w:rsid w:val="00DC6D39"/>
    <w:rsid w:val="00DF6D92"/>
    <w:rsid w:val="00E046DF"/>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B7920"/>
    <w:rsid w:val="00EC0A5B"/>
    <w:rsid w:val="00EC0C03"/>
    <w:rsid w:val="00EC7EB5"/>
    <w:rsid w:val="00ED15E7"/>
    <w:rsid w:val="00ED228F"/>
    <w:rsid w:val="00ED4DF6"/>
    <w:rsid w:val="00ED7A2A"/>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71D51"/>
    <w:rsid w:val="00F93781"/>
    <w:rsid w:val="00FA2414"/>
    <w:rsid w:val="00FB1DD9"/>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671</Words>
  <Characters>3829</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1611604</vt:lpstr>
      <vt:lpstr>United Nations</vt:lpstr>
    </vt:vector>
  </TitlesOfParts>
  <Company>CSD</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1611604</dc:title>
  <dc:subject>ECE/TRANS/WP.29/GRRF/2016/31</dc:subject>
  <dc:creator>Doerte Schramm</dc:creator>
  <cp:lastModifiedBy>Benedicte Boudol</cp:lastModifiedBy>
  <cp:revision>2</cp:revision>
  <cp:lastPrinted>2016-05-18T08:17:00Z</cp:lastPrinted>
  <dcterms:created xsi:type="dcterms:W3CDTF">2016-08-05T09:12:00Z</dcterms:created>
  <dcterms:modified xsi:type="dcterms:W3CDTF">2016-08-05T09:12:00Z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