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FA" w:rsidRDefault="00EF3BFA" w:rsidP="00EF3BFA">
      <w:pPr>
        <w:spacing w:line="240" w:lineRule="auto"/>
        <w:rPr>
          <w:sz w:val="2"/>
        </w:rPr>
        <w:sectPr w:rsidR="00EF3BFA" w:rsidSect="00EF3BFA">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EF3BFA" w:rsidRDefault="00EF3BFA" w:rsidP="00EF3BFA">
      <w:pPr>
        <w:pStyle w:val="H1"/>
        <w:spacing w:after="120"/>
        <w:rPr>
          <w:sz w:val="28"/>
        </w:rPr>
      </w:pPr>
      <w:r>
        <w:rPr>
          <w:sz w:val="28"/>
        </w:rPr>
        <w:lastRenderedPageBreak/>
        <w:t>Commission économique pour l’Europe</w:t>
      </w:r>
    </w:p>
    <w:p w:rsidR="00EF3BFA" w:rsidRDefault="00EF3BFA" w:rsidP="00EF3BFA">
      <w:pPr>
        <w:pStyle w:val="H1"/>
        <w:spacing w:after="120" w:line="300" w:lineRule="exact"/>
        <w:rPr>
          <w:b w:val="0"/>
          <w:sz w:val="28"/>
        </w:rPr>
      </w:pPr>
      <w:r>
        <w:rPr>
          <w:b w:val="0"/>
          <w:sz w:val="28"/>
        </w:rPr>
        <w:t>Comité des transports intérieurs</w:t>
      </w:r>
    </w:p>
    <w:p w:rsidR="00AC628F" w:rsidRDefault="00AC628F" w:rsidP="00AC62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line="240" w:lineRule="auto"/>
        <w:rPr>
          <w:sz w:val="24"/>
          <w:szCs w:val="24"/>
          <w:lang w:val="fr-CH"/>
        </w:rPr>
      </w:pPr>
      <w:r>
        <w:rPr>
          <w:sz w:val="24"/>
          <w:szCs w:val="24"/>
          <w:lang w:val="fr-CH"/>
        </w:rPr>
        <w:t xml:space="preserve">Forum mondial de l’harmonisation </w:t>
      </w:r>
      <w:r>
        <w:rPr>
          <w:sz w:val="24"/>
          <w:szCs w:val="24"/>
          <w:lang w:val="fr-CH"/>
        </w:rPr>
        <w:br/>
        <w:t>des Règlements concernant les véhicules</w:t>
      </w:r>
    </w:p>
    <w:p w:rsidR="00AC628F" w:rsidRDefault="00AC628F" w:rsidP="00AC62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line="240" w:lineRule="auto"/>
        <w:rPr>
          <w:szCs w:val="20"/>
          <w:lang w:val="fr-CH"/>
        </w:rPr>
      </w:pPr>
      <w:r>
        <w:rPr>
          <w:lang w:val="fr-CH"/>
        </w:rPr>
        <w:t>Groupe de travail en matière de roulement et de freinage</w:t>
      </w:r>
    </w:p>
    <w:p w:rsidR="00AC628F" w:rsidRDefault="0020049A" w:rsidP="00AC62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CH"/>
        </w:rPr>
      </w:pPr>
      <w:r>
        <w:rPr>
          <w:lang w:val="fr-CH"/>
        </w:rPr>
        <w:t xml:space="preserve">Quatre-vingt et </w:t>
      </w:r>
      <w:r w:rsidR="00AC628F">
        <w:rPr>
          <w:lang w:val="fr-CH"/>
        </w:rPr>
        <w:t>unième session</w:t>
      </w:r>
    </w:p>
    <w:p w:rsidR="00AC628F" w:rsidRDefault="00AC628F" w:rsidP="00AC628F">
      <w:pPr>
        <w:spacing w:line="240" w:lineRule="auto"/>
        <w:rPr>
          <w:lang w:val="fr-CH"/>
        </w:rPr>
      </w:pPr>
      <w:r>
        <w:t>Genève, 1</w:t>
      </w:r>
      <w:r>
        <w:rPr>
          <w:vertAlign w:val="superscript"/>
        </w:rPr>
        <w:t>er</w:t>
      </w:r>
      <w:r>
        <w:t>-5 février 2016</w:t>
      </w:r>
    </w:p>
    <w:p w:rsidR="00AC628F" w:rsidRDefault="00AC628F" w:rsidP="00AC628F">
      <w:pPr>
        <w:spacing w:line="240" w:lineRule="auto"/>
      </w:pPr>
      <w:r>
        <w:t>Point 7 c) de l’ordre du jour provisoire</w:t>
      </w:r>
    </w:p>
    <w:p w:rsidR="00AC628F" w:rsidRDefault="00AC628F" w:rsidP="00903A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lang w:val="en-US"/>
        </w:rPr>
      </w:pPr>
      <w:r>
        <w:t>Pneumatiques – Règlement n</w:t>
      </w:r>
      <w:r>
        <w:rPr>
          <w:vertAlign w:val="superscript"/>
        </w:rPr>
        <w:t>o</w:t>
      </w:r>
      <w:r>
        <w:t> 54</w:t>
      </w:r>
      <w:r>
        <w:rPr>
          <w:szCs w:val="24"/>
          <w:lang w:val="en-US"/>
        </w:rPr>
        <w:t xml:space="preserve"> </w:t>
      </w:r>
    </w:p>
    <w:p w:rsidR="00AC628F" w:rsidRDefault="00AC628F" w:rsidP="00AC628F">
      <w:pPr>
        <w:spacing w:line="240" w:lineRule="auto"/>
        <w:rPr>
          <w:sz w:val="10"/>
        </w:rPr>
      </w:pPr>
    </w:p>
    <w:p w:rsidR="00AC628F" w:rsidRDefault="00AC628F" w:rsidP="00AC628F">
      <w:pPr>
        <w:spacing w:line="240" w:lineRule="auto"/>
        <w:rPr>
          <w:sz w:val="10"/>
        </w:rPr>
      </w:pPr>
    </w:p>
    <w:p w:rsidR="00AC628F" w:rsidRDefault="00AC628F" w:rsidP="00AC628F">
      <w:pPr>
        <w:spacing w:line="240" w:lineRule="auto"/>
        <w:rPr>
          <w:sz w:val="10"/>
        </w:rPr>
      </w:pPr>
    </w:p>
    <w:p w:rsidR="00AC628F" w:rsidRDefault="00AC628F" w:rsidP="00AC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CH"/>
        </w:rPr>
      </w:pPr>
      <w:r>
        <w:rPr>
          <w:lang w:val="fr-CH"/>
        </w:rPr>
        <w:tab/>
      </w:r>
      <w:r>
        <w:rPr>
          <w:lang w:val="fr-CH"/>
        </w:rPr>
        <w:tab/>
        <w:t>Propositions d’amendements aux Règlements n</w:t>
      </w:r>
      <w:r>
        <w:rPr>
          <w:vertAlign w:val="superscript"/>
          <w:lang w:val="fr-CH"/>
        </w:rPr>
        <w:t>o</w:t>
      </w:r>
      <w:r>
        <w:rPr>
          <w:lang w:val="fr-CH"/>
        </w:rPr>
        <w:t xml:space="preserve"> 54 (Pneumatiques pour véhicules utilitaires et leurs </w:t>
      </w:r>
      <w:r w:rsidR="00CB7716">
        <w:rPr>
          <w:lang w:val="fr-CH"/>
        </w:rPr>
        <w:br/>
      </w:r>
      <w:r>
        <w:rPr>
          <w:lang w:val="fr-CH"/>
        </w:rPr>
        <w:t>remorques) et n</w:t>
      </w:r>
      <w:r>
        <w:rPr>
          <w:vertAlign w:val="superscript"/>
          <w:lang w:val="fr-CH"/>
        </w:rPr>
        <w:t>o</w:t>
      </w:r>
      <w:r>
        <w:rPr>
          <w:lang w:val="fr-CH"/>
        </w:rPr>
        <w:t xml:space="preserve"> 117 (Pneumatiques </w:t>
      </w:r>
      <w:r w:rsidR="00CB7716">
        <w:rPr>
          <w:lang w:val="fr-CH"/>
        </w:rPr>
        <w:t>–</w:t>
      </w:r>
      <w:r>
        <w:rPr>
          <w:lang w:val="fr-CH"/>
        </w:rPr>
        <w:t xml:space="preserve"> Résistance </w:t>
      </w:r>
      <w:r w:rsidR="00CB7716">
        <w:rPr>
          <w:lang w:val="fr-CH"/>
        </w:rPr>
        <w:br/>
      </w:r>
      <w:r>
        <w:rPr>
          <w:lang w:val="fr-CH"/>
        </w:rPr>
        <w:t>au roulement, bruit de roulement et adhérence</w:t>
      </w:r>
      <w:bookmarkStart w:id="1" w:name="TmpSave"/>
      <w:bookmarkEnd w:id="1"/>
      <w:r>
        <w:rPr>
          <w:lang w:val="fr-CH"/>
        </w:rPr>
        <w:t xml:space="preserve"> </w:t>
      </w:r>
      <w:r w:rsidR="00CB7716">
        <w:rPr>
          <w:lang w:val="fr-CH"/>
        </w:rPr>
        <w:br/>
      </w:r>
      <w:r>
        <w:rPr>
          <w:lang w:val="fr-CH"/>
        </w:rPr>
        <w:t>sur sol mouillé)</w:t>
      </w:r>
    </w:p>
    <w:p w:rsidR="00AC628F" w:rsidRDefault="00AC628F" w:rsidP="00AC628F">
      <w:pPr>
        <w:pStyle w:val="SingleTxt"/>
        <w:spacing w:after="0" w:line="240" w:lineRule="auto"/>
        <w:rPr>
          <w:sz w:val="10"/>
          <w:lang w:val="fr-CH"/>
        </w:rPr>
      </w:pPr>
    </w:p>
    <w:p w:rsidR="00AC628F" w:rsidRDefault="00AC628F" w:rsidP="00AC628F">
      <w:pPr>
        <w:pStyle w:val="SingleTxt"/>
        <w:spacing w:after="0" w:line="240" w:lineRule="auto"/>
        <w:rPr>
          <w:sz w:val="10"/>
          <w:lang w:val="fr-CH"/>
        </w:rPr>
      </w:pPr>
    </w:p>
    <w:p w:rsidR="00AC628F" w:rsidRDefault="00AC628F" w:rsidP="00AC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CH"/>
        </w:rPr>
      </w:pPr>
      <w:r>
        <w:rPr>
          <w:lang w:val="fr-CH"/>
        </w:rPr>
        <w:tab/>
      </w:r>
      <w:r>
        <w:rPr>
          <w:lang w:val="fr-CH"/>
        </w:rPr>
        <w:tab/>
        <w:t xml:space="preserve">Communication des experts de l’Organisation technique </w:t>
      </w:r>
      <w:r>
        <w:rPr>
          <w:lang w:val="fr-CH"/>
        </w:rPr>
        <w:br/>
        <w:t>européenne du pneumatique et de la jante</w:t>
      </w:r>
      <w:r w:rsidRPr="00903A5F">
        <w:rPr>
          <w:rStyle w:val="Appelnotedebasdep"/>
          <w:b w:val="0"/>
          <w:sz w:val="20"/>
          <w:szCs w:val="20"/>
          <w:vertAlign w:val="baseline"/>
          <w:lang w:val="fr-CH"/>
        </w:rPr>
        <w:footnoteReference w:customMarkFollows="1" w:id="1"/>
        <w:t>*</w:t>
      </w:r>
    </w:p>
    <w:p w:rsidR="00AC628F" w:rsidRDefault="00AC628F" w:rsidP="00AC628F">
      <w:pPr>
        <w:pStyle w:val="SingleTxt"/>
        <w:spacing w:after="0" w:line="240" w:lineRule="auto"/>
        <w:rPr>
          <w:sz w:val="10"/>
          <w:lang w:val="fr-CH"/>
        </w:rPr>
      </w:pPr>
    </w:p>
    <w:p w:rsidR="00AC628F" w:rsidRDefault="00AC628F" w:rsidP="00AC628F">
      <w:pPr>
        <w:pStyle w:val="SingleTxt"/>
        <w:spacing w:after="0" w:line="240" w:lineRule="auto"/>
        <w:rPr>
          <w:sz w:val="10"/>
          <w:lang w:val="fr-CH"/>
        </w:rPr>
      </w:pPr>
    </w:p>
    <w:p w:rsidR="00AC628F" w:rsidRDefault="00AC628F" w:rsidP="00703560">
      <w:pPr>
        <w:pStyle w:val="SingleTxt"/>
        <w:rPr>
          <w:szCs w:val="24"/>
          <w:lang w:val="en-US"/>
        </w:rPr>
      </w:pPr>
      <w:r>
        <w:tab/>
        <w:t xml:space="preserve">Le texte reproduit ci-après a été établi par les experts de l’Organisation technique européenne du pneumatique et de la jante (ETRTO) en vue de modifier les prescriptions relatives au marquage des pneumatiques. Le présent document est une révision du document </w:t>
      </w:r>
      <w:r>
        <w:rPr>
          <w:lang w:eastAsia="fr-BE"/>
        </w:rPr>
        <w:t>ECE/TRANS/WP.29/GRRF/2015/27 qui prend en compte le document informel GRRF-80-10 soumis par l’ETRTO et le document ECE/TRANS/</w:t>
      </w:r>
      <w:r>
        <w:rPr>
          <w:lang w:eastAsia="fr-BE"/>
        </w:rPr>
        <w:br/>
        <w:t xml:space="preserve">WP.29/GRRF/2015/38 soumis par la Slovaquie. Les </w:t>
      </w:r>
      <w:r>
        <w:t>modifications qu’il est proposé d’apporter au texte actuel du Règlement sont signalées en caractères gras pour les ajouts ou biffés pour les suppressions.</w:t>
      </w:r>
      <w:r>
        <w:rPr>
          <w:szCs w:val="24"/>
          <w:lang w:val="en-US"/>
        </w:rPr>
        <w:t xml:space="preserve"> </w:t>
      </w:r>
    </w:p>
    <w:p w:rsidR="00AC628F" w:rsidRDefault="00AC628F">
      <w:pPr>
        <w:spacing w:line="240" w:lineRule="auto"/>
        <w:rPr>
          <w:szCs w:val="24"/>
          <w:lang w:val="en-US"/>
        </w:rPr>
      </w:pPr>
      <w:r>
        <w:rPr>
          <w:szCs w:val="24"/>
          <w:lang w:val="en-US"/>
        </w:rPr>
        <w:br w:type="page"/>
      </w:r>
    </w:p>
    <w:p w:rsidR="00AC628F" w:rsidRDefault="00AC628F" w:rsidP="00AC628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CH"/>
        </w:rPr>
      </w:pPr>
      <w:r>
        <w:rPr>
          <w:lang w:val="fr-CH"/>
        </w:rPr>
        <w:lastRenderedPageBreak/>
        <w:t>Partie A – Amendement au Règlement n</w:t>
      </w:r>
      <w:r>
        <w:rPr>
          <w:vertAlign w:val="superscript"/>
          <w:lang w:val="fr-CH"/>
        </w:rPr>
        <w:t>o</w:t>
      </w:r>
      <w:r>
        <w:rPr>
          <w:lang w:val="fr-CH"/>
        </w:rPr>
        <w:t> 54</w:t>
      </w:r>
    </w:p>
    <w:p w:rsidR="00AC628F" w:rsidRDefault="00AC628F" w:rsidP="00AC628F">
      <w:pPr>
        <w:pStyle w:val="SingleTxt"/>
        <w:spacing w:after="0" w:line="240" w:lineRule="auto"/>
        <w:rPr>
          <w:sz w:val="10"/>
          <w:lang w:val="fr-CH"/>
        </w:rPr>
      </w:pPr>
    </w:p>
    <w:p w:rsidR="00AC628F" w:rsidRDefault="00AC628F" w:rsidP="00AC628F">
      <w:pPr>
        <w:pStyle w:val="SingleTxt"/>
        <w:spacing w:after="0" w:line="240" w:lineRule="auto"/>
        <w:rPr>
          <w:sz w:val="10"/>
          <w:lang w:val="fr-CH"/>
        </w:rPr>
      </w:pPr>
    </w:p>
    <w:p w:rsidR="00AC628F" w:rsidRDefault="00AC628F" w:rsidP="00AC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CH"/>
        </w:rPr>
      </w:pPr>
      <w:r>
        <w:rPr>
          <w:lang w:val="fr-CH"/>
        </w:rPr>
        <w:tab/>
        <w:t>I.</w:t>
      </w:r>
      <w:r>
        <w:rPr>
          <w:lang w:val="fr-CH"/>
        </w:rPr>
        <w:tab/>
        <w:t>Proposition</w:t>
      </w:r>
    </w:p>
    <w:p w:rsidR="00AC628F" w:rsidRDefault="00AC628F" w:rsidP="00AC628F">
      <w:pPr>
        <w:pStyle w:val="SingleTxt"/>
        <w:spacing w:after="0" w:line="240" w:lineRule="auto"/>
        <w:rPr>
          <w:i/>
          <w:sz w:val="10"/>
          <w:lang w:val="fr-CH"/>
        </w:rPr>
      </w:pPr>
    </w:p>
    <w:p w:rsidR="00AC628F" w:rsidRDefault="00AC628F" w:rsidP="00AC628F">
      <w:pPr>
        <w:pStyle w:val="SingleTxt"/>
        <w:spacing w:after="0" w:line="240" w:lineRule="auto"/>
        <w:rPr>
          <w:i/>
          <w:sz w:val="10"/>
          <w:lang w:val="fr-CH"/>
        </w:rPr>
      </w:pPr>
    </w:p>
    <w:p w:rsidR="00AC628F" w:rsidRDefault="00AC628F" w:rsidP="00CB7716">
      <w:pPr>
        <w:pStyle w:val="SingleTxt"/>
        <w:spacing w:line="240" w:lineRule="auto"/>
        <w:rPr>
          <w:lang w:val="fr-CH"/>
        </w:rPr>
      </w:pPr>
      <w:r>
        <w:rPr>
          <w:i/>
          <w:lang w:val="fr-CH"/>
        </w:rPr>
        <w:t>Paragraphe 3.1.10</w:t>
      </w:r>
      <w:r>
        <w:rPr>
          <w:lang w:val="fr-CH"/>
        </w:rPr>
        <w:t>, modifier comme suit :</w:t>
      </w:r>
    </w:p>
    <w:p w:rsidR="00AC628F" w:rsidRDefault="00AC628F" w:rsidP="00703560">
      <w:pPr>
        <w:pStyle w:val="SingleTxt"/>
        <w:ind w:left="2217" w:hanging="950"/>
        <w:rPr>
          <w:b/>
          <w:lang w:val="fr-CH"/>
        </w:rPr>
      </w:pPr>
      <w:r>
        <w:rPr>
          <w:lang w:val="fr-CH"/>
        </w:rPr>
        <w:t>« 3.1.10</w:t>
      </w:r>
      <w:r>
        <w:rPr>
          <w:lang w:val="fr-CH"/>
        </w:rPr>
        <w:tab/>
        <w:t>L’indication de la pression de gonflage à adopter pour les essais d’endurance charge/vitesse par l’indice “PSI”, l’interprétation duquel figure à l’annexe 7, appendice 2. Toutefois, cette indication, qui peut n’être apposée que sur un seul flanc, ne sera exigée pour tout pneumatique présenté à l’homologation que deux ans après la date d’entrée en vigueur du présent Règlement</w:t>
      </w:r>
      <w:r>
        <w:rPr>
          <w:vertAlign w:val="superscript"/>
          <w:lang w:val="fr-CH"/>
        </w:rPr>
        <w:t>5</w:t>
      </w:r>
      <w:r>
        <w:rPr>
          <w:lang w:val="fr-CH"/>
        </w:rPr>
        <w:t xml:space="preserve">. </w:t>
      </w:r>
    </w:p>
    <w:p w:rsidR="00AC628F" w:rsidRDefault="00AC628F" w:rsidP="00703560">
      <w:pPr>
        <w:pStyle w:val="SingleTxt"/>
        <w:ind w:left="2217" w:hanging="950"/>
        <w:rPr>
          <w:lang w:val="fr-CH"/>
        </w:rPr>
      </w:pPr>
      <w:r>
        <w:rPr>
          <w:lang w:val="fr-CH"/>
        </w:rPr>
        <w:tab/>
      </w:r>
      <w:r>
        <w:rPr>
          <w:lang w:val="fr-CH"/>
        </w:rPr>
        <w:tab/>
      </w:r>
      <w:r>
        <w:rPr>
          <w:b/>
          <w:bCs/>
          <w:lang w:val="fr-CH"/>
        </w:rPr>
        <w:t>En ce qui concerne les pneumatiques homologués pour la première fois après le 1</w:t>
      </w:r>
      <w:r>
        <w:rPr>
          <w:b/>
          <w:bCs/>
          <w:vertAlign w:val="superscript"/>
          <w:lang w:val="fr-CH"/>
        </w:rPr>
        <w:t>er</w:t>
      </w:r>
      <w:r>
        <w:rPr>
          <w:b/>
          <w:bCs/>
          <w:lang w:val="fr-CH"/>
        </w:rPr>
        <w:t> janvier 2018, la pression de gonflage pour la mesure des dimensions et pour l’essai d’endurance charge/vitesse (voir le paragraphe 4.1.12 du présent Règlement) doit être indiquée en kilopascals, et non par l’indice “PSI”. </w:t>
      </w:r>
    </w:p>
    <w:p w:rsidR="00AC628F" w:rsidRDefault="00AC628F" w:rsidP="00703560">
      <w:pPr>
        <w:pStyle w:val="SingleTxt"/>
        <w:ind w:left="2217" w:hanging="950"/>
        <w:rPr>
          <w:lang w:val="fr-CH"/>
        </w:rPr>
      </w:pPr>
      <w:r>
        <w:rPr>
          <w:lang w:val="fr-CH"/>
        </w:rPr>
        <w:tab/>
      </w:r>
      <w:r>
        <w:rPr>
          <w:lang w:val="fr-CH"/>
        </w:rPr>
        <w:tab/>
      </w:r>
      <w:r>
        <w:rPr>
          <w:b/>
          <w:lang w:val="fr-CH"/>
        </w:rPr>
        <w:t xml:space="preserve">Il est permis d’utiliser des marquages en kilopascals au lieu de l’indice </w:t>
      </w:r>
      <w:r>
        <w:rPr>
          <w:b/>
          <w:bCs/>
          <w:lang w:val="fr-CH"/>
        </w:rPr>
        <w:t xml:space="preserve">“PSI” </w:t>
      </w:r>
      <w:r>
        <w:rPr>
          <w:b/>
          <w:lang w:val="fr-CH"/>
        </w:rPr>
        <w:t xml:space="preserve">pour les pneumatiques </w:t>
      </w:r>
      <w:r>
        <w:rPr>
          <w:b/>
          <w:bCs/>
        </w:rPr>
        <w:t>homologués pour la première fois avant</w:t>
      </w:r>
      <w:r>
        <w:rPr>
          <w:b/>
          <w:lang w:val="fr-CH"/>
        </w:rPr>
        <w:t xml:space="preserve"> le 1</w:t>
      </w:r>
      <w:r>
        <w:rPr>
          <w:b/>
          <w:vertAlign w:val="superscript"/>
          <w:lang w:val="fr-CH"/>
        </w:rPr>
        <w:t>er</w:t>
      </w:r>
      <w:r>
        <w:rPr>
          <w:b/>
          <w:lang w:val="fr-CH"/>
        </w:rPr>
        <w:t xml:space="preserve"> janvier 2018.</w:t>
      </w:r>
      <w:r w:rsidR="00CB7716">
        <w:rPr>
          <w:lang w:val="fr-CH"/>
        </w:rPr>
        <w:t> </w:t>
      </w:r>
      <w:r>
        <w:rPr>
          <w:lang w:val="fr-CH"/>
        </w:rPr>
        <w:t>».</w:t>
      </w:r>
    </w:p>
    <w:p w:rsidR="00AC628F" w:rsidRDefault="00AC628F" w:rsidP="00AC628F">
      <w:pPr>
        <w:pStyle w:val="SingleTxt"/>
        <w:spacing w:line="240" w:lineRule="auto"/>
        <w:rPr>
          <w:szCs w:val="24"/>
          <w:lang w:val="fr-CH"/>
        </w:rPr>
      </w:pPr>
      <w:r>
        <w:rPr>
          <w:i/>
          <w:lang w:val="fr-CH"/>
        </w:rPr>
        <w:t>Annexe 3</w:t>
      </w:r>
      <w:r>
        <w:rPr>
          <w:lang w:val="fr-CH"/>
        </w:rPr>
        <w:t>, remplacer :</w:t>
      </w:r>
      <w:r>
        <w:rPr>
          <w:szCs w:val="24"/>
          <w:lang w:val="fr-CH"/>
        </w:rPr>
        <w:t xml:space="preserve"> </w:t>
      </w:r>
    </w:p>
    <w:p w:rsidR="00AC628F" w:rsidRDefault="00AC628F" w:rsidP="00AC628F">
      <w:pPr>
        <w:pStyle w:val="SingleTxt"/>
        <w:spacing w:line="240" w:lineRule="auto"/>
        <w:rPr>
          <w:lang w:val="fr-CH"/>
        </w:rPr>
      </w:pPr>
      <w:r>
        <w:rPr>
          <w:lang w:val="fr-CH"/>
        </w:rPr>
        <w:t>« </w:t>
      </w:r>
      <w:r>
        <w:rPr>
          <w:noProof/>
          <w:lang w:val="fr-FR" w:eastAsia="fr-FR"/>
        </w:rPr>
        <w:drawing>
          <wp:inline distT="0" distB="0" distL="0" distR="0" wp14:anchorId="32897E3C" wp14:editId="5FBC9AC9">
            <wp:extent cx="4761865" cy="1612900"/>
            <wp:effectExtent l="19050" t="19050" r="19685" b="25400"/>
            <wp:docPr id="5" name="Picture 5" descr="Description: r54_annex3-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54_annex3-f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1612900"/>
                    </a:xfrm>
                    <a:prstGeom prst="rect">
                      <a:avLst/>
                    </a:prstGeom>
                    <a:noFill/>
                    <a:ln w="9525" cmpd="sng">
                      <a:solidFill>
                        <a:srgbClr val="000000"/>
                      </a:solidFill>
                      <a:miter lim="800000"/>
                      <a:headEnd/>
                      <a:tailEnd/>
                    </a:ln>
                    <a:effectLst/>
                  </pic:spPr>
                </pic:pic>
              </a:graphicData>
            </a:graphic>
          </wp:inline>
        </w:drawing>
      </w:r>
    </w:p>
    <w:p w:rsidR="00AC628F" w:rsidRDefault="00AC628F" w:rsidP="00AC628F">
      <w:pPr>
        <w:pStyle w:val="SingleTxt"/>
        <w:spacing w:line="240" w:lineRule="auto"/>
        <w:jc w:val="right"/>
        <w:rPr>
          <w:lang w:val="fr-CH"/>
        </w:rPr>
      </w:pPr>
      <w:r>
        <w:rPr>
          <w:lang w:val="fr-CH"/>
        </w:rPr>
        <w:t> ».</w:t>
      </w:r>
    </w:p>
    <w:p w:rsidR="00AC628F" w:rsidRDefault="00CB7716" w:rsidP="00CB7716">
      <w:pPr>
        <w:pStyle w:val="SingleTxt"/>
        <w:rPr>
          <w:lang w:val="fr-CH"/>
        </w:rPr>
      </w:pPr>
      <w:r>
        <w:rPr>
          <w:lang w:val="fr-CH"/>
        </w:rPr>
        <w:tab/>
      </w:r>
      <w:r>
        <w:rPr>
          <w:lang w:val="fr-CH"/>
        </w:rPr>
        <w:tab/>
      </w:r>
      <w:r w:rsidR="00AC628F">
        <w:rPr>
          <w:lang w:val="fr-CH"/>
        </w:rPr>
        <w:t>par :</w:t>
      </w:r>
    </w:p>
    <w:p w:rsidR="00AC628F" w:rsidRDefault="00AC628F" w:rsidP="00AC628F">
      <w:pPr>
        <w:pStyle w:val="SingleTxt"/>
        <w:spacing w:line="240" w:lineRule="auto"/>
        <w:rPr>
          <w:lang w:val="fr-CH"/>
        </w:rPr>
      </w:pPr>
      <w:r>
        <w:rPr>
          <w:lang w:val="fr-CH"/>
        </w:rPr>
        <w:t>« </w:t>
      </w:r>
    </w:p>
    <w:p w:rsidR="00AC628F" w:rsidRDefault="00AC628F" w:rsidP="00AC628F">
      <w:pPr>
        <w:pStyle w:val="SingleTxt"/>
        <w:spacing w:line="240" w:lineRule="auto"/>
        <w:rPr>
          <w:lang w:val="fr-CH"/>
        </w:rPr>
      </w:pPr>
      <w:r>
        <w:rPr>
          <w:noProof/>
          <w:lang w:val="fr-FR" w:eastAsia="fr-FR"/>
        </w:rPr>
        <w:drawing>
          <wp:inline distT="0" distB="0" distL="0" distR="0" wp14:anchorId="618B0CCD" wp14:editId="2E76F103">
            <wp:extent cx="4744720" cy="1682115"/>
            <wp:effectExtent l="19050" t="19050" r="17780" b="13335"/>
            <wp:docPr id="4" name="Picture 4" descr="cid:image001.png@01D0A447.AF11F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A447.AF11FF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44720" cy="1682115"/>
                    </a:xfrm>
                    <a:prstGeom prst="rect">
                      <a:avLst/>
                    </a:prstGeom>
                    <a:noFill/>
                    <a:ln w="9525" cmpd="sng">
                      <a:solidFill>
                        <a:srgbClr val="000000"/>
                      </a:solidFill>
                      <a:miter lim="800000"/>
                      <a:headEnd/>
                      <a:tailEnd/>
                    </a:ln>
                    <a:effectLst/>
                  </pic:spPr>
                </pic:pic>
              </a:graphicData>
            </a:graphic>
          </wp:inline>
        </w:drawing>
      </w:r>
    </w:p>
    <w:p w:rsidR="00AC628F" w:rsidRDefault="00AC628F" w:rsidP="00AC628F">
      <w:pPr>
        <w:pStyle w:val="Notedebasdepage"/>
        <w:tabs>
          <w:tab w:val="right" w:pos="1476"/>
          <w:tab w:val="left" w:pos="1548"/>
          <w:tab w:val="right" w:pos="1836"/>
          <w:tab w:val="left" w:pos="1908"/>
        </w:tabs>
        <w:spacing w:line="240" w:lineRule="auto"/>
        <w:ind w:left="1548" w:right="1267" w:hanging="288"/>
        <w:rPr>
          <w:lang w:val="fr-CH"/>
        </w:rPr>
      </w:pPr>
      <w:r>
        <w:tab/>
      </w:r>
      <w:r>
        <w:rPr>
          <w:b/>
          <w:bCs/>
        </w:rPr>
        <w:t>(*)</w:t>
      </w:r>
      <w:r>
        <w:rPr>
          <w:b/>
          <w:bCs/>
        </w:rPr>
        <w:tab/>
        <w:t>L’indice PSI peut être utilisé à la place de la pression en kPa pour les pneumatiques homologués pour la première fois avant le 1</w:t>
      </w:r>
      <w:r>
        <w:rPr>
          <w:b/>
          <w:bCs/>
          <w:vertAlign w:val="superscript"/>
        </w:rPr>
        <w:t>er</w:t>
      </w:r>
      <w:r>
        <w:rPr>
          <w:b/>
          <w:bCs/>
        </w:rPr>
        <w:t> janvier 2018.</w:t>
      </w:r>
      <w:r w:rsidR="00CB7716">
        <w:rPr>
          <w:b/>
          <w:bCs/>
        </w:rPr>
        <w:t> </w:t>
      </w:r>
      <w:r>
        <w:rPr>
          <w:sz w:val="20"/>
        </w:rPr>
        <w:t>».</w:t>
      </w:r>
    </w:p>
    <w:p w:rsidR="00AC628F" w:rsidRDefault="00AC628F" w:rsidP="00AC628F">
      <w:pPr>
        <w:pStyle w:val="SingleTxt"/>
        <w:spacing w:after="0" w:line="240" w:lineRule="auto"/>
        <w:rPr>
          <w:i/>
          <w:sz w:val="10"/>
        </w:rPr>
      </w:pPr>
    </w:p>
    <w:p w:rsidR="00AC628F" w:rsidRDefault="00AC628F" w:rsidP="00AC628F">
      <w:pPr>
        <w:pStyle w:val="SingleTxt"/>
        <w:spacing w:after="0" w:line="240" w:lineRule="auto"/>
        <w:rPr>
          <w:i/>
          <w:sz w:val="10"/>
        </w:rPr>
      </w:pPr>
    </w:p>
    <w:p w:rsidR="00AC628F" w:rsidRDefault="00AC628F" w:rsidP="00703560">
      <w:pPr>
        <w:pStyle w:val="SingleTxt"/>
        <w:keepNext/>
      </w:pPr>
      <w:r>
        <w:rPr>
          <w:i/>
        </w:rPr>
        <w:lastRenderedPageBreak/>
        <w:t>Paragraphe 4.1.12</w:t>
      </w:r>
      <w:r>
        <w:t>, modifier comme suit :</w:t>
      </w:r>
    </w:p>
    <w:p w:rsidR="00AC628F" w:rsidRDefault="00AC628F" w:rsidP="00703560">
      <w:pPr>
        <w:pStyle w:val="SingleTxt"/>
        <w:ind w:left="2218" w:hanging="951"/>
      </w:pPr>
      <w:r>
        <w:t>« 4.1.12</w:t>
      </w:r>
      <w:r>
        <w:tab/>
        <w:t xml:space="preserve">La pression de </w:t>
      </w:r>
      <w:r>
        <w:rPr>
          <w:strike/>
        </w:rPr>
        <w:t>mesure</w:t>
      </w:r>
      <w:r>
        <w:t xml:space="preserve"> </w:t>
      </w:r>
      <w:r>
        <w:rPr>
          <w:b/>
        </w:rPr>
        <w:t>gonflage</w:t>
      </w:r>
      <w:r>
        <w:t xml:space="preserve"> </w:t>
      </w:r>
      <w:r>
        <w:rPr>
          <w:b/>
        </w:rPr>
        <w:t>pour la mesure des dimensions et pour l’essai d’endurance charge/vitesse</w:t>
      </w:r>
      <w:r>
        <w:rPr>
          <w:b/>
          <w:lang w:val="fr-CH"/>
        </w:rPr>
        <w:t xml:space="preserve"> </w:t>
      </w:r>
      <w:r>
        <w:rPr>
          <w:strike/>
        </w:rPr>
        <w:t>et l’indice correspondant à la pression de gonflage pour l’essai</w:t>
      </w:r>
      <w:r>
        <w:t>; ».</w:t>
      </w:r>
    </w:p>
    <w:p w:rsidR="00AC628F" w:rsidRDefault="00AC628F" w:rsidP="00703560">
      <w:pPr>
        <w:pStyle w:val="SingleTxt"/>
      </w:pPr>
      <w:r>
        <w:rPr>
          <w:i/>
        </w:rPr>
        <w:t>Titre de l’annexe 6</w:t>
      </w:r>
      <w:r>
        <w:t>, modifier comme suit :</w:t>
      </w:r>
    </w:p>
    <w:p w:rsidR="00AC628F" w:rsidRDefault="00AC628F" w:rsidP="00703560">
      <w:pPr>
        <w:pStyle w:val="SingleTxt"/>
      </w:pPr>
      <w:r>
        <w:t>« Méthode de</w:t>
      </w:r>
      <w:r>
        <w:rPr>
          <w:b/>
        </w:rPr>
        <w:t xml:space="preserve"> mesure des dimensions pour la</w:t>
      </w:r>
      <w:r>
        <w:t xml:space="preserve"> mesure des pneumatiques ».</w:t>
      </w:r>
    </w:p>
    <w:p w:rsidR="00AC628F" w:rsidRDefault="00AC628F" w:rsidP="00703560">
      <w:pPr>
        <w:pStyle w:val="SingleTxt"/>
      </w:pPr>
      <w:r>
        <w:rPr>
          <w:i/>
        </w:rPr>
        <w:t>Paragraphe 1 de l’annexe 6</w:t>
      </w:r>
      <w:r>
        <w:t>, modification sans objet en français.</w:t>
      </w:r>
    </w:p>
    <w:p w:rsidR="00AC628F" w:rsidRDefault="00AC628F" w:rsidP="00703560">
      <w:pPr>
        <w:pStyle w:val="SingleTxt"/>
      </w:pPr>
      <w:r>
        <w:rPr>
          <w:i/>
          <w:iCs/>
        </w:rPr>
        <w:t>Paragraphe 1.3 de l’annexe 7</w:t>
      </w:r>
      <w:r>
        <w:t>, modifier comme suit :</w:t>
      </w:r>
    </w:p>
    <w:p w:rsidR="00AC628F" w:rsidRDefault="00AC628F" w:rsidP="00703560">
      <w:pPr>
        <w:pStyle w:val="SingleTxt"/>
        <w:ind w:left="2218" w:hanging="951"/>
      </w:pPr>
      <w:r>
        <w:t>« 1.3</w:t>
      </w:r>
      <w:r>
        <w:tab/>
      </w:r>
      <w:r>
        <w:tab/>
        <w:t xml:space="preserve">Gonfler le pneumatique à la pression correspondant à </w:t>
      </w:r>
      <w:r>
        <w:rPr>
          <w:strike/>
        </w:rPr>
        <w:t>l’indice de</w:t>
      </w:r>
      <w:r>
        <w:t xml:space="preserve"> </w:t>
      </w:r>
      <w:r>
        <w:rPr>
          <w:b/>
        </w:rPr>
        <w:t>la</w:t>
      </w:r>
      <w:r>
        <w:t xml:space="preserve"> pression spécifiée par le fabricant conformément au paragraphe 4.1.12 du présent Règlement. ».</w:t>
      </w:r>
    </w:p>
    <w:p w:rsidR="00AC628F" w:rsidRDefault="00AC628F" w:rsidP="00703560">
      <w:pPr>
        <w:pStyle w:val="SingleTxt"/>
        <w:rPr>
          <w:lang w:val="fr-FR"/>
        </w:rPr>
      </w:pPr>
      <w:r>
        <w:rPr>
          <w:i/>
          <w:lang w:val="fr-FR"/>
        </w:rPr>
        <w:t>Annexe 7, appendice 1</w:t>
      </w:r>
      <w:r>
        <w:rPr>
          <w:lang w:val="fr-FR"/>
        </w:rPr>
        <w:t>,</w:t>
      </w:r>
      <w:r>
        <w:rPr>
          <w:i/>
          <w:lang w:val="fr-FR"/>
        </w:rPr>
        <w:t xml:space="preserve"> </w:t>
      </w:r>
      <w:r>
        <w:rPr>
          <w:lang w:val="fr-FR"/>
        </w:rPr>
        <w:t>modifier comme suit :</w:t>
      </w:r>
    </w:p>
    <w:p w:rsidR="00AC628F" w:rsidRDefault="00AC628F" w:rsidP="00AC628F">
      <w:pPr>
        <w:pStyle w:val="SingleTxt"/>
        <w:spacing w:after="0" w:line="240" w:lineRule="auto"/>
        <w:rPr>
          <w:sz w:val="10"/>
          <w:lang w:val="fr-FR"/>
        </w:rPr>
      </w:pPr>
    </w:p>
    <w:p w:rsidR="00AC628F" w:rsidRDefault="00AC628F" w:rsidP="00AC6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bookmarkStart w:id="2" w:name="_Toc340745119"/>
      <w:bookmarkStart w:id="3" w:name="_Toc340666257"/>
      <w:r>
        <w:rPr>
          <w:b w:val="0"/>
          <w:lang w:val="fr-FR"/>
        </w:rPr>
        <w:tab/>
      </w:r>
      <w:r>
        <w:rPr>
          <w:b w:val="0"/>
          <w:lang w:val="fr-FR"/>
        </w:rPr>
        <w:tab/>
        <w:t>« </w:t>
      </w:r>
      <w:r>
        <w:rPr>
          <w:lang w:val="fr-FR"/>
        </w:rPr>
        <w:t>Programme d’essai d’endurance</w:t>
      </w:r>
      <w:bookmarkEnd w:id="2"/>
      <w:bookmarkEnd w:id="3"/>
    </w:p>
    <w:p w:rsidR="00AC628F" w:rsidRDefault="00AC628F" w:rsidP="00AC628F">
      <w:pPr>
        <w:pStyle w:val="SingleTxt"/>
        <w:spacing w:after="0" w:line="240" w:lineRule="auto"/>
        <w:rPr>
          <w:sz w:val="10"/>
          <w:lang w:val="fr-FR"/>
        </w:rPr>
      </w:pPr>
    </w:p>
    <w:p w:rsidR="00AC628F" w:rsidRDefault="00AC628F" w:rsidP="00AC628F">
      <w:pPr>
        <w:pStyle w:val="SingleTxt"/>
        <w:spacing w:after="0" w:line="240" w:lineRule="auto"/>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184"/>
        <w:gridCol w:w="1359"/>
        <w:gridCol w:w="1224"/>
        <w:gridCol w:w="1350"/>
        <w:gridCol w:w="795"/>
        <w:gridCol w:w="823"/>
        <w:gridCol w:w="806"/>
      </w:tblGrid>
      <w:tr w:rsidR="00AC628F" w:rsidTr="00AC628F">
        <w:trPr>
          <w:tblHeader/>
        </w:trPr>
        <w:tc>
          <w:tcPr>
            <w:tcW w:w="1184" w:type="dxa"/>
            <w:vMerge w:val="restart"/>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40"/>
              <w:rPr>
                <w:i/>
                <w:sz w:val="14"/>
                <w:lang w:val="fr-FR"/>
              </w:rPr>
            </w:pPr>
            <w:r>
              <w:rPr>
                <w:i/>
                <w:sz w:val="14"/>
              </w:rPr>
              <w:t>Indice de charge</w:t>
            </w:r>
          </w:p>
        </w:tc>
        <w:tc>
          <w:tcPr>
            <w:tcW w:w="1359" w:type="dxa"/>
            <w:vMerge w:val="restart"/>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lang w:val="fr-FR"/>
              </w:rPr>
            </w:pPr>
            <w:r>
              <w:rPr>
                <w:b/>
                <w:i/>
                <w:sz w:val="14"/>
              </w:rPr>
              <w:t xml:space="preserve">Symbole </w:t>
            </w:r>
            <w:r>
              <w:rPr>
                <w:b/>
                <w:i/>
                <w:sz w:val="14"/>
              </w:rPr>
              <w:br/>
              <w:t>de la</w:t>
            </w:r>
            <w:r>
              <w:rPr>
                <w:i/>
                <w:sz w:val="14"/>
              </w:rPr>
              <w:t xml:space="preserve"> catégorie </w:t>
            </w:r>
            <w:r>
              <w:rPr>
                <w:i/>
                <w:sz w:val="14"/>
              </w:rPr>
              <w:br/>
              <w:t>de vitesse du pneu</w:t>
            </w:r>
          </w:p>
        </w:tc>
        <w:tc>
          <w:tcPr>
            <w:tcW w:w="2574" w:type="dxa"/>
            <w:gridSpan w:val="2"/>
            <w:tcBorders>
              <w:top w:val="single" w:sz="4" w:space="0" w:color="auto"/>
              <w:left w:val="single" w:sz="4" w:space="0" w:color="auto"/>
              <w:bottom w:val="single" w:sz="4"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center"/>
              <w:rPr>
                <w:i/>
                <w:sz w:val="14"/>
                <w:lang w:val="fr-FR"/>
              </w:rPr>
            </w:pPr>
            <w:r>
              <w:rPr>
                <w:i/>
                <w:sz w:val="14"/>
              </w:rPr>
              <w:t>Vitesse du tambour d’essai</w:t>
            </w:r>
          </w:p>
        </w:tc>
        <w:tc>
          <w:tcPr>
            <w:tcW w:w="2424" w:type="dxa"/>
            <w:gridSpan w:val="3"/>
            <w:tcBorders>
              <w:top w:val="single" w:sz="4" w:space="0" w:color="auto"/>
              <w:left w:val="single" w:sz="4" w:space="0" w:color="auto"/>
              <w:bottom w:val="single" w:sz="4"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center"/>
              <w:rPr>
                <w:i/>
                <w:sz w:val="14"/>
                <w:lang w:val="fr-FR"/>
              </w:rPr>
            </w:pPr>
            <w:r>
              <w:rPr>
                <w:i/>
                <w:sz w:val="14"/>
              </w:rPr>
              <w:t xml:space="preserve">Force appliquée sur la roue </w:t>
            </w:r>
            <w:r>
              <w:rPr>
                <w:i/>
                <w:sz w:val="14"/>
              </w:rPr>
              <w:br/>
              <w:t>en pourcentage de la charge correspondant à l’indice de charge</w:t>
            </w:r>
          </w:p>
        </w:tc>
      </w:tr>
      <w:tr w:rsidR="00AC628F" w:rsidTr="00AC628F">
        <w:trPr>
          <w:tblHeader/>
        </w:trPr>
        <w:tc>
          <w:tcPr>
            <w:tcW w:w="1184" w:type="dxa"/>
            <w:vMerge/>
            <w:tcBorders>
              <w:top w:val="single" w:sz="4" w:space="0" w:color="auto"/>
              <w:left w:val="single" w:sz="4" w:space="0" w:color="auto"/>
              <w:bottom w:val="single" w:sz="12" w:space="0" w:color="auto"/>
              <w:right w:val="single" w:sz="4" w:space="0" w:color="auto"/>
            </w:tcBorders>
            <w:vAlign w:val="center"/>
            <w:hideMark/>
          </w:tcPr>
          <w:p w:rsidR="00AC628F" w:rsidRDefault="00AC628F">
            <w:pPr>
              <w:spacing w:line="240" w:lineRule="auto"/>
              <w:rPr>
                <w:i/>
                <w:sz w:val="14"/>
                <w:lang w:val="fr-FR"/>
              </w:rPr>
            </w:pPr>
          </w:p>
        </w:tc>
        <w:tc>
          <w:tcPr>
            <w:tcW w:w="1359" w:type="dxa"/>
            <w:vMerge/>
            <w:tcBorders>
              <w:top w:val="single" w:sz="4" w:space="0" w:color="auto"/>
              <w:left w:val="single" w:sz="4" w:space="0" w:color="auto"/>
              <w:bottom w:val="single" w:sz="12" w:space="0" w:color="auto"/>
              <w:right w:val="single" w:sz="4" w:space="0" w:color="auto"/>
            </w:tcBorders>
            <w:vAlign w:val="center"/>
            <w:hideMark/>
          </w:tcPr>
          <w:p w:rsidR="00AC628F" w:rsidRDefault="00AC628F">
            <w:pPr>
              <w:spacing w:line="240" w:lineRule="auto"/>
              <w:rPr>
                <w:i/>
                <w:sz w:val="14"/>
                <w:lang w:val="fr-FR"/>
              </w:rPr>
            </w:pPr>
          </w:p>
        </w:tc>
        <w:tc>
          <w:tcPr>
            <w:tcW w:w="1224" w:type="dxa"/>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lang w:val="fr-FR"/>
              </w:rPr>
            </w:pPr>
            <w:r>
              <w:rPr>
                <w:i/>
                <w:sz w:val="14"/>
              </w:rPr>
              <w:t xml:space="preserve">Structure radiale </w:t>
            </w:r>
            <w:r>
              <w:rPr>
                <w:i/>
                <w:sz w:val="14"/>
              </w:rPr>
              <w:br/>
            </w:r>
            <w:r>
              <w:rPr>
                <w:rFonts w:eastAsia="Times New Roman"/>
                <w:i/>
                <w:strike/>
                <w:sz w:val="14"/>
                <w:szCs w:val="14"/>
              </w:rPr>
              <w:t>min</w:t>
            </w:r>
            <w:r>
              <w:rPr>
                <w:rFonts w:eastAsia="Times New Roman"/>
                <w:i/>
                <w:strike/>
                <w:sz w:val="14"/>
                <w:szCs w:val="14"/>
                <w:vertAlign w:val="superscript"/>
              </w:rPr>
              <w:t>-1</w:t>
            </w:r>
            <w:r>
              <w:rPr>
                <w:rFonts w:eastAsia="Times New Roman"/>
                <w:i/>
                <w:sz w:val="14"/>
                <w:szCs w:val="14"/>
              </w:rPr>
              <w:t xml:space="preserve"> </w:t>
            </w:r>
            <w:r>
              <w:rPr>
                <w:rFonts w:eastAsia="Times New Roman"/>
                <w:b/>
                <w:i/>
                <w:sz w:val="14"/>
                <w:szCs w:val="14"/>
              </w:rPr>
              <w:t>km.h</w:t>
            </w:r>
            <w:r>
              <w:rPr>
                <w:rFonts w:eastAsia="Times New Roman"/>
                <w:b/>
                <w:i/>
                <w:sz w:val="14"/>
                <w:szCs w:val="14"/>
                <w:vertAlign w:val="superscript"/>
              </w:rPr>
              <w:t>-1</w:t>
            </w:r>
          </w:p>
        </w:tc>
        <w:tc>
          <w:tcPr>
            <w:tcW w:w="1350" w:type="dxa"/>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szCs w:val="14"/>
                <w:lang w:val="fr-FR"/>
              </w:rPr>
            </w:pPr>
            <w:r>
              <w:rPr>
                <w:rFonts w:eastAsia="Times New Roman"/>
                <w:i/>
                <w:sz w:val="14"/>
                <w:szCs w:val="14"/>
              </w:rPr>
              <w:t xml:space="preserve">Structure diagonale </w:t>
            </w:r>
            <w:r>
              <w:rPr>
                <w:rFonts w:eastAsia="Times New Roman"/>
                <w:i/>
                <w:sz w:val="14"/>
                <w:szCs w:val="14"/>
              </w:rPr>
              <w:br/>
            </w:r>
            <w:r>
              <w:rPr>
                <w:rFonts w:eastAsia="Times New Roman"/>
                <w:i/>
                <w:strike/>
                <w:sz w:val="14"/>
                <w:szCs w:val="14"/>
              </w:rPr>
              <w:t>min</w:t>
            </w:r>
            <w:r>
              <w:rPr>
                <w:rFonts w:eastAsia="Times New Roman"/>
                <w:i/>
                <w:strike/>
                <w:sz w:val="14"/>
                <w:szCs w:val="14"/>
                <w:vertAlign w:val="superscript"/>
              </w:rPr>
              <w:t>-1</w:t>
            </w:r>
            <w:r>
              <w:rPr>
                <w:rFonts w:eastAsia="Times New Roman"/>
                <w:i/>
                <w:sz w:val="14"/>
                <w:szCs w:val="14"/>
              </w:rPr>
              <w:t xml:space="preserve"> </w:t>
            </w:r>
            <w:r>
              <w:rPr>
                <w:rFonts w:eastAsia="Times New Roman"/>
                <w:b/>
                <w:i/>
                <w:sz w:val="14"/>
                <w:szCs w:val="14"/>
              </w:rPr>
              <w:t>km.h</w:t>
            </w:r>
            <w:r>
              <w:rPr>
                <w:rFonts w:eastAsia="Times New Roman"/>
                <w:b/>
                <w:i/>
                <w:sz w:val="14"/>
                <w:szCs w:val="14"/>
                <w:vertAlign w:val="superscript"/>
              </w:rPr>
              <w:t>-1</w:t>
            </w:r>
          </w:p>
        </w:tc>
        <w:tc>
          <w:tcPr>
            <w:tcW w:w="795" w:type="dxa"/>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lang w:val="fr-FR"/>
              </w:rPr>
            </w:pPr>
            <w:r>
              <w:rPr>
                <w:i/>
                <w:sz w:val="14"/>
                <w:lang w:val="fr-FR"/>
              </w:rPr>
              <w:t>7 h</w:t>
            </w:r>
          </w:p>
        </w:tc>
        <w:tc>
          <w:tcPr>
            <w:tcW w:w="823" w:type="dxa"/>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lang w:val="fr-FR"/>
              </w:rPr>
            </w:pPr>
            <w:r>
              <w:rPr>
                <w:i/>
                <w:sz w:val="14"/>
                <w:lang w:val="fr-FR"/>
              </w:rPr>
              <w:t>16 h</w:t>
            </w:r>
          </w:p>
        </w:tc>
        <w:tc>
          <w:tcPr>
            <w:tcW w:w="806" w:type="dxa"/>
            <w:tcBorders>
              <w:top w:val="single" w:sz="4" w:space="0" w:color="auto"/>
              <w:left w:val="single" w:sz="4" w:space="0" w:color="auto"/>
              <w:bottom w:val="single" w:sz="12" w:space="0" w:color="auto"/>
              <w:right w:val="single" w:sz="4" w:space="0" w:color="auto"/>
            </w:tcBorders>
            <w:vAlign w:val="bottom"/>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80" w:after="80" w:line="240" w:lineRule="auto"/>
              <w:ind w:right="113"/>
              <w:jc w:val="right"/>
              <w:rPr>
                <w:i/>
                <w:sz w:val="14"/>
                <w:lang w:val="fr-FR"/>
              </w:rPr>
            </w:pPr>
            <w:r>
              <w:rPr>
                <w:i/>
                <w:sz w:val="14"/>
                <w:lang w:val="fr-FR"/>
              </w:rPr>
              <w:t>24 h</w:t>
            </w:r>
          </w:p>
        </w:tc>
      </w:tr>
      <w:tr w:rsidR="00AC628F" w:rsidTr="00AC628F">
        <w:trPr>
          <w:trHeight w:hRule="exact" w:val="115"/>
          <w:tblHeader/>
        </w:trPr>
        <w:tc>
          <w:tcPr>
            <w:tcW w:w="1184"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40"/>
              <w:rPr>
                <w:sz w:val="17"/>
                <w:lang w:val="fr-FR"/>
              </w:rPr>
            </w:pPr>
          </w:p>
        </w:tc>
        <w:tc>
          <w:tcPr>
            <w:tcW w:w="1359"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c>
          <w:tcPr>
            <w:tcW w:w="1224"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c>
          <w:tcPr>
            <w:tcW w:w="1350"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c>
          <w:tcPr>
            <w:tcW w:w="795"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c>
          <w:tcPr>
            <w:tcW w:w="823"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c>
          <w:tcPr>
            <w:tcW w:w="806" w:type="dxa"/>
            <w:tcBorders>
              <w:top w:val="single" w:sz="12" w:space="0" w:color="auto"/>
              <w:left w:val="single" w:sz="4" w:space="0" w:color="auto"/>
              <w:bottom w:val="nil"/>
              <w:right w:val="single" w:sz="4" w:space="0" w:color="auto"/>
            </w:tcBorders>
            <w:vAlign w:val="bottom"/>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p>
        </w:tc>
      </w:tr>
      <w:tr w:rsidR="00AC628F" w:rsidTr="00AC628F">
        <w:trPr>
          <w:trHeight w:val="1740"/>
        </w:trPr>
        <w:tc>
          <w:tcPr>
            <w:tcW w:w="1184" w:type="dxa"/>
            <w:tcBorders>
              <w:top w:val="nil"/>
              <w:left w:val="single" w:sz="4" w:space="0" w:color="auto"/>
              <w:bottom w:val="single" w:sz="4" w:space="0" w:color="auto"/>
              <w:right w:val="single" w:sz="4" w:space="0" w:color="auto"/>
            </w:tcBorders>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40"/>
              <w:rPr>
                <w:sz w:val="17"/>
                <w:lang w:val="fr-FR"/>
              </w:rPr>
            </w:pPr>
            <w:r>
              <w:rPr>
                <w:sz w:val="17"/>
              </w:rPr>
              <w:t xml:space="preserve">122 </w:t>
            </w:r>
            <w:r>
              <w:rPr>
                <w:sz w:val="17"/>
              </w:rPr>
              <w:br/>
              <w:t>et au-dessus</w:t>
            </w:r>
          </w:p>
        </w:tc>
        <w:tc>
          <w:tcPr>
            <w:tcW w:w="1359" w:type="dxa"/>
            <w:tcBorders>
              <w:top w:val="nil"/>
              <w:left w:val="single" w:sz="4" w:space="0" w:color="auto"/>
              <w:bottom w:val="single" w:sz="4" w:space="0" w:color="auto"/>
              <w:right w:val="single" w:sz="4" w:space="0" w:color="auto"/>
            </w:tcBorders>
            <w:vAlign w:val="bottom"/>
            <w:hideMark/>
          </w:tcPr>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F</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G</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J</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K</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L</w:t>
            </w:r>
          </w:p>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b/>
                <w:sz w:val="17"/>
                <w:lang w:val="fr-FR"/>
              </w:rPr>
            </w:pPr>
            <w:r>
              <w:rPr>
                <w:sz w:val="17"/>
                <w:lang w:val="fr-FR"/>
              </w:rPr>
              <w:t>M</w:t>
            </w:r>
          </w:p>
        </w:tc>
        <w:tc>
          <w:tcPr>
            <w:tcW w:w="1224" w:type="dxa"/>
            <w:tcBorders>
              <w:top w:val="nil"/>
              <w:left w:val="single" w:sz="4" w:space="0" w:color="auto"/>
              <w:bottom w:val="single" w:sz="4" w:space="0" w:color="auto"/>
              <w:right w:val="single" w:sz="4" w:space="0" w:color="auto"/>
            </w:tcBorders>
            <w:vAlign w:val="bottom"/>
            <w:hideMark/>
          </w:tcPr>
          <w:p w:rsidR="00AC628F" w:rsidRDefault="00AC628F">
            <w:pPr>
              <w:tabs>
                <w:tab w:val="left" w:pos="288"/>
                <w:tab w:val="left" w:pos="576"/>
                <w:tab w:val="left" w:pos="864"/>
                <w:tab w:val="left" w:pos="1152"/>
              </w:tabs>
              <w:spacing w:before="40" w:after="40" w:line="240" w:lineRule="auto"/>
              <w:ind w:right="113"/>
              <w:jc w:val="right"/>
              <w:rPr>
                <w:sz w:val="17"/>
                <w:lang w:val="fr-FR"/>
              </w:rPr>
            </w:pPr>
            <w:r>
              <w:rPr>
                <w:strike/>
                <w:sz w:val="17"/>
              </w:rPr>
              <w:t>100</w:t>
            </w:r>
            <w:r>
              <w:rPr>
                <w:sz w:val="17"/>
              </w:rPr>
              <w:t xml:space="preserve"> </w:t>
            </w:r>
            <w:r>
              <w:rPr>
                <w:b/>
                <w:sz w:val="17"/>
              </w:rPr>
              <w:t>32</w:t>
            </w:r>
          </w:p>
          <w:p w:rsidR="00AC628F" w:rsidRDefault="00AC628F">
            <w:pPr>
              <w:tabs>
                <w:tab w:val="left" w:pos="288"/>
                <w:tab w:val="left" w:pos="576"/>
                <w:tab w:val="left" w:pos="864"/>
                <w:tab w:val="left" w:pos="1152"/>
              </w:tabs>
              <w:spacing w:before="40" w:after="40" w:line="240" w:lineRule="auto"/>
              <w:ind w:right="113"/>
              <w:jc w:val="right"/>
              <w:rPr>
                <w:sz w:val="17"/>
                <w:szCs w:val="17"/>
                <w:lang w:val="fr-FR"/>
              </w:rPr>
            </w:pPr>
            <w:r>
              <w:rPr>
                <w:rFonts w:eastAsia="Times New Roman"/>
                <w:strike/>
                <w:sz w:val="17"/>
                <w:szCs w:val="17"/>
              </w:rPr>
              <w:t>125</w:t>
            </w:r>
            <w:r>
              <w:rPr>
                <w:rFonts w:eastAsia="Times New Roman"/>
                <w:sz w:val="17"/>
                <w:szCs w:val="17"/>
              </w:rPr>
              <w:t xml:space="preserve"> </w:t>
            </w:r>
            <w:r>
              <w:rPr>
                <w:rFonts w:eastAsia="Times New Roman"/>
                <w:b/>
                <w:sz w:val="17"/>
                <w:szCs w:val="17"/>
              </w:rPr>
              <w:t>40</w:t>
            </w:r>
          </w:p>
          <w:p w:rsidR="00AC628F" w:rsidRDefault="00AC628F">
            <w:pPr>
              <w:spacing w:before="40" w:after="40" w:line="240" w:lineRule="auto"/>
              <w:ind w:right="115"/>
              <w:jc w:val="right"/>
              <w:rPr>
                <w:rFonts w:eastAsia="Times New Roman"/>
                <w:sz w:val="17"/>
                <w:szCs w:val="17"/>
                <w:lang w:val="fr-CH"/>
              </w:rPr>
            </w:pPr>
            <w:r>
              <w:rPr>
                <w:rFonts w:eastAsia="Times New Roman"/>
                <w:strike/>
                <w:sz w:val="17"/>
                <w:szCs w:val="17"/>
              </w:rPr>
              <w:t>150</w:t>
            </w:r>
            <w:r>
              <w:rPr>
                <w:rFonts w:eastAsia="Times New Roman"/>
                <w:sz w:val="17"/>
                <w:szCs w:val="17"/>
              </w:rPr>
              <w:t xml:space="preserve"> </w:t>
            </w:r>
            <w:r>
              <w:rPr>
                <w:rFonts w:eastAsia="Times New Roman"/>
                <w:b/>
                <w:sz w:val="17"/>
                <w:szCs w:val="17"/>
              </w:rPr>
              <w:t>48</w:t>
            </w:r>
          </w:p>
          <w:p w:rsidR="00AC628F" w:rsidRDefault="00AC628F">
            <w:pPr>
              <w:spacing w:before="40" w:after="40" w:line="240" w:lineRule="auto"/>
              <w:ind w:right="115"/>
              <w:jc w:val="right"/>
              <w:rPr>
                <w:rFonts w:eastAsia="Times New Roman"/>
                <w:sz w:val="17"/>
                <w:szCs w:val="17"/>
              </w:rPr>
            </w:pPr>
            <w:r>
              <w:rPr>
                <w:rFonts w:eastAsia="Times New Roman"/>
                <w:strike/>
                <w:sz w:val="17"/>
                <w:szCs w:val="17"/>
              </w:rPr>
              <w:t>175</w:t>
            </w:r>
            <w:r>
              <w:rPr>
                <w:rFonts w:eastAsia="Times New Roman"/>
                <w:sz w:val="17"/>
                <w:szCs w:val="17"/>
              </w:rPr>
              <w:t xml:space="preserve"> </w:t>
            </w:r>
            <w:r>
              <w:rPr>
                <w:rFonts w:eastAsia="Times New Roman"/>
                <w:b/>
                <w:sz w:val="17"/>
                <w:szCs w:val="17"/>
              </w:rPr>
              <w:t>56</w:t>
            </w:r>
          </w:p>
          <w:p w:rsidR="00AC628F" w:rsidRDefault="00AC628F">
            <w:pPr>
              <w:spacing w:before="40" w:after="40" w:line="240" w:lineRule="auto"/>
              <w:ind w:right="115"/>
              <w:jc w:val="right"/>
              <w:rPr>
                <w:rFonts w:eastAsia="Times New Roman"/>
                <w:sz w:val="17"/>
                <w:szCs w:val="17"/>
              </w:rPr>
            </w:pPr>
            <w:r>
              <w:rPr>
                <w:rFonts w:eastAsia="Times New Roman"/>
                <w:strike/>
                <w:sz w:val="17"/>
                <w:szCs w:val="17"/>
              </w:rPr>
              <w:t>200</w:t>
            </w:r>
            <w:r>
              <w:rPr>
                <w:rFonts w:eastAsia="Times New Roman"/>
                <w:sz w:val="17"/>
                <w:szCs w:val="17"/>
              </w:rPr>
              <w:t xml:space="preserve"> </w:t>
            </w:r>
            <w:r>
              <w:rPr>
                <w:rFonts w:eastAsia="Times New Roman"/>
                <w:b/>
                <w:sz w:val="17"/>
                <w:szCs w:val="17"/>
              </w:rPr>
              <w:t>64</w:t>
            </w:r>
          </w:p>
          <w:p w:rsidR="00AC628F" w:rsidRDefault="00AC628F">
            <w:pPr>
              <w:suppressAutoHyphens/>
              <w:kinsoku w:val="0"/>
              <w:overflowPunct w:val="0"/>
              <w:autoSpaceDE w:val="0"/>
              <w:autoSpaceDN w:val="0"/>
              <w:adjustRightInd w:val="0"/>
              <w:snapToGrid w:val="0"/>
              <w:spacing w:before="40" w:after="40" w:line="240" w:lineRule="auto"/>
              <w:ind w:right="115"/>
              <w:jc w:val="right"/>
              <w:rPr>
                <w:sz w:val="17"/>
                <w:lang w:val="fr-FR"/>
              </w:rPr>
            </w:pPr>
            <w:r>
              <w:rPr>
                <w:rFonts w:eastAsia="Times New Roman"/>
                <w:strike/>
                <w:sz w:val="17"/>
                <w:szCs w:val="17"/>
              </w:rPr>
              <w:t>225</w:t>
            </w:r>
            <w:r>
              <w:rPr>
                <w:rFonts w:eastAsia="Times New Roman"/>
                <w:sz w:val="17"/>
                <w:szCs w:val="17"/>
              </w:rPr>
              <w:t xml:space="preserve"> </w:t>
            </w:r>
            <w:r>
              <w:rPr>
                <w:rFonts w:eastAsia="Times New Roman"/>
                <w:b/>
                <w:sz w:val="17"/>
                <w:szCs w:val="17"/>
              </w:rPr>
              <w:t>72</w:t>
            </w:r>
          </w:p>
        </w:tc>
        <w:tc>
          <w:tcPr>
            <w:tcW w:w="1350" w:type="dxa"/>
            <w:tcBorders>
              <w:top w:val="nil"/>
              <w:left w:val="single" w:sz="4" w:space="0" w:color="auto"/>
              <w:bottom w:val="single" w:sz="4" w:space="0" w:color="auto"/>
              <w:right w:val="single" w:sz="4" w:space="0" w:color="auto"/>
            </w:tcBorders>
            <w:hideMark/>
          </w:tcPr>
          <w:p w:rsidR="00AC628F" w:rsidRDefault="00AC628F">
            <w:pPr>
              <w:spacing w:before="40" w:after="40" w:line="240" w:lineRule="auto"/>
              <w:ind w:right="115"/>
              <w:jc w:val="right"/>
              <w:rPr>
                <w:rFonts w:eastAsia="Times New Roman"/>
                <w:b/>
                <w:sz w:val="17"/>
                <w:szCs w:val="17"/>
                <w:lang w:val="fr-CH"/>
              </w:rPr>
            </w:pPr>
            <w:r>
              <w:rPr>
                <w:rFonts w:eastAsia="Times New Roman"/>
                <w:strike/>
                <w:sz w:val="17"/>
                <w:szCs w:val="17"/>
              </w:rPr>
              <w:t>100</w:t>
            </w:r>
            <w:r>
              <w:rPr>
                <w:rFonts w:eastAsia="Times New Roman"/>
                <w:sz w:val="17"/>
                <w:szCs w:val="17"/>
              </w:rPr>
              <w:t xml:space="preserve"> </w:t>
            </w:r>
            <w:r>
              <w:rPr>
                <w:rFonts w:eastAsia="Times New Roman"/>
                <w:b/>
                <w:sz w:val="17"/>
                <w:szCs w:val="17"/>
              </w:rPr>
              <w:t>32</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100</w:t>
            </w:r>
            <w:r>
              <w:rPr>
                <w:rFonts w:eastAsia="Times New Roman"/>
                <w:sz w:val="17"/>
                <w:szCs w:val="17"/>
              </w:rPr>
              <w:t xml:space="preserve"> </w:t>
            </w:r>
            <w:r>
              <w:rPr>
                <w:rFonts w:eastAsia="Times New Roman"/>
                <w:b/>
                <w:sz w:val="17"/>
                <w:szCs w:val="17"/>
              </w:rPr>
              <w:t>32</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125</w:t>
            </w:r>
            <w:r>
              <w:rPr>
                <w:rFonts w:eastAsia="Times New Roman"/>
                <w:sz w:val="17"/>
                <w:szCs w:val="17"/>
              </w:rPr>
              <w:t xml:space="preserve"> </w:t>
            </w:r>
            <w:r>
              <w:rPr>
                <w:rFonts w:eastAsia="Times New Roman"/>
                <w:b/>
                <w:sz w:val="17"/>
                <w:szCs w:val="17"/>
              </w:rPr>
              <w:t>40</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150</w:t>
            </w:r>
            <w:r>
              <w:rPr>
                <w:rFonts w:eastAsia="Times New Roman"/>
                <w:sz w:val="17"/>
                <w:szCs w:val="17"/>
              </w:rPr>
              <w:t xml:space="preserve"> </w:t>
            </w:r>
            <w:r>
              <w:rPr>
                <w:rFonts w:eastAsia="Times New Roman"/>
                <w:b/>
                <w:sz w:val="17"/>
                <w:szCs w:val="17"/>
              </w:rPr>
              <w:t>48</w:t>
            </w:r>
          </w:p>
          <w:p w:rsidR="00AC628F" w:rsidRDefault="005C1C51">
            <w:pPr>
              <w:spacing w:before="40" w:after="40" w:line="240" w:lineRule="auto"/>
              <w:ind w:right="115"/>
              <w:jc w:val="right"/>
              <w:rPr>
                <w:rFonts w:eastAsia="Times New Roman"/>
                <w:b/>
                <w:sz w:val="17"/>
                <w:szCs w:val="17"/>
              </w:rPr>
            </w:pPr>
            <w:r>
              <w:rPr>
                <w:rFonts w:eastAsia="Times New Roman"/>
                <w:b/>
                <w:sz w:val="17"/>
                <w:szCs w:val="17"/>
              </w:rPr>
              <w:t>-</w:t>
            </w:r>
          </w:p>
          <w:p w:rsidR="00AC628F" w:rsidRDefault="005C1C51">
            <w:pPr>
              <w:suppressAutoHyphens/>
              <w:kinsoku w:val="0"/>
              <w:overflowPunct w:val="0"/>
              <w:autoSpaceDE w:val="0"/>
              <w:autoSpaceDN w:val="0"/>
              <w:adjustRightInd w:val="0"/>
              <w:snapToGrid w:val="0"/>
              <w:spacing w:before="40" w:after="40" w:line="240" w:lineRule="auto"/>
              <w:ind w:right="115"/>
              <w:jc w:val="right"/>
              <w:rPr>
                <w:rFonts w:eastAsia="Times New Roman"/>
                <w:b/>
                <w:sz w:val="17"/>
                <w:szCs w:val="17"/>
                <w:lang w:val="fr-CH"/>
              </w:rPr>
            </w:pPr>
            <w:r>
              <w:rPr>
                <w:rFonts w:eastAsia="Times New Roman"/>
                <w:b/>
                <w:sz w:val="17"/>
                <w:szCs w:val="17"/>
                <w:lang w:val="fr-CH"/>
              </w:rPr>
              <w:t>-</w:t>
            </w:r>
          </w:p>
        </w:tc>
        <w:tc>
          <w:tcPr>
            <w:tcW w:w="795" w:type="dxa"/>
            <w:vMerge w:val="restart"/>
            <w:tcBorders>
              <w:top w:val="nil"/>
              <w:left w:val="single" w:sz="4" w:space="0" w:color="auto"/>
              <w:bottom w:val="single" w:sz="4" w:space="0" w:color="auto"/>
              <w:right w:val="single" w:sz="4" w:space="0" w:color="auto"/>
            </w:tcBorders>
            <w:vAlign w:val="center"/>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5"/>
              <w:jc w:val="center"/>
              <w:rPr>
                <w:sz w:val="17"/>
                <w:lang w:val="fr-FR"/>
              </w:rPr>
            </w:pPr>
            <w:r>
              <w:rPr>
                <w:sz w:val="17"/>
                <w:lang w:val="fr-FR"/>
              </w:rPr>
              <w:t>66 %</w:t>
            </w:r>
          </w:p>
        </w:tc>
        <w:tc>
          <w:tcPr>
            <w:tcW w:w="823" w:type="dxa"/>
            <w:vMerge w:val="restart"/>
            <w:tcBorders>
              <w:top w:val="nil"/>
              <w:left w:val="single" w:sz="4" w:space="0" w:color="auto"/>
              <w:bottom w:val="single" w:sz="4" w:space="0" w:color="auto"/>
              <w:right w:val="single" w:sz="4" w:space="0" w:color="auto"/>
            </w:tcBorders>
            <w:vAlign w:val="center"/>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5"/>
              <w:jc w:val="center"/>
              <w:rPr>
                <w:sz w:val="17"/>
                <w:lang w:val="fr-FR"/>
              </w:rPr>
            </w:pPr>
            <w:r>
              <w:rPr>
                <w:sz w:val="17"/>
                <w:lang w:val="fr-FR"/>
              </w:rPr>
              <w:t>84 %</w:t>
            </w:r>
          </w:p>
        </w:tc>
        <w:tc>
          <w:tcPr>
            <w:tcW w:w="806" w:type="dxa"/>
            <w:vMerge w:val="restart"/>
            <w:tcBorders>
              <w:top w:val="nil"/>
              <w:left w:val="single" w:sz="4" w:space="0" w:color="auto"/>
              <w:bottom w:val="single" w:sz="4" w:space="0" w:color="auto"/>
              <w:right w:val="single" w:sz="4" w:space="0" w:color="auto"/>
            </w:tcBorders>
            <w:vAlign w:val="center"/>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5"/>
              <w:jc w:val="center"/>
              <w:rPr>
                <w:sz w:val="17"/>
                <w:lang w:val="fr-FR"/>
              </w:rPr>
            </w:pPr>
            <w:r>
              <w:rPr>
                <w:sz w:val="17"/>
                <w:lang w:val="fr-FR"/>
              </w:rPr>
              <w:t>101 %</w:t>
            </w:r>
          </w:p>
        </w:tc>
      </w:tr>
      <w:tr w:rsidR="00AC628F" w:rsidTr="00AC628F">
        <w:trPr>
          <w:trHeight w:val="1170"/>
        </w:trPr>
        <w:tc>
          <w:tcPr>
            <w:tcW w:w="1184" w:type="dxa"/>
            <w:vMerge w:val="restart"/>
            <w:tcBorders>
              <w:top w:val="single" w:sz="4" w:space="0" w:color="auto"/>
              <w:left w:val="single" w:sz="4" w:space="0" w:color="auto"/>
              <w:bottom w:val="single" w:sz="12" w:space="0" w:color="auto"/>
              <w:right w:val="single" w:sz="4" w:space="0" w:color="auto"/>
            </w:tcBorders>
            <w:hideMark/>
          </w:tcPr>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29"/>
              <w:rPr>
                <w:sz w:val="17"/>
                <w:lang w:val="fr-FR"/>
              </w:rPr>
            </w:pPr>
            <w:r>
              <w:rPr>
                <w:sz w:val="17"/>
              </w:rPr>
              <w:t xml:space="preserve">121 </w:t>
            </w:r>
            <w:r>
              <w:rPr>
                <w:sz w:val="17"/>
              </w:rPr>
              <w:br/>
              <w:t>et au-dessous</w:t>
            </w:r>
          </w:p>
        </w:tc>
        <w:tc>
          <w:tcPr>
            <w:tcW w:w="1359" w:type="dxa"/>
            <w:tcBorders>
              <w:top w:val="single" w:sz="4" w:space="0" w:color="auto"/>
              <w:left w:val="single" w:sz="4" w:space="0" w:color="auto"/>
              <w:bottom w:val="single" w:sz="4" w:space="0" w:color="auto"/>
              <w:right w:val="single" w:sz="4" w:space="0" w:color="auto"/>
            </w:tcBorders>
            <w:vAlign w:val="bottom"/>
            <w:hideMark/>
          </w:tcPr>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F</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G</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J</w:t>
            </w:r>
          </w:p>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r>
              <w:rPr>
                <w:sz w:val="17"/>
                <w:lang w:val="fr-FR"/>
              </w:rPr>
              <w:t>K</w:t>
            </w:r>
          </w:p>
        </w:tc>
        <w:tc>
          <w:tcPr>
            <w:tcW w:w="1224" w:type="dxa"/>
            <w:tcBorders>
              <w:top w:val="single" w:sz="4" w:space="0" w:color="auto"/>
              <w:left w:val="single" w:sz="4" w:space="0" w:color="auto"/>
              <w:bottom w:val="single" w:sz="4" w:space="0" w:color="auto"/>
              <w:right w:val="single" w:sz="4" w:space="0" w:color="auto"/>
            </w:tcBorders>
            <w:hideMark/>
          </w:tcPr>
          <w:p w:rsidR="00AC628F" w:rsidRDefault="00AC628F">
            <w:pPr>
              <w:spacing w:before="40" w:after="40" w:line="240" w:lineRule="auto"/>
              <w:ind w:right="115"/>
              <w:jc w:val="right"/>
              <w:rPr>
                <w:rFonts w:eastAsia="Times New Roman"/>
                <w:sz w:val="17"/>
                <w:szCs w:val="17"/>
                <w:lang w:val="fr-CH"/>
              </w:rPr>
            </w:pPr>
            <w:r>
              <w:rPr>
                <w:rFonts w:eastAsia="Times New Roman"/>
                <w:strike/>
                <w:sz w:val="17"/>
                <w:szCs w:val="17"/>
              </w:rPr>
              <w:t>100</w:t>
            </w:r>
            <w:r>
              <w:rPr>
                <w:rFonts w:eastAsia="Times New Roman"/>
                <w:sz w:val="17"/>
                <w:szCs w:val="17"/>
              </w:rPr>
              <w:t xml:space="preserve"> </w:t>
            </w:r>
            <w:r>
              <w:rPr>
                <w:rFonts w:eastAsia="Times New Roman"/>
                <w:b/>
                <w:sz w:val="17"/>
                <w:szCs w:val="17"/>
              </w:rPr>
              <w:t>32</w:t>
            </w:r>
          </w:p>
          <w:p w:rsidR="00AC628F" w:rsidRDefault="00AC628F">
            <w:pPr>
              <w:spacing w:before="40" w:after="40" w:line="240" w:lineRule="auto"/>
              <w:ind w:right="115"/>
              <w:jc w:val="right"/>
              <w:rPr>
                <w:rFonts w:eastAsia="Times New Roman"/>
                <w:sz w:val="17"/>
                <w:szCs w:val="17"/>
              </w:rPr>
            </w:pPr>
            <w:r>
              <w:rPr>
                <w:rFonts w:eastAsia="Times New Roman"/>
                <w:strike/>
                <w:sz w:val="17"/>
                <w:szCs w:val="17"/>
              </w:rPr>
              <w:t>125</w:t>
            </w:r>
            <w:r>
              <w:rPr>
                <w:rFonts w:eastAsia="Times New Roman"/>
                <w:sz w:val="17"/>
                <w:szCs w:val="17"/>
              </w:rPr>
              <w:t xml:space="preserve"> </w:t>
            </w:r>
            <w:r>
              <w:rPr>
                <w:rFonts w:eastAsia="Times New Roman"/>
                <w:b/>
                <w:sz w:val="17"/>
                <w:szCs w:val="17"/>
              </w:rPr>
              <w:t>40</w:t>
            </w:r>
          </w:p>
          <w:p w:rsidR="00AC628F" w:rsidRDefault="00AC628F">
            <w:pPr>
              <w:spacing w:before="40" w:after="40" w:line="240" w:lineRule="auto"/>
              <w:ind w:right="115"/>
              <w:jc w:val="right"/>
              <w:rPr>
                <w:rFonts w:eastAsia="Times New Roman"/>
                <w:sz w:val="17"/>
                <w:szCs w:val="17"/>
              </w:rPr>
            </w:pPr>
            <w:r>
              <w:rPr>
                <w:rFonts w:eastAsia="Times New Roman"/>
                <w:strike/>
                <w:sz w:val="17"/>
                <w:szCs w:val="17"/>
              </w:rPr>
              <w:t>150</w:t>
            </w:r>
            <w:r>
              <w:rPr>
                <w:rFonts w:eastAsia="Times New Roman"/>
                <w:sz w:val="17"/>
                <w:szCs w:val="17"/>
              </w:rPr>
              <w:t xml:space="preserve"> </w:t>
            </w:r>
            <w:r>
              <w:rPr>
                <w:rFonts w:eastAsia="Times New Roman"/>
                <w:b/>
                <w:sz w:val="17"/>
                <w:szCs w:val="17"/>
              </w:rPr>
              <w:t>48</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sz w:val="17"/>
                <w:szCs w:val="17"/>
                <w:lang w:val="fr-CH"/>
              </w:rPr>
            </w:pPr>
            <w:r>
              <w:rPr>
                <w:rFonts w:eastAsia="Times New Roman"/>
                <w:strike/>
                <w:sz w:val="17"/>
                <w:szCs w:val="17"/>
              </w:rPr>
              <w:t>175</w:t>
            </w:r>
            <w:r>
              <w:rPr>
                <w:rFonts w:eastAsia="Times New Roman"/>
                <w:sz w:val="17"/>
                <w:szCs w:val="17"/>
              </w:rPr>
              <w:t xml:space="preserve"> </w:t>
            </w:r>
            <w:r>
              <w:rPr>
                <w:rFonts w:eastAsia="Times New Roman"/>
                <w:b/>
                <w:sz w:val="17"/>
                <w:szCs w:val="17"/>
              </w:rPr>
              <w:t>56</w:t>
            </w:r>
          </w:p>
        </w:tc>
        <w:tc>
          <w:tcPr>
            <w:tcW w:w="1350" w:type="dxa"/>
            <w:tcBorders>
              <w:top w:val="single" w:sz="4" w:space="0" w:color="auto"/>
              <w:left w:val="single" w:sz="4" w:space="0" w:color="auto"/>
              <w:bottom w:val="single" w:sz="4" w:space="0" w:color="auto"/>
              <w:right w:val="single" w:sz="4" w:space="0" w:color="auto"/>
            </w:tcBorders>
            <w:hideMark/>
          </w:tcPr>
          <w:p w:rsidR="00AC628F" w:rsidRDefault="00AC628F">
            <w:pPr>
              <w:spacing w:before="40" w:after="40" w:line="240" w:lineRule="auto"/>
              <w:ind w:right="115"/>
              <w:jc w:val="right"/>
              <w:rPr>
                <w:rFonts w:eastAsia="Times New Roman"/>
                <w:b/>
                <w:sz w:val="17"/>
                <w:szCs w:val="17"/>
                <w:lang w:val="fr-CH"/>
              </w:rPr>
            </w:pPr>
            <w:r>
              <w:rPr>
                <w:rFonts w:eastAsia="Times New Roman"/>
                <w:strike/>
                <w:sz w:val="17"/>
                <w:szCs w:val="17"/>
              </w:rPr>
              <w:t>100</w:t>
            </w:r>
            <w:r>
              <w:rPr>
                <w:rFonts w:eastAsia="Times New Roman"/>
                <w:sz w:val="17"/>
                <w:szCs w:val="17"/>
              </w:rPr>
              <w:t xml:space="preserve"> </w:t>
            </w:r>
            <w:r>
              <w:rPr>
                <w:rFonts w:eastAsia="Times New Roman"/>
                <w:b/>
                <w:sz w:val="17"/>
                <w:szCs w:val="17"/>
              </w:rPr>
              <w:t>32</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125</w:t>
            </w:r>
            <w:r>
              <w:rPr>
                <w:rFonts w:eastAsia="Times New Roman"/>
                <w:sz w:val="17"/>
                <w:szCs w:val="17"/>
              </w:rPr>
              <w:t xml:space="preserve"> </w:t>
            </w:r>
            <w:r>
              <w:rPr>
                <w:rFonts w:eastAsia="Times New Roman"/>
                <w:b/>
                <w:sz w:val="17"/>
                <w:szCs w:val="17"/>
              </w:rPr>
              <w:t>40</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150</w:t>
            </w:r>
            <w:r>
              <w:rPr>
                <w:rFonts w:eastAsia="Times New Roman"/>
                <w:sz w:val="17"/>
                <w:szCs w:val="17"/>
              </w:rPr>
              <w:t xml:space="preserve"> </w:t>
            </w:r>
            <w:r>
              <w:rPr>
                <w:rFonts w:eastAsia="Times New Roman"/>
                <w:b/>
                <w:sz w:val="17"/>
                <w:szCs w:val="17"/>
              </w:rPr>
              <w:t>48</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b/>
                <w:sz w:val="17"/>
                <w:szCs w:val="17"/>
                <w:lang w:val="fr-CH"/>
              </w:rPr>
            </w:pPr>
            <w:r>
              <w:rPr>
                <w:rFonts w:eastAsia="Times New Roman"/>
                <w:strike/>
                <w:sz w:val="17"/>
                <w:szCs w:val="17"/>
              </w:rPr>
              <w:t>175</w:t>
            </w:r>
            <w:r>
              <w:rPr>
                <w:rFonts w:eastAsia="Times New Roman"/>
                <w:sz w:val="17"/>
                <w:szCs w:val="17"/>
              </w:rPr>
              <w:t xml:space="preserve"> </w:t>
            </w:r>
            <w:r>
              <w:rPr>
                <w:rFonts w:eastAsia="Times New Roman"/>
                <w:b/>
                <w:sz w:val="17"/>
                <w:szCs w:val="17"/>
              </w:rPr>
              <w:t>56</w:t>
            </w:r>
          </w:p>
        </w:tc>
        <w:tc>
          <w:tcPr>
            <w:tcW w:w="2424" w:type="dxa"/>
            <w:vMerge/>
            <w:tcBorders>
              <w:top w:val="nil"/>
              <w:left w:val="single" w:sz="4" w:space="0" w:color="auto"/>
              <w:bottom w:val="single" w:sz="4" w:space="0" w:color="auto"/>
              <w:right w:val="single" w:sz="4" w:space="0" w:color="auto"/>
            </w:tcBorders>
            <w:vAlign w:val="center"/>
            <w:hideMark/>
          </w:tcPr>
          <w:p w:rsidR="00AC628F" w:rsidRDefault="00AC628F">
            <w:pPr>
              <w:spacing w:line="240" w:lineRule="auto"/>
              <w:rPr>
                <w:sz w:val="17"/>
                <w:lang w:val="fr-FR"/>
              </w:rPr>
            </w:pPr>
          </w:p>
        </w:tc>
        <w:tc>
          <w:tcPr>
            <w:tcW w:w="823" w:type="dxa"/>
            <w:vMerge/>
            <w:tcBorders>
              <w:top w:val="nil"/>
              <w:left w:val="single" w:sz="4" w:space="0" w:color="auto"/>
              <w:bottom w:val="single" w:sz="4" w:space="0" w:color="auto"/>
              <w:right w:val="single" w:sz="4" w:space="0" w:color="auto"/>
            </w:tcBorders>
            <w:vAlign w:val="center"/>
            <w:hideMark/>
          </w:tcPr>
          <w:p w:rsidR="00AC628F" w:rsidRDefault="00AC628F">
            <w:pPr>
              <w:spacing w:line="240" w:lineRule="auto"/>
              <w:rPr>
                <w:sz w:val="17"/>
                <w:lang w:val="fr-FR"/>
              </w:rPr>
            </w:pPr>
          </w:p>
        </w:tc>
        <w:tc>
          <w:tcPr>
            <w:tcW w:w="806" w:type="dxa"/>
            <w:vMerge/>
            <w:tcBorders>
              <w:top w:val="nil"/>
              <w:left w:val="single" w:sz="4" w:space="0" w:color="auto"/>
              <w:bottom w:val="single" w:sz="4" w:space="0" w:color="auto"/>
              <w:right w:val="single" w:sz="4" w:space="0" w:color="auto"/>
            </w:tcBorders>
            <w:vAlign w:val="center"/>
            <w:hideMark/>
          </w:tcPr>
          <w:p w:rsidR="00AC628F" w:rsidRDefault="00AC628F">
            <w:pPr>
              <w:spacing w:line="240" w:lineRule="auto"/>
              <w:rPr>
                <w:sz w:val="17"/>
                <w:lang w:val="fr-FR"/>
              </w:rPr>
            </w:pPr>
          </w:p>
        </w:tc>
      </w:tr>
      <w:tr w:rsidR="00AC628F" w:rsidTr="00AC628F">
        <w:trPr>
          <w:trHeight w:val="1460"/>
        </w:trPr>
        <w:tc>
          <w:tcPr>
            <w:tcW w:w="1184" w:type="dxa"/>
            <w:vMerge/>
            <w:tcBorders>
              <w:top w:val="single" w:sz="4" w:space="0" w:color="auto"/>
              <w:left w:val="single" w:sz="4" w:space="0" w:color="auto"/>
              <w:bottom w:val="single" w:sz="12" w:space="0" w:color="auto"/>
              <w:right w:val="single" w:sz="4" w:space="0" w:color="auto"/>
            </w:tcBorders>
            <w:vAlign w:val="center"/>
            <w:hideMark/>
          </w:tcPr>
          <w:p w:rsidR="00AC628F" w:rsidRDefault="00AC628F">
            <w:pPr>
              <w:spacing w:line="240" w:lineRule="auto"/>
              <w:rPr>
                <w:sz w:val="17"/>
                <w:lang w:val="fr-FR"/>
              </w:rPr>
            </w:pPr>
          </w:p>
        </w:tc>
        <w:tc>
          <w:tcPr>
            <w:tcW w:w="1359" w:type="dxa"/>
            <w:tcBorders>
              <w:top w:val="single" w:sz="4" w:space="0" w:color="auto"/>
              <w:left w:val="single" w:sz="4" w:space="0" w:color="auto"/>
              <w:bottom w:val="single" w:sz="12" w:space="0" w:color="auto"/>
              <w:right w:val="single" w:sz="4" w:space="0" w:color="auto"/>
            </w:tcBorders>
            <w:vAlign w:val="bottom"/>
          </w:tcPr>
          <w:p w:rsidR="00AC628F" w:rsidRDefault="00AC628F">
            <w:pPr>
              <w:tabs>
                <w:tab w:val="left" w:pos="288"/>
                <w:tab w:val="left" w:pos="576"/>
                <w:tab w:val="left" w:pos="864"/>
                <w:tab w:val="left" w:pos="1152"/>
              </w:tabs>
              <w:spacing w:before="40" w:after="40" w:line="240" w:lineRule="auto"/>
              <w:ind w:right="115"/>
              <w:jc w:val="right"/>
              <w:rPr>
                <w:sz w:val="17"/>
                <w:lang w:val="fr-FR"/>
              </w:rPr>
            </w:pPr>
            <w:r>
              <w:rPr>
                <w:sz w:val="17"/>
                <w:lang w:val="fr-FR"/>
              </w:rPr>
              <w:t>L</w:t>
            </w:r>
          </w:p>
          <w:p w:rsidR="00AC628F" w:rsidRDefault="00AC628F">
            <w:pPr>
              <w:tabs>
                <w:tab w:val="left" w:pos="288"/>
                <w:tab w:val="left" w:pos="576"/>
                <w:tab w:val="left" w:pos="864"/>
                <w:tab w:val="left" w:pos="1152"/>
              </w:tabs>
              <w:spacing w:before="40" w:after="40" w:line="240" w:lineRule="auto"/>
              <w:ind w:right="113"/>
              <w:jc w:val="right"/>
              <w:rPr>
                <w:sz w:val="17"/>
                <w:lang w:val="fr-FR"/>
              </w:rPr>
            </w:pP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M</w:t>
            </w:r>
          </w:p>
          <w:p w:rsidR="00AC628F" w:rsidRDefault="00AC628F">
            <w:pPr>
              <w:tabs>
                <w:tab w:val="left" w:pos="288"/>
                <w:tab w:val="left" w:pos="576"/>
                <w:tab w:val="left" w:pos="864"/>
                <w:tab w:val="left" w:pos="1152"/>
              </w:tabs>
              <w:spacing w:before="40" w:after="40" w:line="240" w:lineRule="auto"/>
              <w:ind w:right="113"/>
              <w:jc w:val="right"/>
              <w:rPr>
                <w:sz w:val="17"/>
                <w:lang w:val="fr-FR"/>
              </w:rPr>
            </w:pPr>
            <w:r>
              <w:rPr>
                <w:sz w:val="17"/>
                <w:lang w:val="fr-FR"/>
              </w:rPr>
              <w:t>N</w:t>
            </w:r>
          </w:p>
          <w:p w:rsidR="00AC628F" w:rsidRDefault="00AC628F">
            <w:pPr>
              <w:tabs>
                <w:tab w:val="left" w:pos="288"/>
                <w:tab w:val="left" w:pos="576"/>
                <w:tab w:val="left" w:pos="864"/>
                <w:tab w:val="left" w:pos="1152"/>
              </w:tabs>
              <w:suppressAutoHyphens/>
              <w:kinsoku w:val="0"/>
              <w:overflowPunct w:val="0"/>
              <w:autoSpaceDE w:val="0"/>
              <w:autoSpaceDN w:val="0"/>
              <w:adjustRightInd w:val="0"/>
              <w:snapToGrid w:val="0"/>
              <w:spacing w:before="40" w:after="40" w:line="240" w:lineRule="auto"/>
              <w:ind w:right="113"/>
              <w:jc w:val="right"/>
              <w:rPr>
                <w:sz w:val="17"/>
                <w:lang w:val="fr-FR"/>
              </w:rPr>
            </w:pPr>
            <w:r>
              <w:rPr>
                <w:sz w:val="17"/>
                <w:lang w:val="fr-FR"/>
              </w:rPr>
              <w:t>P</w:t>
            </w:r>
          </w:p>
        </w:tc>
        <w:tc>
          <w:tcPr>
            <w:tcW w:w="1224" w:type="dxa"/>
            <w:tcBorders>
              <w:top w:val="single" w:sz="4" w:space="0" w:color="auto"/>
              <w:left w:val="single" w:sz="4" w:space="0" w:color="auto"/>
              <w:bottom w:val="single" w:sz="12" w:space="0" w:color="auto"/>
              <w:right w:val="single" w:sz="4" w:space="0" w:color="auto"/>
            </w:tcBorders>
          </w:tcPr>
          <w:p w:rsidR="00AC628F" w:rsidRDefault="00AC628F">
            <w:pPr>
              <w:spacing w:before="40" w:after="40" w:line="240" w:lineRule="auto"/>
              <w:ind w:right="115"/>
              <w:jc w:val="right"/>
              <w:rPr>
                <w:rFonts w:eastAsia="Times New Roman"/>
                <w:b/>
                <w:sz w:val="17"/>
                <w:szCs w:val="17"/>
                <w:lang w:val="fr-CH"/>
              </w:rPr>
            </w:pPr>
            <w:r>
              <w:rPr>
                <w:rFonts w:eastAsia="Times New Roman"/>
                <w:strike/>
                <w:sz w:val="17"/>
                <w:szCs w:val="17"/>
              </w:rPr>
              <w:t>200</w:t>
            </w:r>
            <w:r>
              <w:rPr>
                <w:rFonts w:eastAsia="Times New Roman"/>
                <w:sz w:val="17"/>
                <w:szCs w:val="17"/>
              </w:rPr>
              <w:t xml:space="preserve"> </w:t>
            </w:r>
            <w:r>
              <w:rPr>
                <w:rFonts w:eastAsia="Times New Roman"/>
                <w:b/>
                <w:sz w:val="17"/>
                <w:szCs w:val="17"/>
              </w:rPr>
              <w:t>64</w:t>
            </w:r>
          </w:p>
          <w:p w:rsidR="00AC628F" w:rsidRDefault="00AC628F">
            <w:pPr>
              <w:spacing w:before="40" w:after="40" w:line="240" w:lineRule="auto"/>
              <w:ind w:right="115"/>
              <w:jc w:val="right"/>
              <w:rPr>
                <w:rFonts w:eastAsia="Times New Roman"/>
                <w:sz w:val="17"/>
                <w:szCs w:val="17"/>
              </w:rPr>
            </w:pPr>
          </w:p>
          <w:p w:rsidR="00AC628F" w:rsidRDefault="00AC628F">
            <w:pPr>
              <w:spacing w:before="40" w:after="40" w:line="240" w:lineRule="auto"/>
              <w:ind w:right="115"/>
              <w:jc w:val="right"/>
              <w:rPr>
                <w:rFonts w:eastAsia="Times New Roman"/>
                <w:sz w:val="17"/>
                <w:szCs w:val="17"/>
              </w:rPr>
            </w:pPr>
            <w:r>
              <w:rPr>
                <w:rFonts w:eastAsia="Times New Roman"/>
                <w:strike/>
                <w:sz w:val="17"/>
                <w:szCs w:val="17"/>
              </w:rPr>
              <w:t>250</w:t>
            </w:r>
            <w:r>
              <w:rPr>
                <w:rFonts w:eastAsia="Times New Roman"/>
                <w:sz w:val="17"/>
                <w:szCs w:val="17"/>
              </w:rPr>
              <w:t xml:space="preserve"> </w:t>
            </w:r>
            <w:r>
              <w:rPr>
                <w:rFonts w:eastAsia="Times New Roman"/>
                <w:b/>
                <w:sz w:val="17"/>
                <w:szCs w:val="17"/>
              </w:rPr>
              <w:t>80</w:t>
            </w: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275</w:t>
            </w:r>
            <w:r>
              <w:rPr>
                <w:rFonts w:eastAsia="Times New Roman"/>
                <w:sz w:val="17"/>
                <w:szCs w:val="17"/>
              </w:rPr>
              <w:t xml:space="preserve"> </w:t>
            </w:r>
            <w:r>
              <w:rPr>
                <w:rFonts w:eastAsia="Times New Roman"/>
                <w:b/>
                <w:sz w:val="17"/>
                <w:szCs w:val="17"/>
              </w:rPr>
              <w:t>88</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b/>
                <w:sz w:val="17"/>
                <w:szCs w:val="17"/>
                <w:lang w:val="fr-CH"/>
              </w:rPr>
            </w:pPr>
            <w:r>
              <w:rPr>
                <w:rFonts w:eastAsia="Times New Roman"/>
                <w:strike/>
                <w:sz w:val="17"/>
                <w:szCs w:val="17"/>
              </w:rPr>
              <w:t>300</w:t>
            </w:r>
            <w:r>
              <w:rPr>
                <w:rFonts w:eastAsia="Times New Roman"/>
                <w:sz w:val="17"/>
                <w:szCs w:val="17"/>
              </w:rPr>
              <w:t xml:space="preserve"> </w:t>
            </w:r>
            <w:r>
              <w:rPr>
                <w:rFonts w:eastAsia="Times New Roman"/>
                <w:b/>
                <w:sz w:val="17"/>
                <w:szCs w:val="17"/>
              </w:rPr>
              <w:t>96</w:t>
            </w:r>
          </w:p>
        </w:tc>
        <w:tc>
          <w:tcPr>
            <w:tcW w:w="1350" w:type="dxa"/>
            <w:tcBorders>
              <w:top w:val="single" w:sz="4" w:space="0" w:color="auto"/>
              <w:left w:val="single" w:sz="4" w:space="0" w:color="auto"/>
              <w:bottom w:val="single" w:sz="12" w:space="0" w:color="auto"/>
              <w:right w:val="single" w:sz="4" w:space="0" w:color="auto"/>
            </w:tcBorders>
          </w:tcPr>
          <w:p w:rsidR="00AC628F" w:rsidRDefault="00AC628F">
            <w:pPr>
              <w:spacing w:before="40" w:after="40" w:line="240" w:lineRule="auto"/>
              <w:ind w:right="115"/>
              <w:jc w:val="right"/>
              <w:rPr>
                <w:rFonts w:eastAsia="Times New Roman"/>
                <w:b/>
                <w:sz w:val="17"/>
                <w:szCs w:val="17"/>
                <w:lang w:val="fr-CH"/>
              </w:rPr>
            </w:pPr>
            <w:r>
              <w:rPr>
                <w:rFonts w:eastAsia="Times New Roman"/>
                <w:strike/>
                <w:sz w:val="17"/>
                <w:szCs w:val="17"/>
              </w:rPr>
              <w:t>175</w:t>
            </w:r>
            <w:r>
              <w:rPr>
                <w:rFonts w:eastAsia="Times New Roman"/>
                <w:sz w:val="17"/>
                <w:szCs w:val="17"/>
              </w:rPr>
              <w:t xml:space="preserve"> </w:t>
            </w:r>
            <w:r>
              <w:rPr>
                <w:rFonts w:eastAsia="Times New Roman"/>
                <w:b/>
                <w:sz w:val="17"/>
                <w:szCs w:val="17"/>
              </w:rPr>
              <w:t>56</w:t>
            </w:r>
          </w:p>
          <w:p w:rsidR="00AC628F" w:rsidRDefault="00AC628F">
            <w:pPr>
              <w:spacing w:before="40" w:after="40" w:line="240" w:lineRule="auto"/>
              <w:ind w:right="115"/>
              <w:jc w:val="right"/>
              <w:rPr>
                <w:rFonts w:eastAsia="Times New Roman"/>
                <w:sz w:val="17"/>
                <w:szCs w:val="17"/>
              </w:rPr>
            </w:pPr>
          </w:p>
          <w:p w:rsidR="00AC628F" w:rsidRDefault="00AC628F">
            <w:pPr>
              <w:spacing w:before="40" w:after="40" w:line="240" w:lineRule="auto"/>
              <w:ind w:right="115"/>
              <w:jc w:val="right"/>
              <w:rPr>
                <w:rFonts w:eastAsia="Times New Roman"/>
                <w:b/>
                <w:sz w:val="17"/>
                <w:szCs w:val="17"/>
              </w:rPr>
            </w:pPr>
            <w:r>
              <w:rPr>
                <w:rFonts w:eastAsia="Times New Roman"/>
                <w:strike/>
                <w:sz w:val="17"/>
                <w:szCs w:val="17"/>
              </w:rPr>
              <w:t>200</w:t>
            </w:r>
            <w:r>
              <w:rPr>
                <w:rFonts w:eastAsia="Times New Roman"/>
                <w:sz w:val="17"/>
                <w:szCs w:val="17"/>
              </w:rPr>
              <w:t xml:space="preserve"> </w:t>
            </w:r>
            <w:r>
              <w:rPr>
                <w:rFonts w:eastAsia="Times New Roman"/>
                <w:b/>
                <w:sz w:val="17"/>
                <w:szCs w:val="17"/>
              </w:rPr>
              <w:t>64</w:t>
            </w:r>
          </w:p>
          <w:p w:rsidR="00AC628F" w:rsidRDefault="005C1C51">
            <w:pPr>
              <w:spacing w:before="40" w:after="40" w:line="240" w:lineRule="auto"/>
              <w:ind w:right="115"/>
              <w:jc w:val="right"/>
              <w:rPr>
                <w:rFonts w:eastAsia="Times New Roman"/>
                <w:sz w:val="17"/>
                <w:szCs w:val="17"/>
              </w:rPr>
            </w:pPr>
            <w:r>
              <w:rPr>
                <w:rFonts w:eastAsia="Times New Roman"/>
                <w:sz w:val="17"/>
                <w:szCs w:val="17"/>
              </w:rPr>
              <w:t>-</w:t>
            </w:r>
          </w:p>
          <w:p w:rsidR="00AC628F" w:rsidRDefault="005C1C51">
            <w:pPr>
              <w:suppressAutoHyphens/>
              <w:kinsoku w:val="0"/>
              <w:overflowPunct w:val="0"/>
              <w:autoSpaceDE w:val="0"/>
              <w:autoSpaceDN w:val="0"/>
              <w:adjustRightInd w:val="0"/>
              <w:snapToGrid w:val="0"/>
              <w:spacing w:before="40" w:after="40" w:line="240" w:lineRule="auto"/>
              <w:ind w:right="115"/>
              <w:jc w:val="right"/>
              <w:rPr>
                <w:rFonts w:eastAsia="Times New Roman"/>
                <w:b/>
                <w:sz w:val="17"/>
                <w:szCs w:val="17"/>
                <w:lang w:val="fr-CH"/>
              </w:rPr>
            </w:pPr>
            <w:r>
              <w:rPr>
                <w:rFonts w:eastAsia="Times New Roman"/>
                <w:b/>
                <w:sz w:val="17"/>
                <w:szCs w:val="17"/>
                <w:lang w:val="fr-CH"/>
              </w:rPr>
              <w:t>-</w:t>
            </w:r>
          </w:p>
        </w:tc>
        <w:tc>
          <w:tcPr>
            <w:tcW w:w="795" w:type="dxa"/>
            <w:tcBorders>
              <w:top w:val="single" w:sz="4" w:space="0" w:color="auto"/>
              <w:left w:val="single" w:sz="4" w:space="0" w:color="auto"/>
              <w:bottom w:val="single" w:sz="12" w:space="0" w:color="auto"/>
              <w:right w:val="single" w:sz="4" w:space="0" w:color="auto"/>
            </w:tcBorders>
            <w:hideMark/>
          </w:tcPr>
          <w:p w:rsidR="00AC628F" w:rsidRDefault="00AC628F">
            <w:pPr>
              <w:spacing w:before="40" w:after="40" w:line="240" w:lineRule="auto"/>
              <w:ind w:right="115"/>
              <w:jc w:val="right"/>
              <w:rPr>
                <w:rFonts w:eastAsia="Times New Roman"/>
                <w:sz w:val="17"/>
                <w:szCs w:val="17"/>
                <w:u w:val="single"/>
                <w:lang w:val="fr-CH"/>
              </w:rPr>
            </w:pPr>
            <w:r>
              <w:rPr>
                <w:rFonts w:eastAsia="Times New Roman"/>
                <w:sz w:val="17"/>
                <w:szCs w:val="17"/>
                <w:u w:val="single"/>
              </w:rPr>
              <w:t>70 %</w:t>
            </w:r>
          </w:p>
          <w:p w:rsidR="00AC628F" w:rsidRDefault="00AC628F">
            <w:pPr>
              <w:spacing w:before="40" w:after="40" w:line="240" w:lineRule="auto"/>
              <w:ind w:right="115"/>
              <w:jc w:val="right"/>
              <w:rPr>
                <w:rFonts w:eastAsia="Times New Roman"/>
                <w:sz w:val="17"/>
                <w:szCs w:val="17"/>
                <w:u w:val="single"/>
              </w:rPr>
            </w:pPr>
            <w:r>
              <w:rPr>
                <w:rFonts w:eastAsia="Times New Roman"/>
                <w:sz w:val="17"/>
                <w:szCs w:val="17"/>
                <w:u w:val="single"/>
              </w:rPr>
              <w:t>4 h</w:t>
            </w:r>
          </w:p>
          <w:p w:rsidR="00AC628F" w:rsidRDefault="00AC628F">
            <w:pPr>
              <w:spacing w:before="40" w:after="40" w:line="240" w:lineRule="auto"/>
              <w:ind w:right="115"/>
              <w:jc w:val="right"/>
              <w:rPr>
                <w:rFonts w:eastAsia="Times New Roman"/>
                <w:sz w:val="17"/>
                <w:szCs w:val="17"/>
              </w:rPr>
            </w:pPr>
            <w:r>
              <w:rPr>
                <w:rFonts w:eastAsia="Times New Roman"/>
                <w:sz w:val="17"/>
                <w:szCs w:val="17"/>
              </w:rPr>
              <w:t>75 %</w:t>
            </w:r>
          </w:p>
          <w:p w:rsidR="00AC628F" w:rsidRDefault="00AC628F">
            <w:pPr>
              <w:spacing w:before="40" w:after="40" w:line="240" w:lineRule="auto"/>
              <w:ind w:right="115"/>
              <w:jc w:val="right"/>
              <w:rPr>
                <w:rFonts w:eastAsia="Times New Roman"/>
                <w:sz w:val="17"/>
                <w:szCs w:val="17"/>
              </w:rPr>
            </w:pPr>
            <w:r>
              <w:rPr>
                <w:rFonts w:eastAsia="Times New Roman"/>
                <w:sz w:val="17"/>
                <w:szCs w:val="17"/>
              </w:rPr>
              <w:t>75 %</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sz w:val="17"/>
                <w:szCs w:val="17"/>
                <w:u w:val="single"/>
                <w:lang w:val="fr-CH"/>
              </w:rPr>
            </w:pPr>
            <w:r>
              <w:rPr>
                <w:rFonts w:eastAsia="Times New Roman"/>
                <w:sz w:val="17"/>
                <w:szCs w:val="17"/>
              </w:rPr>
              <w:t>75 %</w:t>
            </w:r>
          </w:p>
        </w:tc>
        <w:tc>
          <w:tcPr>
            <w:tcW w:w="823" w:type="dxa"/>
            <w:tcBorders>
              <w:top w:val="single" w:sz="4" w:space="0" w:color="auto"/>
              <w:left w:val="single" w:sz="4" w:space="0" w:color="auto"/>
              <w:bottom w:val="single" w:sz="12" w:space="0" w:color="auto"/>
              <w:right w:val="single" w:sz="4" w:space="0" w:color="auto"/>
            </w:tcBorders>
            <w:hideMark/>
          </w:tcPr>
          <w:p w:rsidR="00AC628F" w:rsidRDefault="00AC628F">
            <w:pPr>
              <w:spacing w:before="40" w:after="40" w:line="240" w:lineRule="auto"/>
              <w:ind w:right="115"/>
              <w:jc w:val="right"/>
              <w:rPr>
                <w:rFonts w:eastAsia="Times New Roman"/>
                <w:sz w:val="17"/>
                <w:szCs w:val="17"/>
                <w:u w:val="single"/>
                <w:lang w:val="fr-CH"/>
              </w:rPr>
            </w:pPr>
            <w:r>
              <w:rPr>
                <w:rFonts w:eastAsia="Times New Roman"/>
                <w:sz w:val="17"/>
                <w:szCs w:val="17"/>
                <w:u w:val="single"/>
              </w:rPr>
              <w:t>88 %</w:t>
            </w:r>
          </w:p>
          <w:p w:rsidR="00AC628F" w:rsidRDefault="00AC628F">
            <w:pPr>
              <w:spacing w:before="40" w:after="40" w:line="240" w:lineRule="auto"/>
              <w:ind w:right="115"/>
              <w:jc w:val="right"/>
              <w:rPr>
                <w:rFonts w:eastAsia="Times New Roman"/>
                <w:sz w:val="17"/>
                <w:szCs w:val="17"/>
                <w:u w:val="single"/>
              </w:rPr>
            </w:pPr>
            <w:r>
              <w:rPr>
                <w:rFonts w:eastAsia="Times New Roman"/>
                <w:sz w:val="17"/>
                <w:szCs w:val="17"/>
                <w:u w:val="single"/>
              </w:rPr>
              <w:t>6 h</w:t>
            </w:r>
          </w:p>
          <w:p w:rsidR="00AC628F" w:rsidRDefault="00AC628F">
            <w:pPr>
              <w:spacing w:before="40" w:after="40" w:line="240" w:lineRule="auto"/>
              <w:ind w:right="115"/>
              <w:jc w:val="right"/>
              <w:rPr>
                <w:rFonts w:eastAsia="Times New Roman"/>
                <w:sz w:val="17"/>
                <w:szCs w:val="17"/>
              </w:rPr>
            </w:pPr>
            <w:r>
              <w:rPr>
                <w:rFonts w:eastAsia="Times New Roman"/>
                <w:sz w:val="17"/>
                <w:szCs w:val="17"/>
              </w:rPr>
              <w:t>97 %</w:t>
            </w:r>
          </w:p>
          <w:p w:rsidR="00AC628F" w:rsidRDefault="00AC628F">
            <w:pPr>
              <w:spacing w:before="40" w:after="40" w:line="240" w:lineRule="auto"/>
              <w:ind w:right="115"/>
              <w:jc w:val="right"/>
              <w:rPr>
                <w:rFonts w:eastAsia="Times New Roman"/>
                <w:sz w:val="17"/>
                <w:szCs w:val="17"/>
              </w:rPr>
            </w:pPr>
            <w:r>
              <w:rPr>
                <w:rFonts w:eastAsia="Times New Roman"/>
                <w:sz w:val="17"/>
                <w:szCs w:val="17"/>
              </w:rPr>
              <w:t>97 %</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sz w:val="17"/>
                <w:szCs w:val="17"/>
                <w:u w:val="single"/>
                <w:lang w:val="fr-CH"/>
              </w:rPr>
            </w:pPr>
            <w:r>
              <w:rPr>
                <w:rFonts w:eastAsia="Times New Roman"/>
                <w:sz w:val="17"/>
                <w:szCs w:val="17"/>
              </w:rPr>
              <w:t>97 %</w:t>
            </w:r>
          </w:p>
        </w:tc>
        <w:tc>
          <w:tcPr>
            <w:tcW w:w="806" w:type="dxa"/>
            <w:tcBorders>
              <w:top w:val="single" w:sz="4" w:space="0" w:color="auto"/>
              <w:left w:val="single" w:sz="4" w:space="0" w:color="auto"/>
              <w:bottom w:val="single" w:sz="12" w:space="0" w:color="auto"/>
              <w:right w:val="single" w:sz="4" w:space="0" w:color="auto"/>
            </w:tcBorders>
          </w:tcPr>
          <w:p w:rsidR="00AC628F" w:rsidRDefault="00AC628F">
            <w:pPr>
              <w:spacing w:before="40" w:after="40" w:line="240" w:lineRule="auto"/>
              <w:ind w:right="115"/>
              <w:jc w:val="right"/>
              <w:rPr>
                <w:rFonts w:eastAsia="Times New Roman"/>
                <w:sz w:val="17"/>
                <w:szCs w:val="17"/>
                <w:lang w:val="fr-CH"/>
              </w:rPr>
            </w:pPr>
            <w:r>
              <w:rPr>
                <w:rFonts w:eastAsia="Times New Roman"/>
                <w:sz w:val="17"/>
                <w:szCs w:val="17"/>
              </w:rPr>
              <w:t>106 %</w:t>
            </w:r>
          </w:p>
          <w:p w:rsidR="00AC628F" w:rsidRDefault="00AC628F">
            <w:pPr>
              <w:spacing w:before="40" w:after="40" w:line="240" w:lineRule="auto"/>
              <w:ind w:right="115"/>
              <w:jc w:val="right"/>
              <w:rPr>
                <w:rFonts w:eastAsia="Times New Roman"/>
                <w:sz w:val="17"/>
                <w:szCs w:val="17"/>
              </w:rPr>
            </w:pPr>
          </w:p>
          <w:p w:rsidR="00AC628F" w:rsidRDefault="00AC628F">
            <w:pPr>
              <w:spacing w:before="40" w:after="40" w:line="240" w:lineRule="auto"/>
              <w:ind w:right="115"/>
              <w:jc w:val="right"/>
              <w:rPr>
                <w:rFonts w:eastAsia="Times New Roman"/>
                <w:sz w:val="17"/>
                <w:szCs w:val="17"/>
              </w:rPr>
            </w:pPr>
            <w:r>
              <w:rPr>
                <w:rFonts w:eastAsia="Times New Roman"/>
                <w:sz w:val="17"/>
                <w:szCs w:val="17"/>
              </w:rPr>
              <w:t>114 %</w:t>
            </w:r>
          </w:p>
          <w:p w:rsidR="00AC628F" w:rsidRDefault="00AC628F">
            <w:pPr>
              <w:spacing w:before="40" w:after="40" w:line="240" w:lineRule="auto"/>
              <w:ind w:right="115"/>
              <w:jc w:val="right"/>
              <w:rPr>
                <w:rFonts w:eastAsia="Times New Roman"/>
                <w:sz w:val="17"/>
                <w:szCs w:val="17"/>
              </w:rPr>
            </w:pPr>
            <w:r>
              <w:rPr>
                <w:rFonts w:eastAsia="Times New Roman"/>
                <w:sz w:val="17"/>
                <w:szCs w:val="17"/>
              </w:rPr>
              <w:t>114 %</w:t>
            </w:r>
          </w:p>
          <w:p w:rsidR="00AC628F" w:rsidRDefault="00AC628F">
            <w:pPr>
              <w:suppressAutoHyphens/>
              <w:kinsoku w:val="0"/>
              <w:overflowPunct w:val="0"/>
              <w:autoSpaceDE w:val="0"/>
              <w:autoSpaceDN w:val="0"/>
              <w:adjustRightInd w:val="0"/>
              <w:snapToGrid w:val="0"/>
              <w:spacing w:before="40" w:after="40" w:line="240" w:lineRule="auto"/>
              <w:ind w:right="115"/>
              <w:jc w:val="right"/>
              <w:rPr>
                <w:rFonts w:eastAsia="Times New Roman"/>
                <w:sz w:val="17"/>
                <w:szCs w:val="17"/>
                <w:lang w:val="fr-CH"/>
              </w:rPr>
            </w:pPr>
            <w:r>
              <w:rPr>
                <w:rFonts w:eastAsia="Times New Roman"/>
                <w:sz w:val="17"/>
                <w:szCs w:val="17"/>
              </w:rPr>
              <w:t>114 %</w:t>
            </w:r>
          </w:p>
        </w:tc>
      </w:tr>
    </w:tbl>
    <w:p w:rsidR="00AC628F" w:rsidRDefault="00AC628F" w:rsidP="00AC628F">
      <w:pPr>
        <w:tabs>
          <w:tab w:val="right" w:pos="1021"/>
        </w:tabs>
        <w:spacing w:line="240" w:lineRule="auto"/>
        <w:ind w:left="1134" w:right="1134"/>
        <w:rPr>
          <w:rFonts w:eastAsia="Times New Roman"/>
          <w:i/>
          <w:sz w:val="10"/>
          <w:szCs w:val="24"/>
          <w:lang w:val="fr-CH" w:eastAsia="x-none"/>
        </w:rPr>
      </w:pPr>
    </w:p>
    <w:p w:rsidR="00AC628F" w:rsidRDefault="00AC628F" w:rsidP="00AC628F">
      <w:pPr>
        <w:pStyle w:val="Notedebasdepage"/>
        <w:tabs>
          <w:tab w:val="right" w:pos="1476"/>
          <w:tab w:val="left" w:pos="1548"/>
          <w:tab w:val="right" w:pos="1836"/>
          <w:tab w:val="left" w:pos="1908"/>
        </w:tabs>
        <w:spacing w:line="240" w:lineRule="auto"/>
        <w:ind w:left="1548" w:right="1267" w:hanging="288"/>
        <w:rPr>
          <w:rFonts w:eastAsia="Calibri"/>
          <w:sz w:val="18"/>
        </w:rPr>
      </w:pPr>
      <w:r>
        <w:rPr>
          <w:i/>
        </w:rPr>
        <w:t>Notes</w:t>
      </w:r>
      <w:r>
        <w:t> :</w:t>
      </w:r>
    </w:p>
    <w:p w:rsidR="00AC628F" w:rsidRDefault="00AC628F" w:rsidP="00AC628F">
      <w:pPr>
        <w:pStyle w:val="Notedebasdepage"/>
        <w:tabs>
          <w:tab w:val="right" w:pos="1476"/>
          <w:tab w:val="left" w:pos="1548"/>
          <w:tab w:val="right" w:pos="1836"/>
          <w:tab w:val="left" w:pos="1908"/>
        </w:tabs>
        <w:spacing w:line="240" w:lineRule="auto"/>
        <w:ind w:left="1548" w:right="1267" w:hanging="288"/>
      </w:pPr>
      <w:r>
        <w:tab/>
        <w:t>1)</w:t>
      </w:r>
      <w:r>
        <w:tab/>
        <w:t>Il est recommandé d’essayer les pneumatiques “pour applications spéciales” (voir le paragraphe 2.1.3 du présent Règlement) à une vitesse égale à 85 % de la vitesse prescrite pour les pneumatiques normaux équivalents.</w:t>
      </w:r>
    </w:p>
    <w:p w:rsidR="00AC628F" w:rsidRDefault="00AC628F" w:rsidP="00AC628F">
      <w:pPr>
        <w:pStyle w:val="Notedebasdepage"/>
        <w:tabs>
          <w:tab w:val="right" w:pos="1476"/>
          <w:tab w:val="left" w:pos="1548"/>
          <w:tab w:val="right" w:pos="1836"/>
          <w:tab w:val="left" w:pos="1908"/>
        </w:tabs>
        <w:spacing w:line="240" w:lineRule="auto"/>
        <w:ind w:left="1548" w:right="1267" w:hanging="288"/>
      </w:pPr>
      <w:r>
        <w:tab/>
        <w:t>2)</w:t>
      </w:r>
      <w:r>
        <w:tab/>
        <w:t xml:space="preserve">Les pneumatiques ayant un indice de charge de 122 ou plus, </w:t>
      </w:r>
      <w:r>
        <w:rPr>
          <w:strike/>
        </w:rPr>
        <w:t>appartenant aux catégories</w:t>
      </w:r>
      <w:r>
        <w:t xml:space="preserve"> </w:t>
      </w:r>
      <w:r>
        <w:rPr>
          <w:b/>
        </w:rPr>
        <w:t>portant le symbole</w:t>
      </w:r>
      <w:r>
        <w:t xml:space="preserve"> de vitesse N ou P et portant la mention additionnelle “LT” ou “C”, visée au paragraphe 3.1.13 du présent Règlement, doivent être essayés selon le même programme que celui indiqué dans le tableau ci-dessus pour les pneumatiques ayant un indice de charge de 121 ou moins. ».</w:t>
      </w:r>
    </w:p>
    <w:p w:rsidR="00AC628F" w:rsidRDefault="00AC628F" w:rsidP="00AC628F">
      <w:pPr>
        <w:pStyle w:val="Notedebasdepage"/>
        <w:tabs>
          <w:tab w:val="right" w:pos="1476"/>
          <w:tab w:val="left" w:pos="1548"/>
          <w:tab w:val="right" w:pos="1836"/>
          <w:tab w:val="left" w:pos="1908"/>
        </w:tabs>
        <w:spacing w:line="240" w:lineRule="auto"/>
        <w:ind w:left="1548" w:right="1267" w:hanging="288"/>
        <w:rPr>
          <w:sz w:val="10"/>
        </w:rPr>
      </w:pPr>
    </w:p>
    <w:p w:rsidR="00AC628F" w:rsidRDefault="00AC628F" w:rsidP="00AC628F">
      <w:pPr>
        <w:pStyle w:val="SingleTxt"/>
        <w:spacing w:after="0" w:line="240" w:lineRule="auto"/>
        <w:rPr>
          <w:sz w:val="10"/>
          <w:szCs w:val="17"/>
        </w:rPr>
      </w:pPr>
    </w:p>
    <w:p w:rsidR="00AC628F" w:rsidRDefault="00AC628F" w:rsidP="005C1C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lastRenderedPageBreak/>
        <w:tab/>
        <w:t>II.</w:t>
      </w:r>
      <w:r>
        <w:tab/>
        <w:t>Justification</w:t>
      </w:r>
    </w:p>
    <w:p w:rsidR="00AC628F" w:rsidRDefault="00AC628F" w:rsidP="005C1C51">
      <w:pPr>
        <w:pStyle w:val="SingleTxt"/>
        <w:keepNext/>
        <w:keepLines/>
        <w:spacing w:after="0" w:line="240" w:lineRule="auto"/>
        <w:rPr>
          <w:sz w:val="10"/>
        </w:rPr>
      </w:pPr>
    </w:p>
    <w:p w:rsidR="00AC628F" w:rsidRDefault="00AC628F" w:rsidP="005C1C51">
      <w:pPr>
        <w:pStyle w:val="SingleTxt"/>
        <w:keepNext/>
        <w:keepLines/>
        <w:spacing w:after="0" w:line="240" w:lineRule="auto"/>
        <w:rPr>
          <w:sz w:val="10"/>
        </w:rPr>
      </w:pPr>
    </w:p>
    <w:p w:rsidR="00AC628F" w:rsidRDefault="00AC628F" w:rsidP="00703560">
      <w:pPr>
        <w:pStyle w:val="SingleTxt"/>
        <w:keepNext/>
        <w:keepLines/>
      </w:pPr>
      <w:r>
        <w:t>1.</w:t>
      </w:r>
      <w:r>
        <w:tab/>
        <w:t>Il est proposé de remplacer l’indice PSI par la pression de gonflage en kilopascals (« kPa »). Ainsi, il sera possible de spécifier la même pression que dans toutes les normes principales relatives aux pneumatiques et d’éviter toute confusion dans le cas de pneumatiques marqués conformément au Règlement ONU n</w:t>
      </w:r>
      <w:r>
        <w:rPr>
          <w:vertAlign w:val="superscript"/>
        </w:rPr>
        <w:t>o</w:t>
      </w:r>
      <w:r>
        <w:t> 54 et aussi conformément à la norme FMVSS 119 ou FMVSS 139.</w:t>
      </w:r>
    </w:p>
    <w:p w:rsidR="00AC628F" w:rsidRDefault="00AC628F" w:rsidP="00703560">
      <w:pPr>
        <w:pStyle w:val="SingleTxt"/>
      </w:pPr>
      <w:r>
        <w:t>2.</w:t>
      </w:r>
      <w:r>
        <w:tab/>
        <w:t>Il est proposé de remplacer l’unité de mesure de la vitesse du tambour d’essai, qui est actuellement l’unité min</w:t>
      </w:r>
      <w:r>
        <w:rPr>
          <w:vertAlign w:val="superscript"/>
        </w:rPr>
        <w:t>-1</w:t>
      </w:r>
      <w:r>
        <w:t>, par l’unité km.h</w:t>
      </w:r>
      <w:r>
        <w:rPr>
          <w:vertAlign w:val="superscript"/>
        </w:rPr>
        <w:t>-1</w:t>
      </w:r>
      <w:r>
        <w:t xml:space="preserve"> aux fins de l’harmonisation avec d’autres règlements sur les pneumatiques. La proposition permet en outre d’aligner le texte de l’appendice 1 de l’annexe 7 sur celui du Règlement.</w:t>
      </w:r>
    </w:p>
    <w:p w:rsidR="00703560" w:rsidRPr="00703560" w:rsidRDefault="00703560" w:rsidP="00703560">
      <w:pPr>
        <w:pStyle w:val="SingleTxt"/>
        <w:spacing w:after="0" w:line="120" w:lineRule="exact"/>
        <w:rPr>
          <w:sz w:val="10"/>
        </w:rPr>
      </w:pPr>
    </w:p>
    <w:p w:rsidR="00703560" w:rsidRPr="00703560" w:rsidRDefault="00703560" w:rsidP="00703560">
      <w:pPr>
        <w:pStyle w:val="SingleTxt"/>
        <w:spacing w:after="0" w:line="120" w:lineRule="exact"/>
        <w:rPr>
          <w:sz w:val="10"/>
        </w:rPr>
      </w:pPr>
    </w:p>
    <w:p w:rsidR="00AC628F" w:rsidRDefault="00CB7716" w:rsidP="00CB771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AC628F">
        <w:t>Partie B – Amendement au Règlement n</w:t>
      </w:r>
      <w:r w:rsidR="00AC628F">
        <w:rPr>
          <w:vertAlign w:val="superscript"/>
        </w:rPr>
        <w:t>o</w:t>
      </w:r>
      <w:r w:rsidR="00AC628F">
        <w:t> 117</w:t>
      </w:r>
    </w:p>
    <w:p w:rsidR="00AC628F" w:rsidRDefault="00AC628F" w:rsidP="00AC628F">
      <w:pPr>
        <w:spacing w:line="240" w:lineRule="auto"/>
        <w:rPr>
          <w:sz w:val="10"/>
        </w:rPr>
      </w:pPr>
    </w:p>
    <w:p w:rsidR="00AC628F" w:rsidRDefault="00AC628F" w:rsidP="00AC628F">
      <w:pPr>
        <w:spacing w:line="240" w:lineRule="auto"/>
        <w:rPr>
          <w:sz w:val="10"/>
        </w:rPr>
      </w:pPr>
    </w:p>
    <w:p w:rsidR="00AC628F" w:rsidRDefault="00AC628F" w:rsidP="00AC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t>I.</w:t>
      </w:r>
      <w:r>
        <w:tab/>
        <w:t>Proposition</w:t>
      </w:r>
    </w:p>
    <w:p w:rsidR="00AC628F" w:rsidRDefault="00AC628F" w:rsidP="00AC628F">
      <w:pPr>
        <w:pStyle w:val="SingleTxt"/>
        <w:spacing w:after="0" w:line="240" w:lineRule="auto"/>
        <w:rPr>
          <w:sz w:val="10"/>
        </w:rPr>
      </w:pPr>
    </w:p>
    <w:p w:rsidR="00AC628F" w:rsidRDefault="00AC628F" w:rsidP="00AC628F">
      <w:pPr>
        <w:pStyle w:val="SingleTxt"/>
        <w:spacing w:after="0" w:line="240" w:lineRule="auto"/>
        <w:rPr>
          <w:sz w:val="10"/>
        </w:rPr>
      </w:pPr>
    </w:p>
    <w:p w:rsidR="00AC628F" w:rsidRDefault="00AC628F" w:rsidP="00703560">
      <w:pPr>
        <w:pStyle w:val="SingleTxt"/>
        <w:rPr>
          <w:bCs/>
        </w:rPr>
      </w:pPr>
      <w:r>
        <w:rPr>
          <w:i/>
          <w:iCs/>
        </w:rPr>
        <w:t>Annexe 3, paragraphe 2.5.3</w:t>
      </w:r>
      <w:r>
        <w:t>, modifier comme suit :</w:t>
      </w:r>
    </w:p>
    <w:p w:rsidR="00AC628F" w:rsidRDefault="00AC628F" w:rsidP="00703560">
      <w:pPr>
        <w:pStyle w:val="SingleTxt"/>
        <w:rPr>
          <w:bCs/>
        </w:rPr>
      </w:pPr>
      <w:r>
        <w:t>« 2.5.3</w:t>
      </w:r>
      <w:r>
        <w:tab/>
        <w:t>Pression de gonflage des pneumatiques</w:t>
      </w:r>
    </w:p>
    <w:p w:rsidR="00AC628F" w:rsidRDefault="00AC628F" w:rsidP="00703560">
      <w:pPr>
        <w:pStyle w:val="SingleTxt"/>
        <w:ind w:left="2218" w:hanging="951"/>
      </w:pPr>
      <w:r>
        <w:tab/>
      </w:r>
      <w:r>
        <w:tab/>
        <w:t>Pour chaque pneumatique monté sur le véhicule d’essai, la pression d’essai P</w:t>
      </w:r>
      <w:r>
        <w:rPr>
          <w:vertAlign w:val="subscript"/>
        </w:rPr>
        <w:t>t</w:t>
      </w:r>
      <w:r>
        <w:t xml:space="preserve"> ne doit pas être supérieure à la pression de référence P</w:t>
      </w:r>
      <w:r>
        <w:rPr>
          <w:vertAlign w:val="subscript"/>
        </w:rPr>
        <w:t>r</w:t>
      </w:r>
      <w:r>
        <w:t xml:space="preserve"> et doit être comprise dans l’intervalle suivant :</w:t>
      </w:r>
    </w:p>
    <w:p w:rsidR="00AC628F" w:rsidRDefault="00AC628F" w:rsidP="00AC628F">
      <w:pPr>
        <w:pStyle w:val="SingleTxt"/>
        <w:spacing w:line="240" w:lineRule="auto"/>
      </w:pPr>
      <w:r>
        <w:tab/>
      </w:r>
      <w:r>
        <w:tab/>
      </w:r>
      <w:r>
        <w:rPr>
          <w:position w:val="-28"/>
        </w:rPr>
        <w:object w:dxaOrig="286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5.25pt" o:ole="">
            <v:imagedata r:id="rId17" o:title=""/>
          </v:shape>
          <o:OLEObject Type="Embed" ProgID="Equation.3" ShapeID="_x0000_i1025" DrawAspect="Content" ObjectID="_1512212041" r:id="rId18"/>
        </w:object>
      </w:r>
    </w:p>
    <w:p w:rsidR="00AC628F" w:rsidRDefault="00AC628F" w:rsidP="00703560">
      <w:pPr>
        <w:pStyle w:val="SingleTxt"/>
        <w:ind w:left="2217" w:hanging="950"/>
        <w:rPr>
          <w:bCs/>
        </w:rPr>
      </w:pPr>
      <w:r>
        <w:tab/>
      </w:r>
      <w:r>
        <w:tab/>
        <w:t>Pour les classes C2 et C3, la pression de référence P</w:t>
      </w:r>
      <w:r>
        <w:rPr>
          <w:vertAlign w:val="subscript"/>
        </w:rPr>
        <w:t>r</w:t>
      </w:r>
      <w:r>
        <w:t xml:space="preserve"> est la pression </w:t>
      </w:r>
      <w:r>
        <w:rPr>
          <w:b/>
          <w:bCs/>
        </w:rPr>
        <w:t>de gonflage</w:t>
      </w:r>
      <w:r>
        <w:t xml:space="preserve"> correspondant à </w:t>
      </w:r>
      <w:r>
        <w:rPr>
          <w:bCs/>
        </w:rPr>
        <w:t>la pression</w:t>
      </w:r>
      <w:r>
        <w:t xml:space="preserve"> </w:t>
      </w:r>
      <w:r>
        <w:rPr>
          <w:b/>
        </w:rPr>
        <w:t>en kilopascals</w:t>
      </w:r>
      <w:r>
        <w:t xml:space="preserve"> ou à l’indice </w:t>
      </w:r>
      <w:r>
        <w:rPr>
          <w:b/>
        </w:rPr>
        <w:t>de pression</w:t>
      </w:r>
      <w:r>
        <w:t xml:space="preserve"> figurant sur le flanc. </w:t>
      </w:r>
      <w:r>
        <w:rPr>
          <w:b/>
          <w:bCs/>
        </w:rPr>
        <w:t xml:space="preserve"> </w:t>
      </w:r>
    </w:p>
    <w:p w:rsidR="00AC628F" w:rsidRDefault="00AC628F" w:rsidP="00703560">
      <w:pPr>
        <w:pStyle w:val="SingleTxt"/>
        <w:ind w:left="2217" w:hanging="950"/>
      </w:pPr>
      <w:r>
        <w:tab/>
      </w:r>
      <w:r>
        <w:tab/>
        <w:t>Pour la classe C1, la pression de référence est P</w:t>
      </w:r>
      <w:r>
        <w:rPr>
          <w:vertAlign w:val="subscript"/>
        </w:rPr>
        <w:t>r</w:t>
      </w:r>
      <w:r>
        <w:t> = 250 kPa pour les pneumatiques normaux et 290 kPa pour les pneumatiques renforcés. La pression d’essai minimale est P</w:t>
      </w:r>
      <w:r>
        <w:rPr>
          <w:vertAlign w:val="subscript"/>
        </w:rPr>
        <w:t>t</w:t>
      </w:r>
      <w:r>
        <w:t> = 150 kPa. ».</w:t>
      </w:r>
    </w:p>
    <w:p w:rsidR="00AC628F" w:rsidRDefault="00AC628F" w:rsidP="00AC628F">
      <w:pPr>
        <w:pStyle w:val="SingleTxt"/>
        <w:spacing w:after="0" w:line="240" w:lineRule="auto"/>
        <w:rPr>
          <w:sz w:val="10"/>
        </w:rPr>
      </w:pPr>
    </w:p>
    <w:p w:rsidR="00AC628F" w:rsidRDefault="00AC628F" w:rsidP="00AC628F">
      <w:pPr>
        <w:pStyle w:val="SingleTxt"/>
        <w:spacing w:after="0" w:line="240" w:lineRule="auto"/>
        <w:rPr>
          <w:sz w:val="10"/>
        </w:rPr>
      </w:pPr>
    </w:p>
    <w:p w:rsidR="00AC628F" w:rsidRDefault="00AC628F" w:rsidP="00AC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t>II.</w:t>
      </w:r>
      <w:r>
        <w:tab/>
        <w:t>Justification</w:t>
      </w:r>
    </w:p>
    <w:p w:rsidR="00AC628F" w:rsidRDefault="00AC628F" w:rsidP="00AC628F">
      <w:pPr>
        <w:pStyle w:val="SingleTxt"/>
        <w:spacing w:after="0" w:line="240" w:lineRule="auto"/>
        <w:rPr>
          <w:sz w:val="10"/>
          <w:lang w:eastAsia="ja-JP"/>
        </w:rPr>
      </w:pPr>
    </w:p>
    <w:p w:rsidR="00AC628F" w:rsidRDefault="00AC628F" w:rsidP="00AC628F">
      <w:pPr>
        <w:pStyle w:val="SingleTxt"/>
        <w:spacing w:after="0" w:line="240" w:lineRule="auto"/>
        <w:rPr>
          <w:sz w:val="10"/>
          <w:lang w:eastAsia="ja-JP"/>
        </w:rPr>
      </w:pPr>
    </w:p>
    <w:p w:rsidR="00AC628F" w:rsidRDefault="005C1C51" w:rsidP="00703560">
      <w:pPr>
        <w:pStyle w:val="SingleTxt"/>
        <w:rPr>
          <w:sz w:val="24"/>
          <w:szCs w:val="24"/>
          <w:lang w:val="en-US"/>
        </w:rPr>
      </w:pPr>
      <w:r>
        <w:rPr>
          <w:lang w:eastAsia="ja-JP"/>
        </w:rPr>
        <w:tab/>
      </w:r>
      <w:r w:rsidR="00AC628F">
        <w:rPr>
          <w:lang w:eastAsia="ja-JP"/>
        </w:rPr>
        <w:t>La proposition ci-dessus est soumise pour des raisons de cohérence avec la proposition d’amendement au Règlement n</w:t>
      </w:r>
      <w:r w:rsidR="00AC628F">
        <w:rPr>
          <w:vertAlign w:val="superscript"/>
          <w:lang w:eastAsia="ja-JP"/>
        </w:rPr>
        <w:t>o</w:t>
      </w:r>
      <w:r w:rsidR="00AC628F">
        <w:rPr>
          <w:lang w:eastAsia="ja-JP"/>
        </w:rPr>
        <w:t> 54 (voir la partie A du présent document).</w:t>
      </w:r>
      <w:r w:rsidR="00AC628F">
        <w:rPr>
          <w:szCs w:val="24"/>
          <w:lang w:val="en-US"/>
        </w:rPr>
        <w:t xml:space="preserve"> </w:t>
      </w:r>
    </w:p>
    <w:p w:rsidR="00EF3BFA" w:rsidRPr="005C1C51" w:rsidRDefault="005C1C51" w:rsidP="005C1C51">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63FF1"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F3BFA" w:rsidRPr="005C1C51" w:rsidSect="00EF3BF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CF" w:rsidRDefault="003049CF" w:rsidP="00F3330B">
      <w:pPr>
        <w:spacing w:line="240" w:lineRule="auto"/>
      </w:pPr>
      <w:r>
        <w:separator/>
      </w:r>
    </w:p>
  </w:endnote>
  <w:endnote w:type="continuationSeparator" w:id="0">
    <w:p w:rsidR="003049CF" w:rsidRDefault="003049C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EF3BFA" w:rsidTr="00EF3BFA">
      <w:trPr>
        <w:jc w:val="center"/>
      </w:trPr>
      <w:tc>
        <w:tcPr>
          <w:tcW w:w="5126" w:type="dxa"/>
          <w:shd w:val="clear" w:color="auto" w:fill="auto"/>
        </w:tcPr>
        <w:p w:rsidR="00EF3BFA" w:rsidRPr="00EF3BFA" w:rsidRDefault="00EF3BFA" w:rsidP="00EF3BFA">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369B">
            <w:rPr>
              <w:b w:val="0"/>
              <w:w w:val="103"/>
              <w:sz w:val="14"/>
            </w:rPr>
            <w:t>GE.15-20488</w:t>
          </w:r>
          <w:r>
            <w:rPr>
              <w:b w:val="0"/>
              <w:w w:val="103"/>
              <w:sz w:val="14"/>
            </w:rPr>
            <w:fldChar w:fldCharType="end"/>
          </w:r>
        </w:p>
      </w:tc>
      <w:tc>
        <w:tcPr>
          <w:tcW w:w="5127" w:type="dxa"/>
          <w:shd w:val="clear" w:color="auto" w:fill="auto"/>
        </w:tcPr>
        <w:p w:rsidR="00EF3BFA" w:rsidRPr="00EF3BFA" w:rsidRDefault="00EF3BFA" w:rsidP="00EF3BFA">
          <w:pPr>
            <w:pStyle w:val="Pieddepage"/>
            <w:rPr>
              <w:w w:val="103"/>
            </w:rPr>
          </w:pPr>
          <w:r>
            <w:rPr>
              <w:w w:val="103"/>
            </w:rPr>
            <w:fldChar w:fldCharType="begin"/>
          </w:r>
          <w:r>
            <w:rPr>
              <w:w w:val="103"/>
            </w:rPr>
            <w:instrText xml:space="preserve"> PAGE  \* Arabic  \* MERGEFORMAT </w:instrText>
          </w:r>
          <w:r>
            <w:rPr>
              <w:w w:val="103"/>
            </w:rPr>
            <w:fldChar w:fldCharType="separate"/>
          </w:r>
          <w:r w:rsidR="006000F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00F6">
            <w:rPr>
              <w:noProof/>
              <w:w w:val="103"/>
            </w:rPr>
            <w:t>4</w:t>
          </w:r>
          <w:r>
            <w:rPr>
              <w:w w:val="103"/>
            </w:rPr>
            <w:fldChar w:fldCharType="end"/>
          </w:r>
        </w:p>
      </w:tc>
    </w:tr>
  </w:tbl>
  <w:p w:rsidR="00EF3BFA" w:rsidRPr="00EF3BFA" w:rsidRDefault="00EF3BFA" w:rsidP="00EF3B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EF3BFA" w:rsidTr="00EF3BFA">
      <w:trPr>
        <w:jc w:val="center"/>
      </w:trPr>
      <w:tc>
        <w:tcPr>
          <w:tcW w:w="5126" w:type="dxa"/>
          <w:shd w:val="clear" w:color="auto" w:fill="auto"/>
        </w:tcPr>
        <w:p w:rsidR="00EF3BFA" w:rsidRPr="00EF3BFA" w:rsidRDefault="00EF3BFA" w:rsidP="00EF3BFA">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6000F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00F6">
            <w:rPr>
              <w:noProof/>
              <w:w w:val="103"/>
            </w:rPr>
            <w:t>4</w:t>
          </w:r>
          <w:r>
            <w:rPr>
              <w:w w:val="103"/>
            </w:rPr>
            <w:fldChar w:fldCharType="end"/>
          </w:r>
        </w:p>
      </w:tc>
      <w:tc>
        <w:tcPr>
          <w:tcW w:w="5127" w:type="dxa"/>
          <w:shd w:val="clear" w:color="auto" w:fill="auto"/>
        </w:tcPr>
        <w:p w:rsidR="00EF3BFA" w:rsidRPr="00EF3BFA" w:rsidRDefault="00EF3BFA" w:rsidP="00EF3BFA">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369B">
            <w:rPr>
              <w:b w:val="0"/>
              <w:w w:val="103"/>
              <w:sz w:val="14"/>
            </w:rPr>
            <w:t>GE.15-20488</w:t>
          </w:r>
          <w:r>
            <w:rPr>
              <w:b w:val="0"/>
              <w:w w:val="103"/>
              <w:sz w:val="14"/>
            </w:rPr>
            <w:fldChar w:fldCharType="end"/>
          </w:r>
        </w:p>
      </w:tc>
    </w:tr>
  </w:tbl>
  <w:p w:rsidR="00EF3BFA" w:rsidRPr="00EF3BFA" w:rsidRDefault="00EF3BFA" w:rsidP="00EF3B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FA" w:rsidRDefault="00EF3BFA">
    <w:pPr>
      <w:pStyle w:val="Pieddepage"/>
    </w:pPr>
    <w:r>
      <w:rPr>
        <w:noProof/>
        <w:lang w:val="fr-FR" w:eastAsia="fr-FR"/>
      </w:rPr>
      <w:drawing>
        <wp:anchor distT="0" distB="0" distL="114300" distR="114300" simplePos="0" relativeHeight="251658240" behindDoc="0" locked="0" layoutInCell="1" allowOverlap="1" wp14:anchorId="3FE0D0C0" wp14:editId="2EB5203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F3BFA" w:rsidTr="00EF3BFA">
      <w:tc>
        <w:tcPr>
          <w:tcW w:w="3859" w:type="dxa"/>
        </w:tcPr>
        <w:p w:rsidR="00EF3BFA" w:rsidRDefault="00EF3BFA" w:rsidP="00EF3BFA">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E369B">
            <w:rPr>
              <w:b w:val="0"/>
              <w:sz w:val="20"/>
            </w:rPr>
            <w:t>GE.15-20488 (F)</w:t>
          </w:r>
          <w:r>
            <w:rPr>
              <w:b w:val="0"/>
              <w:sz w:val="20"/>
            </w:rPr>
            <w:fldChar w:fldCharType="end"/>
          </w:r>
          <w:r>
            <w:rPr>
              <w:b w:val="0"/>
              <w:sz w:val="20"/>
            </w:rPr>
            <w:t xml:space="preserve">    </w:t>
          </w:r>
          <w:r w:rsidR="00AC628F">
            <w:rPr>
              <w:b w:val="0"/>
              <w:sz w:val="20"/>
            </w:rPr>
            <w:t>09</w:t>
          </w:r>
          <w:r>
            <w:rPr>
              <w:b w:val="0"/>
              <w:sz w:val="20"/>
            </w:rPr>
            <w:t xml:space="preserve">1215    </w:t>
          </w:r>
          <w:r w:rsidR="00AC628F">
            <w:rPr>
              <w:b w:val="0"/>
              <w:sz w:val="20"/>
            </w:rPr>
            <w:t>2</w:t>
          </w:r>
          <w:r>
            <w:rPr>
              <w:b w:val="0"/>
              <w:sz w:val="20"/>
            </w:rPr>
            <w:t>11215</w:t>
          </w:r>
        </w:p>
        <w:p w:rsidR="00EF3BFA" w:rsidRPr="00EF3BFA" w:rsidRDefault="00EF3BFA" w:rsidP="00EF3BFA">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E369B">
            <w:rPr>
              <w:rFonts w:ascii="Barcode 3 of 9 by request" w:hAnsi="Barcode 3 of 9 by request"/>
              <w:b w:val="0"/>
              <w:spacing w:val="0"/>
              <w:w w:val="100"/>
              <w:sz w:val="24"/>
            </w:rPr>
            <w:t>*1520488*</w:t>
          </w:r>
          <w:r>
            <w:rPr>
              <w:rFonts w:ascii="Barcode 3 of 9 by request" w:hAnsi="Barcode 3 of 9 by request"/>
              <w:b w:val="0"/>
              <w:spacing w:val="0"/>
              <w:w w:val="100"/>
              <w:sz w:val="24"/>
            </w:rPr>
            <w:fldChar w:fldCharType="end"/>
          </w:r>
        </w:p>
      </w:tc>
      <w:tc>
        <w:tcPr>
          <w:tcW w:w="5127" w:type="dxa"/>
        </w:tcPr>
        <w:p w:rsidR="00EF3BFA" w:rsidRDefault="00EF3BFA" w:rsidP="00EF3BFA">
          <w:pPr>
            <w:pStyle w:val="Pieddepage"/>
            <w:spacing w:line="240" w:lineRule="atLeast"/>
            <w:jc w:val="right"/>
            <w:rPr>
              <w:b w:val="0"/>
              <w:sz w:val="20"/>
            </w:rPr>
          </w:pPr>
          <w:r>
            <w:rPr>
              <w:b w:val="0"/>
              <w:noProof/>
              <w:sz w:val="20"/>
              <w:lang w:val="fr-FR" w:eastAsia="fr-FR"/>
            </w:rPr>
            <w:drawing>
              <wp:inline distT="0" distB="0" distL="0" distR="0" wp14:anchorId="75A24009" wp14:editId="6C7F99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F3BFA" w:rsidRPr="00EF3BFA" w:rsidRDefault="00EF3BFA" w:rsidP="00EF3BFA">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CF" w:rsidRPr="00AC628F" w:rsidRDefault="003049CF" w:rsidP="00AC628F">
      <w:pPr>
        <w:pStyle w:val="Pieddepage"/>
        <w:spacing w:after="80"/>
        <w:ind w:left="792"/>
        <w:rPr>
          <w:sz w:val="16"/>
        </w:rPr>
      </w:pPr>
      <w:r w:rsidRPr="00AC628F">
        <w:rPr>
          <w:sz w:val="16"/>
        </w:rPr>
        <w:t>__________________</w:t>
      </w:r>
    </w:p>
  </w:footnote>
  <w:footnote w:type="continuationSeparator" w:id="0">
    <w:p w:rsidR="003049CF" w:rsidRPr="00AC628F" w:rsidRDefault="003049CF" w:rsidP="00AC628F">
      <w:pPr>
        <w:pStyle w:val="Pieddepage"/>
        <w:spacing w:after="80"/>
        <w:ind w:left="792"/>
        <w:rPr>
          <w:sz w:val="16"/>
        </w:rPr>
      </w:pPr>
      <w:r w:rsidRPr="00AC628F">
        <w:rPr>
          <w:sz w:val="16"/>
        </w:rPr>
        <w:t>__________________</w:t>
      </w:r>
    </w:p>
  </w:footnote>
  <w:footnote w:id="1">
    <w:p w:rsidR="00AC628F" w:rsidRPr="00AC628F" w:rsidRDefault="00AC628F" w:rsidP="00AC628F">
      <w:pPr>
        <w:pStyle w:val="Notedebasdepage"/>
        <w:tabs>
          <w:tab w:val="right" w:pos="1195"/>
          <w:tab w:val="left" w:pos="1267"/>
          <w:tab w:val="left" w:pos="1742"/>
          <w:tab w:val="left" w:pos="2218"/>
          <w:tab w:val="left" w:pos="2693"/>
        </w:tabs>
        <w:ind w:left="1267" w:right="1260" w:hanging="432"/>
        <w:rPr>
          <w:lang w:val="fr-CH"/>
        </w:rPr>
      </w:pPr>
      <w:r>
        <w:tab/>
      </w:r>
      <w:r w:rsidRPr="00AC628F">
        <w:rPr>
          <w:rStyle w:val="Appelnotedebasdep"/>
          <w:vertAlign w:val="baseline"/>
        </w:rPr>
        <w:t>*</w:t>
      </w:r>
      <w:r>
        <w:tab/>
        <w:t xml:space="preserve">Conformément au programme de travail du Comité des transports intérieurs pour la période 2014-2018 (ECE/TRANS/240, par. 105, et ECE/TRANS/2014/26, activité 02.4), le Forum mondial </w:t>
      </w:r>
      <w:r w:rsidR="00C16DCE">
        <w:br/>
      </w:r>
      <w:r>
        <w:t>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3BFA" w:rsidTr="00EF3BFA">
      <w:trPr>
        <w:trHeight w:hRule="exact" w:val="864"/>
        <w:jc w:val="center"/>
      </w:trPr>
      <w:tc>
        <w:tcPr>
          <w:tcW w:w="4882" w:type="dxa"/>
          <w:shd w:val="clear" w:color="auto" w:fill="auto"/>
          <w:vAlign w:val="bottom"/>
        </w:tcPr>
        <w:p w:rsidR="00EF3BFA" w:rsidRPr="00EF3BFA" w:rsidRDefault="00EF3BFA" w:rsidP="00EF3BFA">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369B">
            <w:rPr>
              <w:b/>
              <w:color w:val="000000"/>
            </w:rPr>
            <w:t>ECE/TRANS/WP.29/GRRF/2016/12</w:t>
          </w:r>
          <w:r>
            <w:rPr>
              <w:b/>
              <w:color w:val="000000"/>
            </w:rPr>
            <w:fldChar w:fldCharType="end"/>
          </w:r>
        </w:p>
      </w:tc>
      <w:tc>
        <w:tcPr>
          <w:tcW w:w="5127" w:type="dxa"/>
          <w:shd w:val="clear" w:color="auto" w:fill="auto"/>
          <w:vAlign w:val="bottom"/>
        </w:tcPr>
        <w:p w:rsidR="00EF3BFA" w:rsidRDefault="00EF3BFA" w:rsidP="00EF3BFA">
          <w:pPr>
            <w:pStyle w:val="En-tte"/>
          </w:pPr>
        </w:p>
      </w:tc>
    </w:tr>
  </w:tbl>
  <w:p w:rsidR="00EF3BFA" w:rsidRPr="00EF3BFA" w:rsidRDefault="00EF3BFA" w:rsidP="00EF3BFA">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F3BFA" w:rsidTr="00EF3BFA">
      <w:trPr>
        <w:trHeight w:hRule="exact" w:val="864"/>
        <w:jc w:val="center"/>
      </w:trPr>
      <w:tc>
        <w:tcPr>
          <w:tcW w:w="4882" w:type="dxa"/>
          <w:shd w:val="clear" w:color="auto" w:fill="auto"/>
          <w:vAlign w:val="bottom"/>
        </w:tcPr>
        <w:p w:rsidR="00EF3BFA" w:rsidRDefault="00EF3BFA" w:rsidP="00EF3BFA">
          <w:pPr>
            <w:pStyle w:val="En-tte"/>
          </w:pPr>
        </w:p>
      </w:tc>
      <w:tc>
        <w:tcPr>
          <w:tcW w:w="5127" w:type="dxa"/>
          <w:shd w:val="clear" w:color="auto" w:fill="auto"/>
          <w:vAlign w:val="bottom"/>
        </w:tcPr>
        <w:p w:rsidR="00EF3BFA" w:rsidRPr="00EF3BFA" w:rsidRDefault="00EF3BFA" w:rsidP="00EF3BFA">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369B">
            <w:rPr>
              <w:b/>
              <w:color w:val="000000"/>
            </w:rPr>
            <w:t>ECE/TRANS/WP.29/GRRF/2016/12</w:t>
          </w:r>
          <w:r>
            <w:rPr>
              <w:b/>
              <w:color w:val="000000"/>
            </w:rPr>
            <w:fldChar w:fldCharType="end"/>
          </w:r>
        </w:p>
      </w:tc>
    </w:tr>
  </w:tbl>
  <w:p w:rsidR="00EF3BFA" w:rsidRPr="00EF3BFA" w:rsidRDefault="00EF3BFA" w:rsidP="00EF3BFA">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F3BFA" w:rsidTr="00EF3BFA">
      <w:trPr>
        <w:trHeight w:hRule="exact" w:val="864"/>
      </w:trPr>
      <w:tc>
        <w:tcPr>
          <w:tcW w:w="1267" w:type="dxa"/>
          <w:tcBorders>
            <w:bottom w:val="single" w:sz="4" w:space="0" w:color="auto"/>
          </w:tcBorders>
          <w:shd w:val="clear" w:color="auto" w:fill="auto"/>
          <w:vAlign w:val="bottom"/>
        </w:tcPr>
        <w:p w:rsidR="00EF3BFA" w:rsidRDefault="00EF3BFA" w:rsidP="00EF3BFA">
          <w:pPr>
            <w:pStyle w:val="En-tte"/>
            <w:spacing w:after="120"/>
          </w:pPr>
        </w:p>
      </w:tc>
      <w:tc>
        <w:tcPr>
          <w:tcW w:w="2059" w:type="dxa"/>
          <w:tcBorders>
            <w:bottom w:val="single" w:sz="4" w:space="0" w:color="auto"/>
          </w:tcBorders>
          <w:shd w:val="clear" w:color="auto" w:fill="auto"/>
          <w:vAlign w:val="bottom"/>
        </w:tcPr>
        <w:p w:rsidR="00EF3BFA" w:rsidRPr="00EF3BFA" w:rsidRDefault="00EF3BFA" w:rsidP="00EF3BF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F3BFA" w:rsidRDefault="00EF3BFA" w:rsidP="00EF3BFA">
          <w:pPr>
            <w:pStyle w:val="En-tte"/>
            <w:spacing w:after="120"/>
          </w:pPr>
        </w:p>
      </w:tc>
      <w:tc>
        <w:tcPr>
          <w:tcW w:w="6653" w:type="dxa"/>
          <w:gridSpan w:val="4"/>
          <w:tcBorders>
            <w:bottom w:val="single" w:sz="4" w:space="0" w:color="auto"/>
          </w:tcBorders>
          <w:shd w:val="clear" w:color="auto" w:fill="auto"/>
          <w:vAlign w:val="bottom"/>
        </w:tcPr>
        <w:p w:rsidR="00EF3BFA" w:rsidRPr="00EF3BFA" w:rsidRDefault="00EF3BFA" w:rsidP="00EF3BFA">
          <w:pPr>
            <w:spacing w:after="80" w:line="240" w:lineRule="auto"/>
            <w:jc w:val="right"/>
            <w:rPr>
              <w:position w:val="-4"/>
            </w:rPr>
          </w:pPr>
          <w:r>
            <w:rPr>
              <w:position w:val="-4"/>
              <w:sz w:val="40"/>
            </w:rPr>
            <w:t>ECE</w:t>
          </w:r>
          <w:r>
            <w:rPr>
              <w:position w:val="-4"/>
            </w:rPr>
            <w:t>/TRANS/WP.29/GRRF/2016/12</w:t>
          </w:r>
        </w:p>
      </w:tc>
    </w:tr>
    <w:tr w:rsidR="00EF3BFA" w:rsidRPr="00EF3BFA" w:rsidTr="00EF3BFA">
      <w:trPr>
        <w:gridAfter w:val="1"/>
        <w:wAfter w:w="18" w:type="dxa"/>
        <w:trHeight w:hRule="exact" w:val="2880"/>
      </w:trPr>
      <w:tc>
        <w:tcPr>
          <w:tcW w:w="1267" w:type="dxa"/>
          <w:tcBorders>
            <w:top w:val="single" w:sz="4" w:space="0" w:color="auto"/>
            <w:bottom w:val="single" w:sz="12" w:space="0" w:color="auto"/>
          </w:tcBorders>
          <w:shd w:val="clear" w:color="auto" w:fill="auto"/>
        </w:tcPr>
        <w:p w:rsidR="00EF3BFA" w:rsidRPr="00EF3BFA" w:rsidRDefault="00EF3BFA" w:rsidP="00EF3BFA">
          <w:pPr>
            <w:pStyle w:val="En-tte"/>
            <w:spacing w:before="120" w:line="240" w:lineRule="auto"/>
            <w:ind w:left="-72"/>
            <w:jc w:val="center"/>
          </w:pPr>
          <w:r>
            <w:t xml:space="preserve">  </w:t>
          </w:r>
          <w:r>
            <w:rPr>
              <w:noProof/>
              <w:lang w:val="fr-FR" w:eastAsia="fr-FR"/>
            </w:rPr>
            <w:drawing>
              <wp:inline distT="0" distB="0" distL="0" distR="0" wp14:anchorId="2FACF3C8" wp14:editId="1911186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3BFA" w:rsidRPr="00EF3BFA" w:rsidRDefault="00EF3BFA" w:rsidP="00EF3BF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F3BFA" w:rsidRPr="00EF3BFA" w:rsidRDefault="00EF3BFA" w:rsidP="00EF3BFA">
          <w:pPr>
            <w:pStyle w:val="En-tte"/>
            <w:spacing w:before="109"/>
          </w:pPr>
        </w:p>
      </w:tc>
      <w:tc>
        <w:tcPr>
          <w:tcW w:w="3280" w:type="dxa"/>
          <w:tcBorders>
            <w:top w:val="single" w:sz="4" w:space="0" w:color="auto"/>
            <w:bottom w:val="single" w:sz="12" w:space="0" w:color="auto"/>
          </w:tcBorders>
          <w:shd w:val="clear" w:color="auto" w:fill="auto"/>
        </w:tcPr>
        <w:p w:rsidR="00EF3BFA" w:rsidRDefault="00EF3BFA" w:rsidP="00EF3BFA">
          <w:pPr>
            <w:pStyle w:val="Distribution"/>
            <w:rPr>
              <w:color w:val="000000"/>
            </w:rPr>
          </w:pPr>
          <w:r>
            <w:rPr>
              <w:color w:val="000000"/>
            </w:rPr>
            <w:t>Distr. générale</w:t>
          </w:r>
        </w:p>
        <w:p w:rsidR="00EF3BFA" w:rsidRDefault="00EF3BFA" w:rsidP="00EF3BFA">
          <w:pPr>
            <w:pStyle w:val="Publication"/>
            <w:rPr>
              <w:color w:val="000000"/>
            </w:rPr>
          </w:pPr>
          <w:r>
            <w:rPr>
              <w:color w:val="000000"/>
            </w:rPr>
            <w:t>20 novembre 2015</w:t>
          </w:r>
        </w:p>
        <w:p w:rsidR="00EF3BFA" w:rsidRDefault="00EF3BFA" w:rsidP="00EF3BFA">
          <w:pPr>
            <w:rPr>
              <w:lang w:val="en-US"/>
            </w:rPr>
          </w:pPr>
          <w:r>
            <w:rPr>
              <w:lang w:val="en-US"/>
            </w:rPr>
            <w:t>Français</w:t>
          </w:r>
        </w:p>
        <w:p w:rsidR="00EF3BFA" w:rsidRPr="00EF3BFA" w:rsidRDefault="00EF3BFA" w:rsidP="00EF3BFA">
          <w:pPr>
            <w:pStyle w:val="Original"/>
            <w:rPr>
              <w:color w:val="000000"/>
            </w:rPr>
          </w:pPr>
          <w:r>
            <w:rPr>
              <w:color w:val="000000"/>
            </w:rPr>
            <w:t>Original : anglais</w:t>
          </w:r>
        </w:p>
      </w:tc>
    </w:tr>
  </w:tbl>
  <w:p w:rsidR="00EF3BFA" w:rsidRPr="00EF3BFA" w:rsidRDefault="00EF3BFA" w:rsidP="00EF3BFA">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88*"/>
    <w:docVar w:name="CreationDt" w:val="12/16/2015 12:18 PM"/>
    <w:docVar w:name="DocCategory" w:val="Doc"/>
    <w:docVar w:name="DocType" w:val="Final"/>
    <w:docVar w:name="DutyStation" w:val="Geneva"/>
    <w:docVar w:name="FooterJN" w:val="GE.15-20488"/>
    <w:docVar w:name="jobn" w:val="GE.15-20488 (F)"/>
    <w:docVar w:name="jobnDT" w:val="GE.15-20488 (F)   161215"/>
    <w:docVar w:name="jobnDTDT" w:val="GE.15-20488 (F)   161215   161215"/>
    <w:docVar w:name="JobNo" w:val="GE.1520488F"/>
    <w:docVar w:name="JobNo2" w:val="GE.1526588F"/>
    <w:docVar w:name="LocalDrive" w:val="0"/>
    <w:docVar w:name="OandT" w:val="Crelier"/>
    <w:docVar w:name="PaperSize" w:val="A4"/>
    <w:docVar w:name="sss1" w:val="ECE/TRANS/WP.29/GRRF/2016/12"/>
    <w:docVar w:name="sss2" w:val="-"/>
    <w:docVar w:name="Symbol1" w:val="ECE/TRANS/WP.29/GRRF/2016/12"/>
    <w:docVar w:name="Symbol2" w:val="-"/>
  </w:docVars>
  <w:rsids>
    <w:rsidRoot w:val="00CD350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49A"/>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05D9"/>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49CF"/>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9BD"/>
    <w:rsid w:val="00462FE3"/>
    <w:rsid w:val="004638A8"/>
    <w:rsid w:val="00464787"/>
    <w:rsid w:val="004669E9"/>
    <w:rsid w:val="004700A3"/>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66E3"/>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1C51"/>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0F6"/>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3560"/>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D1F"/>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69B"/>
    <w:rsid w:val="008E4FFA"/>
    <w:rsid w:val="008E5CC1"/>
    <w:rsid w:val="008E6532"/>
    <w:rsid w:val="008E7FF5"/>
    <w:rsid w:val="008F125F"/>
    <w:rsid w:val="008F2C00"/>
    <w:rsid w:val="008F3DAE"/>
    <w:rsid w:val="008F6630"/>
    <w:rsid w:val="008F7622"/>
    <w:rsid w:val="0090311E"/>
    <w:rsid w:val="00903A5F"/>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28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6DCE"/>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7716"/>
    <w:rsid w:val="00CC3EAA"/>
    <w:rsid w:val="00CD3508"/>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BFA"/>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528AC-76AE-4FCC-A305-EFA820ED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uiPriority w:val="99"/>
    <w:rsid w:val="00611DA0"/>
    <w:pPr>
      <w:spacing w:line="210" w:lineRule="exact"/>
    </w:pPr>
    <w:rPr>
      <w:sz w:val="17"/>
      <w:szCs w:val="20"/>
    </w:rPr>
  </w:style>
  <w:style w:type="character" w:customStyle="1" w:styleId="NotedebasdepageCar">
    <w:name w:val="Note de bas de page Car"/>
    <w:aliases w:val="5_G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semiHidden/>
    <w:unhideWhenUsed/>
    <w:rsid w:val="00EF3BFA"/>
    <w:rPr>
      <w:sz w:val="16"/>
      <w:szCs w:val="16"/>
    </w:rPr>
  </w:style>
  <w:style w:type="paragraph" w:styleId="Commentaire">
    <w:name w:val="annotation text"/>
    <w:basedOn w:val="Normal"/>
    <w:link w:val="CommentaireCar"/>
    <w:semiHidden/>
    <w:unhideWhenUsed/>
    <w:rsid w:val="00EF3BFA"/>
    <w:pPr>
      <w:spacing w:line="240" w:lineRule="auto"/>
    </w:pPr>
    <w:rPr>
      <w:szCs w:val="20"/>
    </w:rPr>
  </w:style>
  <w:style w:type="character" w:customStyle="1" w:styleId="CommentaireCar">
    <w:name w:val="Commentaire Car"/>
    <w:basedOn w:val="Policepardfaut"/>
    <w:link w:val="Commentaire"/>
    <w:semiHidden/>
    <w:rsid w:val="00EF3BFA"/>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EF3BFA"/>
    <w:rPr>
      <w:b/>
      <w:bCs/>
    </w:rPr>
  </w:style>
  <w:style w:type="character" w:customStyle="1" w:styleId="ObjetducommentaireCar">
    <w:name w:val="Objet du commentaire Car"/>
    <w:basedOn w:val="CommentaireCar"/>
    <w:link w:val="Objetducommentaire"/>
    <w:uiPriority w:val="99"/>
    <w:semiHidden/>
    <w:rsid w:val="00EF3BF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8537">
      <w:bodyDiv w:val="1"/>
      <w:marLeft w:val="0"/>
      <w:marRight w:val="0"/>
      <w:marTop w:val="0"/>
      <w:marBottom w:val="0"/>
      <w:divBdr>
        <w:top w:val="none" w:sz="0" w:space="0" w:color="auto"/>
        <w:left w:val="none" w:sz="0" w:space="0" w:color="auto"/>
        <w:bottom w:val="none" w:sz="0" w:space="0" w:color="auto"/>
        <w:right w:val="none" w:sz="0" w:space="0" w:color="auto"/>
      </w:divBdr>
    </w:div>
    <w:div w:id="529992729">
      <w:bodyDiv w:val="1"/>
      <w:marLeft w:val="0"/>
      <w:marRight w:val="0"/>
      <w:marTop w:val="0"/>
      <w:marBottom w:val="0"/>
      <w:divBdr>
        <w:top w:val="none" w:sz="0" w:space="0" w:color="auto"/>
        <w:left w:val="none" w:sz="0" w:space="0" w:color="auto"/>
        <w:bottom w:val="none" w:sz="0" w:space="0" w:color="auto"/>
        <w:right w:val="none" w:sz="0" w:space="0" w:color="auto"/>
      </w:divBdr>
    </w:div>
    <w:div w:id="907766904">
      <w:bodyDiv w:val="1"/>
      <w:marLeft w:val="0"/>
      <w:marRight w:val="0"/>
      <w:marTop w:val="0"/>
      <w:marBottom w:val="0"/>
      <w:divBdr>
        <w:top w:val="none" w:sz="0" w:space="0" w:color="auto"/>
        <w:left w:val="none" w:sz="0" w:space="0" w:color="auto"/>
        <w:bottom w:val="none" w:sz="0" w:space="0" w:color="auto"/>
        <w:right w:val="none" w:sz="0" w:space="0" w:color="auto"/>
      </w:divBdr>
    </w:div>
    <w:div w:id="1171606221">
      <w:bodyDiv w:val="1"/>
      <w:marLeft w:val="0"/>
      <w:marRight w:val="0"/>
      <w:marTop w:val="0"/>
      <w:marBottom w:val="0"/>
      <w:divBdr>
        <w:top w:val="none" w:sz="0" w:space="0" w:color="auto"/>
        <w:left w:val="none" w:sz="0" w:space="0" w:color="auto"/>
        <w:bottom w:val="none" w:sz="0" w:space="0" w:color="auto"/>
        <w:right w:val="none" w:sz="0" w:space="0" w:color="auto"/>
      </w:divBdr>
    </w:div>
    <w:div w:id="19278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cid:image001.png@01D0A447.AF11FF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D46E-B2A2-489B-903C-4FC3AD8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5063</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crelier</dc:creator>
  <cp:keywords/>
  <dc:description/>
  <cp:lastModifiedBy>Bénédicte Boudol</cp:lastModifiedBy>
  <cp:revision>2</cp:revision>
  <cp:lastPrinted>2015-12-16T13:15:00Z</cp:lastPrinted>
  <dcterms:created xsi:type="dcterms:W3CDTF">2015-12-21T13:08:00Z</dcterms:created>
  <dcterms:modified xsi:type="dcterms:W3CDTF">2015-12-21T13:08:00Z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1520488F</vt:lpwstr>
  </property>
  <property fmtid="{D5CDD505-2E9C-101B-9397-08002B2CF9AE}" pid="3" name="ODSRefJobNo">
    <vt:lpwstr>1526588F</vt:lpwstr>
  </property>
  <property fmtid="{D5CDD505-2E9C-101B-9397-08002B2CF9AE}" pid="4" name="Symbol1">
    <vt:lpwstr>ECE/TRANS/WP.29/GRRF/2016/12</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161215</vt:lpwstr>
  </property>
</Properties>
</file>