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C7D" w:rsidRDefault="00755C7D" w:rsidP="00755C7D">
      <w:pPr>
        <w:spacing w:line="240" w:lineRule="auto"/>
        <w:rPr>
          <w:sz w:val="2"/>
        </w:rPr>
        <w:sectPr w:rsidR="00755C7D" w:rsidSect="00A4170C">
          <w:headerReference w:type="even" r:id="rId8"/>
          <w:headerReference w:type="default" r:id="rId9"/>
          <w:footerReference w:type="even" r:id="rId10"/>
          <w:footerReference w:type="default" r:id="rId11"/>
          <w:headerReference w:type="first" r:id="rId12"/>
          <w:footerReference w:type="first" r:id="rId13"/>
          <w:pgSz w:w="11909" w:h="16834" w:code="9"/>
          <w:pgMar w:top="1742" w:right="936" w:bottom="1898" w:left="936" w:header="576" w:footer="1030" w:gutter="0"/>
          <w:cols w:space="720"/>
          <w:titlePg/>
          <w:docGrid w:linePitch="360"/>
        </w:sectPr>
      </w:pPr>
      <w:bookmarkStart w:id="0" w:name="_GoBack"/>
      <w:bookmarkEnd w:id="0"/>
    </w:p>
    <w:p w:rsidR="00755C7D" w:rsidRDefault="00755C7D" w:rsidP="00755C7D">
      <w:pPr>
        <w:pStyle w:val="H1"/>
        <w:spacing w:after="120"/>
        <w:rPr>
          <w:sz w:val="28"/>
        </w:rPr>
      </w:pPr>
      <w:r>
        <w:rPr>
          <w:sz w:val="28"/>
        </w:rPr>
        <w:lastRenderedPageBreak/>
        <w:t>Commission économique pour l’Europe</w:t>
      </w:r>
    </w:p>
    <w:p w:rsidR="00755C7D" w:rsidRDefault="00755C7D" w:rsidP="00755C7D">
      <w:pPr>
        <w:pStyle w:val="H1"/>
        <w:spacing w:after="120" w:line="300" w:lineRule="exact"/>
        <w:rPr>
          <w:b w:val="0"/>
          <w:sz w:val="28"/>
        </w:rPr>
      </w:pPr>
      <w:r>
        <w:rPr>
          <w:b w:val="0"/>
          <w:sz w:val="28"/>
        </w:rPr>
        <w:t>Comité des transports intérieurs</w:t>
      </w:r>
    </w:p>
    <w:p w:rsidR="00B531E5" w:rsidRPr="00BF7F98" w:rsidRDefault="00B531E5" w:rsidP="00B531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FR"/>
        </w:rPr>
      </w:pPr>
      <w:r w:rsidRPr="00BF7F98">
        <w:rPr>
          <w:lang w:val="fr-FR"/>
        </w:rPr>
        <w:t>Forum</w:t>
      </w:r>
      <w:r>
        <w:rPr>
          <w:lang w:val="fr-FR"/>
        </w:rPr>
        <w:t xml:space="preserve"> mondial de l’harmonisation des </w:t>
      </w:r>
      <w:r w:rsidRPr="00BF7F98">
        <w:rPr>
          <w:lang w:val="fr-FR"/>
        </w:rPr>
        <w:t xml:space="preserve">Règlements </w:t>
      </w:r>
      <w:r>
        <w:rPr>
          <w:lang w:val="fr-FR"/>
        </w:rPr>
        <w:br/>
      </w:r>
      <w:r w:rsidRPr="00BF7F98">
        <w:rPr>
          <w:lang w:val="fr-FR"/>
        </w:rPr>
        <w:t>concernant les véhicules</w:t>
      </w:r>
    </w:p>
    <w:p w:rsidR="00B531E5" w:rsidRPr="00B531E5" w:rsidRDefault="00B531E5" w:rsidP="00B531E5">
      <w:pPr>
        <w:pStyle w:val="SingleTxt"/>
        <w:spacing w:after="0" w:line="120" w:lineRule="exact"/>
        <w:rPr>
          <w:b/>
          <w:sz w:val="10"/>
          <w:lang w:val="fr-CH"/>
        </w:rPr>
      </w:pPr>
    </w:p>
    <w:p w:rsidR="00B531E5" w:rsidRDefault="00B531E5" w:rsidP="00B531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BF7F98">
        <w:rPr>
          <w:lang w:val="fr-CH"/>
        </w:rPr>
        <w:t>Groupe de travail en matière</w:t>
      </w:r>
      <w:r>
        <w:rPr>
          <w:lang w:val="fr-CH"/>
        </w:rPr>
        <w:t xml:space="preserve"> de roulement et de freinage</w:t>
      </w:r>
    </w:p>
    <w:p w:rsidR="00B531E5" w:rsidRPr="00B531E5" w:rsidRDefault="00B531E5" w:rsidP="00B531E5">
      <w:pPr>
        <w:pStyle w:val="SingleTxt"/>
        <w:spacing w:after="0" w:line="120" w:lineRule="exact"/>
        <w:rPr>
          <w:sz w:val="10"/>
          <w:lang w:val="fr-CH"/>
        </w:rPr>
      </w:pPr>
    </w:p>
    <w:p w:rsidR="00B531E5" w:rsidRPr="00BF7F98" w:rsidRDefault="00B531E5" w:rsidP="00B531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 xml:space="preserve">Quatre vingt </w:t>
      </w:r>
      <w:r w:rsidRPr="00BF7F98">
        <w:rPr>
          <w:lang w:val="fr-CH"/>
        </w:rPr>
        <w:t>unième session</w:t>
      </w:r>
    </w:p>
    <w:p w:rsidR="00B531E5" w:rsidRPr="00BF7F98" w:rsidRDefault="00B531E5" w:rsidP="00B531E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BF7F98">
        <w:rPr>
          <w:lang w:val="fr-CH"/>
        </w:rPr>
        <w:t>Genève, 1</w:t>
      </w:r>
      <w:r w:rsidRPr="00B531E5">
        <w:rPr>
          <w:vertAlign w:val="superscript"/>
          <w:lang w:val="fr-CH"/>
        </w:rPr>
        <w:t>er</w:t>
      </w:r>
      <w:r w:rsidRPr="00BF7F98">
        <w:rPr>
          <w:lang w:val="fr-CH"/>
        </w:rPr>
        <w:t>-5 février 2016</w:t>
      </w:r>
    </w:p>
    <w:p w:rsidR="00B531E5" w:rsidRPr="00BF7F98" w:rsidRDefault="00B531E5" w:rsidP="00B531E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BF7F98">
        <w:rPr>
          <w:lang w:val="fr-CH"/>
        </w:rPr>
        <w:t>Point 10 c) de l’ordre du jour provisoire</w:t>
      </w:r>
    </w:p>
    <w:p w:rsidR="00B531E5" w:rsidRPr="00BF7F98" w:rsidRDefault="00B531E5" w:rsidP="00B531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BF7F98">
        <w:rPr>
          <w:lang w:val="fr-CH"/>
        </w:rPr>
        <w:t xml:space="preserve">Homologation de type internationale de l’ensemble </w:t>
      </w:r>
      <w:r>
        <w:rPr>
          <w:lang w:val="fr-CH"/>
        </w:rPr>
        <w:br/>
      </w:r>
      <w:r w:rsidRPr="00BF7F98">
        <w:rPr>
          <w:lang w:val="fr-CH"/>
        </w:rPr>
        <w:t xml:space="preserve">du véhicule (IWVTA) </w:t>
      </w:r>
      <w:r>
        <w:rPr>
          <w:lang w:val="fr-CH"/>
        </w:rPr>
        <w:t xml:space="preserve">– </w:t>
      </w:r>
      <w:r w:rsidRPr="00BF7F98">
        <w:rPr>
          <w:lang w:val="fr-CH"/>
        </w:rPr>
        <w:t xml:space="preserve">Règlement </w:t>
      </w:r>
      <w:r>
        <w:rPr>
          <w:lang w:val="fr-CH"/>
        </w:rPr>
        <w:t>n</w:t>
      </w:r>
      <w:r w:rsidRPr="00B531E5">
        <w:rPr>
          <w:vertAlign w:val="superscript"/>
          <w:lang w:val="fr-CH"/>
        </w:rPr>
        <w:t>o</w:t>
      </w:r>
      <w:r>
        <w:rPr>
          <w:lang w:val="fr-CH"/>
        </w:rPr>
        <w:t> </w:t>
      </w:r>
      <w:r w:rsidR="00E06B38">
        <w:rPr>
          <w:lang w:val="fr-CH"/>
        </w:rPr>
        <w:t>13-</w:t>
      </w:r>
      <w:r w:rsidRPr="00BF7F98">
        <w:rPr>
          <w:lang w:val="fr-CH"/>
        </w:rPr>
        <w:t>H</w:t>
      </w:r>
    </w:p>
    <w:p w:rsidR="00B531E5" w:rsidRPr="00B531E5" w:rsidRDefault="00B531E5" w:rsidP="00B531E5">
      <w:pPr>
        <w:pStyle w:val="SingleTxt"/>
        <w:spacing w:after="0" w:line="120" w:lineRule="exact"/>
        <w:rPr>
          <w:b/>
          <w:sz w:val="10"/>
          <w:lang w:val="fr-CH"/>
        </w:rPr>
      </w:pPr>
    </w:p>
    <w:p w:rsidR="00B531E5" w:rsidRPr="00B531E5" w:rsidRDefault="00B531E5" w:rsidP="00B531E5">
      <w:pPr>
        <w:pStyle w:val="SingleTxt"/>
        <w:spacing w:after="0" w:line="120" w:lineRule="exact"/>
        <w:rPr>
          <w:b/>
          <w:sz w:val="10"/>
          <w:lang w:val="fr-CH"/>
        </w:rPr>
      </w:pPr>
    </w:p>
    <w:p w:rsidR="00B531E5" w:rsidRPr="00B531E5" w:rsidRDefault="00B531E5" w:rsidP="00B531E5">
      <w:pPr>
        <w:pStyle w:val="SingleTxt"/>
        <w:spacing w:after="0" w:line="120" w:lineRule="exact"/>
        <w:rPr>
          <w:b/>
          <w:sz w:val="10"/>
          <w:lang w:val="fr-CH"/>
        </w:rPr>
      </w:pPr>
    </w:p>
    <w:p w:rsidR="00B531E5" w:rsidRPr="00BF7F98" w:rsidRDefault="00B531E5" w:rsidP="00B531E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7F98">
        <w:rPr>
          <w:lang w:val="fr-CH"/>
        </w:rPr>
        <w:tab/>
      </w:r>
      <w:r w:rsidRPr="00BF7F98">
        <w:rPr>
          <w:lang w:val="fr-CH"/>
        </w:rPr>
        <w:tab/>
        <w:t xml:space="preserve">Proposition d’amendement au Règlement </w:t>
      </w:r>
      <w:r>
        <w:rPr>
          <w:lang w:val="fr-CH"/>
        </w:rPr>
        <w:t>n</w:t>
      </w:r>
      <w:r w:rsidRPr="00B531E5">
        <w:rPr>
          <w:vertAlign w:val="superscript"/>
          <w:lang w:val="fr-CH"/>
        </w:rPr>
        <w:t>o</w:t>
      </w:r>
      <w:r>
        <w:rPr>
          <w:lang w:val="fr-CH"/>
        </w:rPr>
        <w:t> </w:t>
      </w:r>
      <w:r w:rsidRPr="00BF7F98">
        <w:rPr>
          <w:lang w:val="fr-CH"/>
        </w:rPr>
        <w:t xml:space="preserve">13-H </w:t>
      </w:r>
      <w:r>
        <w:rPr>
          <w:lang w:val="fr-CH"/>
        </w:rPr>
        <w:br/>
      </w:r>
      <w:r w:rsidRPr="00BF7F98">
        <w:rPr>
          <w:lang w:val="fr-CH"/>
        </w:rPr>
        <w:t>(Freins des véhicules des catégories M</w:t>
      </w:r>
      <w:r w:rsidRPr="00BF7F98">
        <w:rPr>
          <w:vertAlign w:val="subscript"/>
          <w:lang w:val="fr-CH"/>
        </w:rPr>
        <w:t>1</w:t>
      </w:r>
      <w:r w:rsidRPr="00BF7F98">
        <w:rPr>
          <w:lang w:val="fr-CH"/>
        </w:rPr>
        <w:t xml:space="preserve"> et N</w:t>
      </w:r>
      <w:r w:rsidRPr="00BF7F98">
        <w:rPr>
          <w:vertAlign w:val="subscript"/>
          <w:lang w:val="fr-CH"/>
        </w:rPr>
        <w:t>1</w:t>
      </w:r>
      <w:r w:rsidRPr="00BF7F98">
        <w:rPr>
          <w:lang w:val="fr-CH"/>
        </w:rPr>
        <w:t>)</w:t>
      </w:r>
    </w:p>
    <w:p w:rsidR="00B531E5" w:rsidRPr="00B531E5" w:rsidRDefault="00B531E5" w:rsidP="00B531E5">
      <w:pPr>
        <w:pStyle w:val="SingleTxt"/>
        <w:spacing w:after="0" w:line="120" w:lineRule="exact"/>
        <w:rPr>
          <w:b/>
          <w:sz w:val="10"/>
          <w:lang w:val="fr-CH"/>
        </w:rPr>
      </w:pPr>
    </w:p>
    <w:p w:rsidR="00B531E5" w:rsidRPr="00B531E5" w:rsidRDefault="00B531E5" w:rsidP="00B531E5">
      <w:pPr>
        <w:pStyle w:val="SingleTxt"/>
        <w:spacing w:after="0" w:line="120" w:lineRule="exact"/>
        <w:rPr>
          <w:b/>
          <w:sz w:val="10"/>
          <w:lang w:val="fr-CH"/>
        </w:rPr>
      </w:pPr>
    </w:p>
    <w:p w:rsidR="00B531E5" w:rsidRDefault="00B531E5" w:rsidP="00B531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CH"/>
        </w:rPr>
      </w:pPr>
      <w:r w:rsidRPr="00BF7F98">
        <w:rPr>
          <w:lang w:val="fr-CH"/>
        </w:rPr>
        <w:tab/>
      </w:r>
      <w:r w:rsidRPr="00BF7F98">
        <w:rPr>
          <w:lang w:val="fr-CH"/>
        </w:rPr>
        <w:tab/>
        <w:t>Communication des experts du Royaume-Uni de Grande-Bretagne et d’Irlande du Nord</w:t>
      </w:r>
      <w:r w:rsidRPr="00B531E5">
        <w:rPr>
          <w:rStyle w:val="Appelnotedebasdep"/>
          <w:b w:val="0"/>
          <w:sz w:val="20"/>
          <w:szCs w:val="20"/>
          <w:vertAlign w:val="baseline"/>
          <w:lang w:val="fr-CH"/>
        </w:rPr>
        <w:footnoteReference w:customMarkFollows="1" w:id="1"/>
        <w:t>*</w:t>
      </w:r>
    </w:p>
    <w:p w:rsidR="00B531E5" w:rsidRPr="00B531E5" w:rsidRDefault="00B531E5" w:rsidP="00B531E5">
      <w:pPr>
        <w:pStyle w:val="SingleTxt"/>
        <w:spacing w:after="0" w:line="120" w:lineRule="exact"/>
        <w:rPr>
          <w:sz w:val="10"/>
          <w:lang w:val="fr-CH"/>
        </w:rPr>
      </w:pPr>
    </w:p>
    <w:p w:rsidR="00B531E5" w:rsidRPr="00B531E5" w:rsidRDefault="00B531E5" w:rsidP="00B531E5">
      <w:pPr>
        <w:pStyle w:val="SingleTxt"/>
        <w:spacing w:after="0" w:line="120" w:lineRule="exact"/>
        <w:rPr>
          <w:sz w:val="10"/>
          <w:lang w:val="fr-CH"/>
        </w:rPr>
      </w:pPr>
    </w:p>
    <w:p w:rsidR="00B531E5" w:rsidRPr="00BF7F98" w:rsidRDefault="00B531E5" w:rsidP="00B531E5">
      <w:pPr>
        <w:pStyle w:val="SingleTxt"/>
        <w:rPr>
          <w:lang w:val="fr-CH"/>
        </w:rPr>
      </w:pPr>
      <w:r>
        <w:rPr>
          <w:lang w:val="fr-CH"/>
        </w:rPr>
        <w:tab/>
      </w:r>
      <w:r w:rsidRPr="00BF7F98">
        <w:rPr>
          <w:lang w:val="fr-CH"/>
        </w:rPr>
        <w:t>Le texte ci-après, établi par les experts du Royaume-Uni de Grande-Bretagne et d’Irlande du Nord, propose des dispositions transitoires révisées. Les modifications qu’il est proposé d’apporter au texte actuel du Règlement sont signalées en caractères gras pour les parties nouvelles ou biffés pour les parties supprimées.</w:t>
      </w:r>
    </w:p>
    <w:p w:rsidR="00B531E5" w:rsidRPr="00BF7F98" w:rsidRDefault="00B531E5" w:rsidP="001F590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7F98">
        <w:rPr>
          <w:lang w:val="fr-CH"/>
        </w:rPr>
        <w:br w:type="page"/>
      </w:r>
      <w:r w:rsidRPr="00BF7F98">
        <w:rPr>
          <w:lang w:val="fr-CH"/>
        </w:rPr>
        <w:lastRenderedPageBreak/>
        <w:tab/>
        <w:t>I.</w:t>
      </w:r>
      <w:r w:rsidRPr="00BF7F98">
        <w:rPr>
          <w:lang w:val="fr-CH"/>
        </w:rPr>
        <w:tab/>
        <w:t>Proposition</w:t>
      </w:r>
    </w:p>
    <w:p w:rsidR="001F5903" w:rsidRPr="001F5903" w:rsidRDefault="001F5903" w:rsidP="001F5903">
      <w:pPr>
        <w:pStyle w:val="SingleTxt"/>
        <w:spacing w:after="0" w:line="120" w:lineRule="exact"/>
        <w:rPr>
          <w:bCs/>
          <w:i/>
          <w:sz w:val="10"/>
          <w:lang w:val="fr-CH"/>
        </w:rPr>
      </w:pPr>
    </w:p>
    <w:p w:rsidR="001F5903" w:rsidRPr="001F5903" w:rsidRDefault="001F5903" w:rsidP="001F5903">
      <w:pPr>
        <w:pStyle w:val="SingleTxt"/>
        <w:spacing w:after="0" w:line="120" w:lineRule="exact"/>
        <w:rPr>
          <w:bCs/>
          <w:i/>
          <w:sz w:val="10"/>
          <w:lang w:val="fr-CH"/>
        </w:rPr>
      </w:pPr>
    </w:p>
    <w:p w:rsidR="00B531E5" w:rsidRPr="00BF7F98" w:rsidRDefault="00B531E5" w:rsidP="00B531E5">
      <w:pPr>
        <w:pStyle w:val="SingleTxt"/>
        <w:rPr>
          <w:bCs/>
          <w:lang w:val="fr-CH"/>
        </w:rPr>
      </w:pPr>
      <w:r w:rsidRPr="00BF7F98">
        <w:rPr>
          <w:bCs/>
          <w:i/>
          <w:lang w:val="fr-CH"/>
        </w:rPr>
        <w:t>Ajouter un nouveau paragraphe 1.2.3</w:t>
      </w:r>
      <w:r w:rsidRPr="00BF7F98">
        <w:rPr>
          <w:bCs/>
          <w:lang w:val="fr-CH"/>
        </w:rPr>
        <w:t xml:space="preserve">, ainsi conçu (la note </w:t>
      </w:r>
      <w:r w:rsidR="001F5903">
        <w:rPr>
          <w:bCs/>
          <w:lang w:val="fr-CH"/>
        </w:rPr>
        <w:t>de bas de page reste inchangée) :</w:t>
      </w:r>
    </w:p>
    <w:p w:rsidR="001F5903" w:rsidRPr="001F5903" w:rsidRDefault="001F5903" w:rsidP="00F61CAD">
      <w:pPr>
        <w:pStyle w:val="SingleTxt"/>
        <w:jc w:val="left"/>
        <w:rPr>
          <w:sz w:val="24"/>
          <w:lang w:val="fr-CH"/>
        </w:rPr>
      </w:pPr>
      <w:r w:rsidRPr="001F5903">
        <w:rPr>
          <w:szCs w:val="20"/>
          <w:lang w:val="fr-CH"/>
        </w:rPr>
        <w:t>« </w:t>
      </w:r>
      <w:r w:rsidR="00B531E5" w:rsidRPr="001F5903">
        <w:rPr>
          <w:b/>
          <w:lang w:val="fr-CH"/>
        </w:rPr>
        <w:t xml:space="preserve">1. </w:t>
      </w:r>
      <w:r w:rsidR="00B531E5" w:rsidRPr="001F5903">
        <w:rPr>
          <w:b/>
          <w:lang w:val="fr-CH"/>
        </w:rPr>
        <w:tab/>
      </w:r>
      <w:r w:rsidRPr="001F5903">
        <w:rPr>
          <w:b/>
          <w:lang w:val="fr-CH"/>
        </w:rPr>
        <w:tab/>
      </w:r>
      <w:r w:rsidR="00B531E5" w:rsidRPr="001F5903">
        <w:rPr>
          <w:b/>
          <w:lang w:val="fr-CH"/>
        </w:rPr>
        <w:t>Domaine d’application</w:t>
      </w:r>
      <w:r w:rsidR="00B531E5" w:rsidRPr="00BF7F98">
        <w:rPr>
          <w:lang w:val="fr-CH"/>
        </w:rPr>
        <w:t xml:space="preserve"> </w:t>
      </w:r>
    </w:p>
    <w:p w:rsidR="00B531E5" w:rsidRPr="00BF7F98" w:rsidRDefault="001F5903" w:rsidP="001F5903">
      <w:pPr>
        <w:pStyle w:val="SingleTxt"/>
        <w:ind w:left="2218" w:hanging="951"/>
        <w:rPr>
          <w:lang w:val="fr-CH"/>
        </w:rPr>
      </w:pPr>
      <w:r>
        <w:rPr>
          <w:lang w:val="fr-CH"/>
        </w:rPr>
        <w:t>1.1</w:t>
      </w:r>
      <w:r>
        <w:rPr>
          <w:lang w:val="fr-CH"/>
        </w:rPr>
        <w:tab/>
      </w:r>
      <w:r w:rsidR="00B531E5" w:rsidRPr="00BF7F98">
        <w:rPr>
          <w:lang w:val="fr-CH"/>
        </w:rPr>
        <w:tab/>
        <w:t>Le présent Règlement s’applique au freinage des véhicules des catégories M</w:t>
      </w:r>
      <w:r w:rsidR="00B531E5" w:rsidRPr="00BF7F98">
        <w:rPr>
          <w:vertAlign w:val="subscript"/>
          <w:lang w:val="fr-CH"/>
        </w:rPr>
        <w:t>1</w:t>
      </w:r>
      <w:r w:rsidR="00B531E5" w:rsidRPr="00BF7F98">
        <w:rPr>
          <w:lang w:val="fr-CH"/>
        </w:rPr>
        <w:t xml:space="preserve"> et N</w:t>
      </w:r>
      <w:r w:rsidR="00B531E5" w:rsidRPr="00BF7F98">
        <w:rPr>
          <w:vertAlign w:val="subscript"/>
          <w:lang w:val="fr-CH"/>
        </w:rPr>
        <w:t>1</w:t>
      </w:r>
      <w:r w:rsidR="00B531E5" w:rsidRPr="00BF7F98">
        <w:rPr>
          <w:vertAlign w:val="superscript"/>
          <w:lang w:val="fr-CH"/>
        </w:rPr>
        <w:t>1</w:t>
      </w:r>
      <w:r w:rsidRPr="00A4170C">
        <w:rPr>
          <w:lang w:val="fr-CH"/>
        </w:rPr>
        <w:t>.</w:t>
      </w:r>
    </w:p>
    <w:p w:rsidR="00B531E5" w:rsidRPr="00BF7F98" w:rsidRDefault="001F5903" w:rsidP="00B531E5">
      <w:pPr>
        <w:pStyle w:val="SingleTxt"/>
        <w:rPr>
          <w:lang w:val="fr-CH"/>
        </w:rPr>
      </w:pPr>
      <w:r>
        <w:rPr>
          <w:lang w:val="fr-CH"/>
        </w:rPr>
        <w:t>1.2</w:t>
      </w:r>
      <w:r>
        <w:rPr>
          <w:lang w:val="fr-CH"/>
        </w:rPr>
        <w:tab/>
      </w:r>
      <w:r w:rsidR="00B531E5" w:rsidRPr="00BF7F98">
        <w:rPr>
          <w:lang w:val="fr-CH"/>
        </w:rPr>
        <w:tab/>
        <w:t>Le domaine d’application du pr</w:t>
      </w:r>
      <w:r>
        <w:rPr>
          <w:lang w:val="fr-CH"/>
        </w:rPr>
        <w:t>ésent Règlement ne s’étend pas :</w:t>
      </w:r>
    </w:p>
    <w:p w:rsidR="00B531E5" w:rsidRPr="00BF7F98" w:rsidRDefault="001F5903" w:rsidP="00B531E5">
      <w:pPr>
        <w:pStyle w:val="SingleTxt"/>
        <w:rPr>
          <w:lang w:val="fr-CH"/>
        </w:rPr>
      </w:pPr>
      <w:r>
        <w:rPr>
          <w:lang w:val="fr-CH"/>
        </w:rPr>
        <w:t>1.2.1</w:t>
      </w:r>
      <w:r>
        <w:rPr>
          <w:lang w:val="fr-CH"/>
        </w:rPr>
        <w:tab/>
      </w:r>
      <w:r w:rsidR="00B531E5" w:rsidRPr="00BF7F98">
        <w:rPr>
          <w:lang w:val="fr-CH"/>
        </w:rPr>
        <w:tab/>
        <w:t>Aux véhicules dont, par construction, la vitesse ne peut dépasser 25</w:t>
      </w:r>
      <w:r>
        <w:rPr>
          <w:lang w:val="fr-CH"/>
        </w:rPr>
        <w:t> </w:t>
      </w:r>
      <w:r w:rsidR="00B531E5" w:rsidRPr="00BF7F98">
        <w:rPr>
          <w:lang w:val="fr-CH"/>
        </w:rPr>
        <w:t xml:space="preserve">km/h; </w:t>
      </w:r>
    </w:p>
    <w:p w:rsidR="00B531E5" w:rsidRPr="00BF7F98" w:rsidRDefault="00B531E5" w:rsidP="00B531E5">
      <w:pPr>
        <w:pStyle w:val="SingleTxt"/>
        <w:rPr>
          <w:lang w:val="fr-CH"/>
        </w:rPr>
      </w:pPr>
      <w:r w:rsidRPr="00BF7F98">
        <w:rPr>
          <w:lang w:val="fr-CH"/>
        </w:rPr>
        <w:t>1.2.2</w:t>
      </w:r>
      <w:r w:rsidRPr="00BF7F98">
        <w:rPr>
          <w:lang w:val="fr-CH"/>
        </w:rPr>
        <w:tab/>
      </w:r>
      <w:r w:rsidR="001F5903">
        <w:rPr>
          <w:lang w:val="fr-CH"/>
        </w:rPr>
        <w:tab/>
      </w:r>
      <w:r w:rsidRPr="00BF7F98">
        <w:rPr>
          <w:lang w:val="fr-CH"/>
        </w:rPr>
        <w:t>Aux véhicules aménagés pour être conduits par des invalides.</w:t>
      </w:r>
    </w:p>
    <w:p w:rsidR="00B531E5" w:rsidRPr="00BF7F98" w:rsidRDefault="001F5903" w:rsidP="001F5903">
      <w:pPr>
        <w:pStyle w:val="SingleTxt"/>
        <w:ind w:left="2218" w:hanging="951"/>
        <w:rPr>
          <w:b/>
          <w:lang w:val="fr-CH"/>
        </w:rPr>
      </w:pPr>
      <w:r>
        <w:rPr>
          <w:b/>
          <w:lang w:val="fr-CH"/>
        </w:rPr>
        <w:t>1.2.3</w:t>
      </w:r>
      <w:r>
        <w:rPr>
          <w:b/>
          <w:lang w:val="fr-CH"/>
        </w:rPr>
        <w:tab/>
      </w:r>
      <w:r w:rsidR="00B531E5" w:rsidRPr="00BF7F98">
        <w:rPr>
          <w:b/>
          <w:lang w:val="fr-CH"/>
        </w:rPr>
        <w:tab/>
        <w:t>À l’homologation des systèmes de contrôle électronique de la stabilité (ESC) et d’assistance au freinage d’urgence (AFU) du véhicule.</w:t>
      </w:r>
      <w:r>
        <w:rPr>
          <w:lang w:val="fr-CH"/>
        </w:rPr>
        <w:t> »</w:t>
      </w:r>
      <w:r w:rsidR="00B531E5" w:rsidRPr="00BF7F98">
        <w:rPr>
          <w:lang w:val="fr-CH"/>
        </w:rPr>
        <w:t>.</w:t>
      </w:r>
    </w:p>
    <w:p w:rsidR="00B531E5" w:rsidRPr="00BF7F98" w:rsidRDefault="00B531E5" w:rsidP="00B531E5">
      <w:pPr>
        <w:pStyle w:val="SingleTxt"/>
        <w:rPr>
          <w:lang w:val="fr-CH"/>
        </w:rPr>
      </w:pPr>
      <w:r w:rsidRPr="00BF7F98">
        <w:rPr>
          <w:i/>
          <w:lang w:val="fr-CH"/>
        </w:rPr>
        <w:t>Paragraphe 12</w:t>
      </w:r>
      <w:r w:rsidRPr="00BF7F98">
        <w:rPr>
          <w:lang w:val="fr-CH"/>
        </w:rPr>
        <w:t>, modifier comme suit (supprime</w:t>
      </w:r>
      <w:r w:rsidR="00C469F7">
        <w:rPr>
          <w:lang w:val="fr-CH"/>
        </w:rPr>
        <w:t>r tous les anciens paragraphes) :</w:t>
      </w:r>
    </w:p>
    <w:p w:rsidR="00B531E5" w:rsidRPr="00BF7F98" w:rsidRDefault="00C469F7" w:rsidP="00F61CAD">
      <w:pPr>
        <w:pStyle w:val="SingleTxt"/>
        <w:jc w:val="left"/>
        <w:rPr>
          <w:b/>
          <w:lang w:val="fr-CH"/>
        </w:rPr>
      </w:pPr>
      <w:r>
        <w:rPr>
          <w:lang w:val="fr-CH"/>
        </w:rPr>
        <w:t>« </w:t>
      </w:r>
      <w:r w:rsidR="00B531E5" w:rsidRPr="00BF7F98">
        <w:rPr>
          <w:b/>
          <w:lang w:val="fr-CH"/>
        </w:rPr>
        <w:t>12</w:t>
      </w:r>
      <w:r w:rsidR="00B531E5" w:rsidRPr="00BF7F98">
        <w:rPr>
          <w:b/>
          <w:lang w:val="fr-CH"/>
        </w:rPr>
        <w:tab/>
      </w:r>
      <w:r>
        <w:rPr>
          <w:b/>
          <w:lang w:val="fr-CH"/>
        </w:rPr>
        <w:tab/>
      </w:r>
      <w:r w:rsidR="00F61CAD">
        <w:rPr>
          <w:b/>
          <w:lang w:val="fr-CH"/>
        </w:rPr>
        <w:t>Dispositions transitoires</w:t>
      </w:r>
    </w:p>
    <w:p w:rsidR="00B531E5" w:rsidRPr="00BF7F98" w:rsidRDefault="00B531E5" w:rsidP="00C469F7">
      <w:pPr>
        <w:pStyle w:val="SingleTxt"/>
        <w:ind w:left="2218" w:hanging="951"/>
        <w:rPr>
          <w:lang w:val="fr-CH"/>
        </w:rPr>
      </w:pPr>
      <w:r w:rsidRPr="00BF7F98">
        <w:rPr>
          <w:lang w:val="fr-CH"/>
        </w:rPr>
        <w:t>12.1</w:t>
      </w:r>
      <w:r w:rsidRPr="00BF7F98">
        <w:rPr>
          <w:lang w:val="fr-CH"/>
        </w:rPr>
        <w:tab/>
      </w:r>
      <w:r w:rsidR="00C469F7">
        <w:rPr>
          <w:lang w:val="fr-CH"/>
        </w:rPr>
        <w:tab/>
      </w:r>
      <w:r w:rsidRPr="00BF7F98">
        <w:rPr>
          <w:lang w:val="fr-CH"/>
        </w:rPr>
        <w:t>À compter du [1</w:t>
      </w:r>
      <w:r w:rsidRPr="00BF7F98">
        <w:rPr>
          <w:vertAlign w:val="superscript"/>
          <w:lang w:val="fr-CH"/>
        </w:rPr>
        <w:t>er</w:t>
      </w:r>
      <w:r w:rsidR="00C469F7">
        <w:rPr>
          <w:lang w:val="fr-CH"/>
        </w:rPr>
        <w:t> </w:t>
      </w:r>
      <w:r w:rsidRPr="00BF7F98">
        <w:rPr>
          <w:lang w:val="fr-CH"/>
        </w:rPr>
        <w:t xml:space="preserve">septembre 2017], aucune Partie contractante appliquant le présent Règlement ne doit refuser d’accorder </w:t>
      </w:r>
      <w:r w:rsidRPr="00BF7F98">
        <w:rPr>
          <w:b/>
          <w:lang w:val="fr-CH"/>
        </w:rPr>
        <w:t xml:space="preserve">ou d’accepter </w:t>
      </w:r>
      <w:r w:rsidRPr="00BF7F98">
        <w:rPr>
          <w:lang w:val="fr-CH"/>
        </w:rPr>
        <w:t>des homologations de type au titre du présent règlement tel qu’il est modifié par la série 01 d’amendements.</w:t>
      </w:r>
    </w:p>
    <w:p w:rsidR="00B531E5" w:rsidRPr="00BF7F98" w:rsidRDefault="00B531E5" w:rsidP="00C469F7">
      <w:pPr>
        <w:pStyle w:val="SingleTxt"/>
        <w:ind w:left="2218" w:hanging="951"/>
        <w:rPr>
          <w:lang w:val="fr-CH"/>
        </w:rPr>
      </w:pPr>
      <w:r w:rsidRPr="00BF7F98">
        <w:rPr>
          <w:lang w:val="fr-CH"/>
        </w:rPr>
        <w:t>12.2</w:t>
      </w:r>
      <w:r w:rsidRPr="00BF7F98">
        <w:rPr>
          <w:lang w:val="fr-CH"/>
        </w:rPr>
        <w:tab/>
      </w:r>
      <w:r w:rsidR="00C469F7">
        <w:rPr>
          <w:lang w:val="fr-CH"/>
        </w:rPr>
        <w:tab/>
      </w:r>
      <w:r w:rsidRPr="00BF7F98">
        <w:rPr>
          <w:lang w:val="fr-CH"/>
        </w:rPr>
        <w:t>Même après le 1</w:t>
      </w:r>
      <w:r w:rsidRPr="00BF7F98">
        <w:rPr>
          <w:vertAlign w:val="superscript"/>
          <w:lang w:val="fr-CH"/>
        </w:rPr>
        <w:t>er</w:t>
      </w:r>
      <w:r w:rsidR="00C469F7">
        <w:rPr>
          <w:lang w:val="fr-CH"/>
        </w:rPr>
        <w:t> </w:t>
      </w:r>
      <w:r w:rsidRPr="00BF7F98">
        <w:rPr>
          <w:lang w:val="fr-CH"/>
        </w:rPr>
        <w:t xml:space="preserve">septembre 2017, </w:t>
      </w:r>
      <w:r w:rsidRPr="00BF7F98">
        <w:rPr>
          <w:b/>
          <w:lang w:val="fr-CH"/>
        </w:rPr>
        <w:t>les Parties contractantes</w:t>
      </w:r>
      <w:r w:rsidRPr="00BF7F98">
        <w:rPr>
          <w:lang w:val="fr-CH"/>
        </w:rPr>
        <w:t xml:space="preserve"> appliquant le présent règlement doivent continuer à accepter les homologations de type accordées au titre de la série 00 d’amendements au présent Règlement.  </w:t>
      </w:r>
    </w:p>
    <w:p w:rsidR="00B531E5" w:rsidRPr="00BF7F98" w:rsidRDefault="00C469F7" w:rsidP="00C469F7">
      <w:pPr>
        <w:pStyle w:val="SingleTxt"/>
        <w:ind w:left="2218" w:hanging="951"/>
        <w:rPr>
          <w:lang w:val="fr-CH"/>
        </w:rPr>
      </w:pPr>
      <w:r>
        <w:rPr>
          <w:lang w:val="fr-CH"/>
        </w:rPr>
        <w:tab/>
      </w:r>
      <w:r>
        <w:rPr>
          <w:lang w:val="fr-CH"/>
        </w:rPr>
        <w:tab/>
      </w:r>
      <w:r w:rsidR="00B531E5" w:rsidRPr="00BF7F98">
        <w:rPr>
          <w:lang w:val="fr-CH"/>
        </w:rPr>
        <w:t>Toutefois, les Parties contractantes appliquant le présent règlement ne sont pas tenues d’accepter, aux fins d’une homologation de type nationale ou régionale, les homologations de type délivrées au titre de la série 00 d’amendements au présent règlement à des types de véhicule qui ne sont pas équipés d’une fonction de contrôle de stabilité ou d’un système de contrôle électronique de la stabilité (ESC) et d’un système d’assistance au freinage d’urgence (AFU).</w:t>
      </w:r>
    </w:p>
    <w:p w:rsidR="00B531E5" w:rsidRPr="00C469F7" w:rsidRDefault="00B531E5" w:rsidP="00C469F7">
      <w:pPr>
        <w:pStyle w:val="SingleTxt"/>
        <w:ind w:left="2218" w:hanging="951"/>
        <w:rPr>
          <w:strike/>
          <w:lang w:val="fr-CH"/>
        </w:rPr>
      </w:pPr>
      <w:r w:rsidRPr="00BF7F98">
        <w:rPr>
          <w:lang w:val="fr-CH"/>
        </w:rPr>
        <w:t>12.3</w:t>
      </w:r>
      <w:r w:rsidRPr="00BF7F98">
        <w:rPr>
          <w:lang w:val="fr-CH"/>
        </w:rPr>
        <w:tab/>
      </w:r>
      <w:r w:rsidR="00C469F7">
        <w:rPr>
          <w:lang w:val="fr-CH"/>
        </w:rPr>
        <w:tab/>
      </w:r>
      <w:r w:rsidRPr="00C469F7">
        <w:rPr>
          <w:strike/>
          <w:lang w:val="fr-CH"/>
        </w:rPr>
        <w:t>À compter du [date d’entrée en vigueur de la série 01 d’amendements au présent règlement/1</w:t>
      </w:r>
      <w:r w:rsidRPr="00C469F7">
        <w:rPr>
          <w:strike/>
          <w:vertAlign w:val="superscript"/>
          <w:lang w:val="fr-CH"/>
        </w:rPr>
        <w:t>er</w:t>
      </w:r>
      <w:r w:rsidR="00C469F7" w:rsidRPr="00C469F7">
        <w:rPr>
          <w:strike/>
          <w:lang w:val="fr-CH"/>
        </w:rPr>
        <w:t> </w:t>
      </w:r>
      <w:r w:rsidRPr="00C469F7">
        <w:rPr>
          <w:strike/>
          <w:lang w:val="fr-CH"/>
        </w:rPr>
        <w:t xml:space="preserve">septembre 2017], aucune Partie contractante appliquant le présent règlement n’est tenue d’accepter des homologations de type accordées au titre du présent règlement tel qu’il est modifié par la série 01 d’amendements </w:t>
      </w:r>
      <w:r w:rsidRPr="00C469F7">
        <w:rPr>
          <w:b/>
          <w:strike/>
          <w:lang w:val="fr-CH"/>
        </w:rPr>
        <w:t>[à moins que le véhicule soit aussi homologué au titre du règlement [AFU] et/ou du règlement [ESC]]</w:t>
      </w:r>
      <w:r w:rsidRPr="00C469F7">
        <w:rPr>
          <w:strike/>
          <w:lang w:val="fr-CH"/>
        </w:rPr>
        <w:t xml:space="preserve">. </w:t>
      </w:r>
    </w:p>
    <w:p w:rsidR="00B531E5" w:rsidRPr="00C469F7" w:rsidRDefault="00B531E5" w:rsidP="00C469F7">
      <w:pPr>
        <w:pStyle w:val="SingleTxt"/>
        <w:ind w:left="2218" w:hanging="951"/>
        <w:rPr>
          <w:strike/>
          <w:lang w:val="fr-CH"/>
        </w:rPr>
      </w:pPr>
      <w:r w:rsidRPr="00C469F7">
        <w:rPr>
          <w:strike/>
          <w:lang w:val="fr-CH"/>
        </w:rPr>
        <w:t>12.4</w:t>
      </w:r>
      <w:r w:rsidRPr="00C469F7">
        <w:rPr>
          <w:strike/>
          <w:lang w:val="fr-CH"/>
        </w:rPr>
        <w:tab/>
      </w:r>
      <w:r w:rsidR="00C469F7" w:rsidRPr="00C469F7">
        <w:rPr>
          <w:strike/>
          <w:lang w:val="fr-CH"/>
        </w:rPr>
        <w:tab/>
      </w:r>
      <w:r w:rsidRPr="00C469F7">
        <w:rPr>
          <w:strike/>
          <w:lang w:val="fr-CH"/>
        </w:rPr>
        <w:t>À compter du 15</w:t>
      </w:r>
      <w:r w:rsidR="00C469F7" w:rsidRPr="00C469F7">
        <w:rPr>
          <w:strike/>
          <w:lang w:val="fr-CH"/>
        </w:rPr>
        <w:t> </w:t>
      </w:r>
      <w:r w:rsidRPr="00C469F7">
        <w:rPr>
          <w:strike/>
          <w:lang w:val="fr-CH"/>
        </w:rPr>
        <w:t>juin 2017, les Parties contractantes appliquant le présent règlement ne doivent continuer à accorder des homologations de type au titre de série 00 d’amendements que si le type de véhicule à homologuer satisfait aux prescriptions du complément 16 à la version originale du présent Règlement.</w:t>
      </w:r>
    </w:p>
    <w:p w:rsidR="00B531E5" w:rsidRPr="00BF7F98" w:rsidRDefault="00B531E5" w:rsidP="00C469F7">
      <w:pPr>
        <w:pStyle w:val="SingleTxt"/>
        <w:ind w:left="2218" w:hanging="951"/>
        <w:rPr>
          <w:lang w:val="fr-CH"/>
        </w:rPr>
      </w:pPr>
      <w:r w:rsidRPr="00BF7F98">
        <w:rPr>
          <w:lang w:val="fr-CH"/>
        </w:rPr>
        <w:t>12.5</w:t>
      </w:r>
      <w:r w:rsidRPr="00BF7F98">
        <w:rPr>
          <w:lang w:val="fr-CH"/>
        </w:rPr>
        <w:tab/>
      </w:r>
      <w:r w:rsidR="00C469F7">
        <w:rPr>
          <w:lang w:val="fr-CH"/>
        </w:rPr>
        <w:tab/>
      </w:r>
      <w:r w:rsidRPr="00BF7F98">
        <w:rPr>
          <w:lang w:val="fr-CH"/>
        </w:rPr>
        <w:t>À compter du [</w:t>
      </w:r>
      <w:r w:rsidRPr="00C469F7">
        <w:rPr>
          <w:strike/>
          <w:lang w:val="fr-CH"/>
        </w:rPr>
        <w:t>date d’entrée en vigueur de la série 01 d’amendements/</w:t>
      </w:r>
      <w:r w:rsidR="00C469F7">
        <w:rPr>
          <w:strike/>
          <w:lang w:val="fr-CH"/>
        </w:rPr>
        <w:t xml:space="preserve"> </w:t>
      </w:r>
      <w:r w:rsidRPr="00BF7F98">
        <w:rPr>
          <w:lang w:val="fr-CH"/>
        </w:rPr>
        <w:t>1</w:t>
      </w:r>
      <w:r w:rsidRPr="00BF7F98">
        <w:rPr>
          <w:vertAlign w:val="superscript"/>
          <w:lang w:val="fr-CH"/>
        </w:rPr>
        <w:t>er</w:t>
      </w:r>
      <w:r w:rsidR="00C469F7">
        <w:rPr>
          <w:lang w:val="fr-CH"/>
        </w:rPr>
        <w:t> </w:t>
      </w:r>
      <w:r w:rsidRPr="00BF7F98">
        <w:rPr>
          <w:lang w:val="fr-CH"/>
        </w:rPr>
        <w:t>septembre 2017], les Parties contractantes appliquant le présent règlement ne doivent à accorder des homologations de type que si le type de véhicule à homologuer satisfait aux prescriptions du présent règlement tel qu’il est modifié par la série 01 d’amendements.</w:t>
      </w:r>
    </w:p>
    <w:p w:rsidR="00B531E5" w:rsidRPr="00BF7F98" w:rsidRDefault="00B531E5" w:rsidP="00334366">
      <w:pPr>
        <w:pStyle w:val="SingleTxt"/>
        <w:keepLines/>
        <w:ind w:left="2217" w:hanging="950"/>
        <w:rPr>
          <w:lang w:val="fr-CH"/>
        </w:rPr>
      </w:pPr>
      <w:r w:rsidRPr="00BF7F98">
        <w:rPr>
          <w:lang w:val="fr-CH"/>
        </w:rPr>
        <w:lastRenderedPageBreak/>
        <w:t>12.6</w:t>
      </w:r>
      <w:r w:rsidRPr="00BF7F98">
        <w:rPr>
          <w:lang w:val="fr-CH"/>
        </w:rPr>
        <w:tab/>
      </w:r>
      <w:r w:rsidR="00C469F7">
        <w:rPr>
          <w:lang w:val="fr-CH"/>
        </w:rPr>
        <w:tab/>
      </w:r>
      <w:r w:rsidRPr="00BF7F98">
        <w:rPr>
          <w:lang w:val="fr-CH"/>
        </w:rPr>
        <w:t>Les Parties contractantes appliquant le présent règlement ne doivent pas refuser d’accorder des extensions d’homologation de type à des types de véhicules existants, qu’ils soient équipés ou non d’une fonction de contrôle de stabilité ou d’un système de contrôle électronique de la stabilité (ESC) et d’un système d’aide au freinage d’urgence (AFU), en application des prescriptions en vigueur à la date de l’homologation d’origine.</w:t>
      </w:r>
      <w:r w:rsidR="00F61CAD">
        <w:rPr>
          <w:lang w:val="fr-CH"/>
        </w:rPr>
        <w:t> »</w:t>
      </w:r>
      <w:r w:rsidRPr="00BF7F98">
        <w:rPr>
          <w:lang w:val="fr-CH"/>
        </w:rPr>
        <w:t>.</w:t>
      </w:r>
    </w:p>
    <w:p w:rsidR="00F61CAD" w:rsidRPr="00F61CAD" w:rsidRDefault="00F61CAD" w:rsidP="00F61CAD">
      <w:pPr>
        <w:pStyle w:val="SingleTxt"/>
        <w:spacing w:after="0" w:line="120" w:lineRule="exact"/>
        <w:rPr>
          <w:b/>
          <w:sz w:val="10"/>
          <w:lang w:val="fr-CH"/>
        </w:rPr>
      </w:pPr>
    </w:p>
    <w:p w:rsidR="00F61CAD" w:rsidRPr="00F61CAD" w:rsidRDefault="00F61CAD" w:rsidP="00F61CAD">
      <w:pPr>
        <w:pStyle w:val="SingleTxt"/>
        <w:spacing w:after="0" w:line="120" w:lineRule="exact"/>
        <w:rPr>
          <w:b/>
          <w:sz w:val="10"/>
          <w:lang w:val="fr-CH"/>
        </w:rPr>
      </w:pPr>
    </w:p>
    <w:p w:rsidR="00B531E5" w:rsidRPr="00BF7F98" w:rsidRDefault="00B531E5" w:rsidP="00F61CA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7F98">
        <w:rPr>
          <w:lang w:val="fr-CH"/>
        </w:rPr>
        <w:tab/>
        <w:t>II.</w:t>
      </w:r>
      <w:r w:rsidRPr="00BF7F98">
        <w:rPr>
          <w:lang w:val="fr-CH"/>
        </w:rPr>
        <w:tab/>
        <w:t>Justification</w:t>
      </w:r>
    </w:p>
    <w:p w:rsidR="00F61CAD" w:rsidRPr="00F61CAD" w:rsidRDefault="00F61CAD" w:rsidP="00F61CAD">
      <w:pPr>
        <w:pStyle w:val="SingleTxt"/>
        <w:spacing w:after="0" w:line="120" w:lineRule="exact"/>
        <w:rPr>
          <w:sz w:val="10"/>
          <w:lang w:val="fr-CH"/>
        </w:rPr>
      </w:pPr>
    </w:p>
    <w:p w:rsidR="00F61CAD" w:rsidRPr="00F61CAD" w:rsidRDefault="00F61CAD" w:rsidP="00F61CAD">
      <w:pPr>
        <w:pStyle w:val="SingleTxt"/>
        <w:spacing w:after="0" w:line="120" w:lineRule="exact"/>
        <w:rPr>
          <w:sz w:val="10"/>
          <w:lang w:val="fr-CH"/>
        </w:rPr>
      </w:pPr>
    </w:p>
    <w:p w:rsidR="00F61CAD" w:rsidRDefault="00B531E5" w:rsidP="00B531E5">
      <w:pPr>
        <w:pStyle w:val="SingleTxt"/>
        <w:numPr>
          <w:ilvl w:val="0"/>
          <w:numId w:val="6"/>
        </w:numPr>
        <w:tabs>
          <w:tab w:val="clear" w:pos="475"/>
          <w:tab w:val="num" w:pos="1742"/>
        </w:tabs>
        <w:ind w:left="1267"/>
        <w:rPr>
          <w:lang w:val="fr-CH"/>
        </w:rPr>
      </w:pPr>
      <w:r w:rsidRPr="00BF7F98">
        <w:rPr>
          <w:lang w:val="fr-CH"/>
        </w:rPr>
        <w:t>Paragraphe 1 (domaine d’applicatio</w:t>
      </w:r>
      <w:r w:rsidR="00F61CAD">
        <w:rPr>
          <w:lang w:val="fr-CH"/>
        </w:rPr>
        <w:t>n)</w:t>
      </w:r>
      <w:r w:rsidR="00A4170C">
        <w:rPr>
          <w:lang w:val="fr-CH"/>
        </w:rPr>
        <w:t> :</w:t>
      </w:r>
      <w:r w:rsidR="00F61CAD">
        <w:rPr>
          <w:lang w:val="fr-CH"/>
        </w:rPr>
        <w:t xml:space="preserve"> l’ajout proposé de l’alinéa </w:t>
      </w:r>
      <w:r w:rsidRPr="00BF7F98">
        <w:rPr>
          <w:lang w:val="fr-CH"/>
        </w:rPr>
        <w:t>1.2.3 précise à l’intention des autorités d’homologation que la nouvelle version du règlement ne porte plus sur les systèmes de contrôle électronique de la stabilité (ESC) et d’assistance au freinage d’urgence (AFU).</w:t>
      </w:r>
    </w:p>
    <w:p w:rsidR="00F61CAD" w:rsidRDefault="00B531E5" w:rsidP="00B531E5">
      <w:pPr>
        <w:pStyle w:val="SingleTxt"/>
        <w:numPr>
          <w:ilvl w:val="0"/>
          <w:numId w:val="6"/>
        </w:numPr>
        <w:tabs>
          <w:tab w:val="clear" w:pos="475"/>
          <w:tab w:val="num" w:pos="1742"/>
        </w:tabs>
        <w:ind w:left="1267"/>
        <w:rPr>
          <w:lang w:val="fr-CH"/>
        </w:rPr>
      </w:pPr>
      <w:r w:rsidRPr="00F61CAD">
        <w:rPr>
          <w:lang w:val="fr-CH"/>
        </w:rPr>
        <w:t>Par souci de clarté, il convient d’indiquer que le paragraphe 12</w:t>
      </w:r>
      <w:r w:rsidR="00F61CAD">
        <w:rPr>
          <w:lang w:val="fr-CH"/>
        </w:rPr>
        <w:t xml:space="preserve"> proposé remplace le paragraphe </w:t>
      </w:r>
      <w:r w:rsidRPr="00F61CAD">
        <w:rPr>
          <w:lang w:val="fr-CH"/>
        </w:rPr>
        <w:t>12 act</w:t>
      </w:r>
      <w:r w:rsidR="00F61CAD">
        <w:rPr>
          <w:lang w:val="fr-CH"/>
        </w:rPr>
        <w:t>uel introduit par le complément </w:t>
      </w:r>
      <w:r w:rsidRPr="00F61CAD">
        <w:rPr>
          <w:lang w:val="fr-CH"/>
        </w:rPr>
        <w:t xml:space="preserve">16 à la version originale du Règlement </w:t>
      </w:r>
      <w:r w:rsidR="00F61CAD">
        <w:rPr>
          <w:lang w:val="fr-CH"/>
        </w:rPr>
        <w:t>n</w:t>
      </w:r>
      <w:r w:rsidR="00F61CAD" w:rsidRPr="00F61CAD">
        <w:rPr>
          <w:vertAlign w:val="superscript"/>
          <w:lang w:val="fr-CH"/>
        </w:rPr>
        <w:t>o</w:t>
      </w:r>
      <w:r w:rsidR="00F61CAD">
        <w:rPr>
          <w:lang w:val="fr-CH"/>
        </w:rPr>
        <w:t> </w:t>
      </w:r>
      <w:r w:rsidRPr="00F61CAD">
        <w:rPr>
          <w:lang w:val="fr-CH"/>
        </w:rPr>
        <w:t xml:space="preserve">H-13 </w:t>
      </w:r>
      <w:r w:rsidR="00F61CAD">
        <w:rPr>
          <w:iCs/>
          <w:lang w:val="fr-CH"/>
        </w:rPr>
        <w:t>(ECE/TRANS/WP.29/2014/</w:t>
      </w:r>
      <w:r w:rsidRPr="00F61CAD">
        <w:rPr>
          <w:iCs/>
          <w:lang w:val="fr-CH"/>
        </w:rPr>
        <w:t>46/Rev.1).</w:t>
      </w:r>
    </w:p>
    <w:p w:rsidR="00334366" w:rsidRDefault="00B531E5" w:rsidP="00B531E5">
      <w:pPr>
        <w:pStyle w:val="SingleTxt"/>
        <w:numPr>
          <w:ilvl w:val="0"/>
          <w:numId w:val="6"/>
        </w:numPr>
        <w:tabs>
          <w:tab w:val="clear" w:pos="475"/>
          <w:tab w:val="num" w:pos="1742"/>
        </w:tabs>
        <w:ind w:left="1267"/>
        <w:rPr>
          <w:lang w:val="fr-CH"/>
        </w:rPr>
      </w:pPr>
      <w:r w:rsidRPr="00F61CAD">
        <w:rPr>
          <w:lang w:val="fr-CH"/>
        </w:rPr>
        <w:t xml:space="preserve">La scission du Règlement </w:t>
      </w:r>
      <w:r w:rsidR="00F61CAD">
        <w:rPr>
          <w:lang w:val="fr-CH"/>
        </w:rPr>
        <w:t>n</w:t>
      </w:r>
      <w:r w:rsidR="00F61CAD" w:rsidRPr="00F61CAD">
        <w:rPr>
          <w:vertAlign w:val="superscript"/>
          <w:lang w:val="fr-CH"/>
        </w:rPr>
        <w:t>o</w:t>
      </w:r>
      <w:r w:rsidR="00F61CAD">
        <w:rPr>
          <w:lang w:val="fr-CH"/>
        </w:rPr>
        <w:t> </w:t>
      </w:r>
      <w:r w:rsidRPr="00F61CAD">
        <w:rPr>
          <w:lang w:val="fr-CH"/>
        </w:rPr>
        <w:t xml:space="preserve">13-H en trois Règlements distincts sur le freinage, les systèmes d’assistance au freinage d’urgence (AFU) et les systèmes de contrôle électronique de la stabilité (ESC) imposera aux Parties contractantes qui rendent obligatoire l’un ou l’autre de ces deux systèmes de prendre en temps voulu les mesures nécessaires pour que les trois règlements susmentionnés soient inclus dans leur liste nationale/régionale de réglementations obligatoires à des fins d’homologation nationale/régionale. Les Parties contractantes doivent être informées de la nécessité d’une telle action législative, mais cela ne peut pas se faire dans le cadre des dispositions de la série 01 d’amendements au Règlement </w:t>
      </w:r>
      <w:r w:rsidR="00F61CAD">
        <w:rPr>
          <w:lang w:val="fr-CH"/>
        </w:rPr>
        <w:t>n</w:t>
      </w:r>
      <w:r w:rsidR="00F61CAD" w:rsidRPr="00F61CAD">
        <w:rPr>
          <w:vertAlign w:val="superscript"/>
          <w:lang w:val="fr-CH"/>
        </w:rPr>
        <w:t>o</w:t>
      </w:r>
      <w:r w:rsidR="00F61CAD">
        <w:rPr>
          <w:lang w:val="fr-CH"/>
        </w:rPr>
        <w:t> </w:t>
      </w:r>
      <w:r w:rsidRPr="00F61CAD">
        <w:rPr>
          <w:lang w:val="fr-CH"/>
        </w:rPr>
        <w:t>13-H.</w:t>
      </w:r>
    </w:p>
    <w:p w:rsidR="00334366" w:rsidRDefault="00B531E5" w:rsidP="00B531E5">
      <w:pPr>
        <w:pStyle w:val="SingleTxt"/>
        <w:numPr>
          <w:ilvl w:val="0"/>
          <w:numId w:val="6"/>
        </w:numPr>
        <w:tabs>
          <w:tab w:val="clear" w:pos="475"/>
          <w:tab w:val="num" w:pos="1742"/>
        </w:tabs>
        <w:ind w:left="1267"/>
        <w:rPr>
          <w:lang w:val="fr-CH"/>
        </w:rPr>
      </w:pPr>
      <w:r w:rsidRPr="00334366">
        <w:rPr>
          <w:lang w:val="fr-CH"/>
        </w:rPr>
        <w:t>Le fait de laisser un certain délai pour la mise en œuvre de la série 01 d’amendements donnerait le temps aux Parties contractantes de prendre les mesures législatives qui s’imposent.</w:t>
      </w:r>
    </w:p>
    <w:p w:rsidR="00334366" w:rsidRDefault="00B531E5" w:rsidP="00B531E5">
      <w:pPr>
        <w:pStyle w:val="SingleTxt"/>
        <w:numPr>
          <w:ilvl w:val="0"/>
          <w:numId w:val="6"/>
        </w:numPr>
        <w:tabs>
          <w:tab w:val="clear" w:pos="475"/>
          <w:tab w:val="num" w:pos="1742"/>
        </w:tabs>
        <w:ind w:left="1267"/>
        <w:rPr>
          <w:lang w:val="fr-CH"/>
        </w:rPr>
      </w:pPr>
      <w:r w:rsidRPr="00334366">
        <w:rPr>
          <w:lang w:val="fr-CH"/>
        </w:rPr>
        <w:t>La date d’entrée en vigueur de la série 01 d’amendements peut être choisie en tenant comp</w:t>
      </w:r>
      <w:r w:rsidR="00334366">
        <w:rPr>
          <w:lang w:val="fr-CH"/>
        </w:rPr>
        <w:t>te des considérations suivantes :</w:t>
      </w:r>
    </w:p>
    <w:p w:rsidR="00B531E5" w:rsidRPr="00BF7F98" w:rsidRDefault="00334366" w:rsidP="00B531E5">
      <w:pPr>
        <w:pStyle w:val="SingleTxt"/>
        <w:rPr>
          <w:lang w:val="fr-CH"/>
        </w:rPr>
      </w:pPr>
      <w:r>
        <w:rPr>
          <w:lang w:val="fr-CH"/>
        </w:rPr>
        <w:tab/>
      </w:r>
      <w:r w:rsidR="00B531E5" w:rsidRPr="00334366">
        <w:rPr>
          <w:lang w:val="fr-CH"/>
        </w:rPr>
        <w:t>a)</w:t>
      </w:r>
      <w:r w:rsidR="00B531E5" w:rsidRPr="00334366">
        <w:rPr>
          <w:lang w:val="fr-CH"/>
        </w:rPr>
        <w:tab/>
        <w:t>Les Règlements distincts sur le système de contrôle électronique de la stabilité (ESC) et sur le système d’aide au freinage d’urgence (AUF) sont déjà entrés en vigueur;</w:t>
      </w:r>
    </w:p>
    <w:p w:rsidR="00B531E5" w:rsidRPr="00BF7F98" w:rsidRDefault="00334366" w:rsidP="00B531E5">
      <w:pPr>
        <w:pStyle w:val="SingleTxt"/>
        <w:rPr>
          <w:lang w:val="fr-CH"/>
        </w:rPr>
      </w:pPr>
      <w:r>
        <w:rPr>
          <w:lang w:val="fr-CH"/>
        </w:rPr>
        <w:tab/>
      </w:r>
      <w:r w:rsidR="00B531E5" w:rsidRPr="00BF7F98">
        <w:rPr>
          <w:lang w:val="fr-CH"/>
        </w:rPr>
        <w:t>b)</w:t>
      </w:r>
      <w:r w:rsidR="00B531E5" w:rsidRPr="00BF7F98">
        <w:rPr>
          <w:lang w:val="fr-CH"/>
        </w:rPr>
        <w:tab/>
        <w:t>Le processus de transposition de ces deux Règlements dans la législation nationale/régionale touche à sa fin. Une date estimée d’entrée en vigueur  pourrait être fixée par les Parties contractantes.</w:t>
      </w:r>
    </w:p>
    <w:p w:rsidR="00334366" w:rsidRDefault="00B531E5" w:rsidP="00B531E5">
      <w:pPr>
        <w:pStyle w:val="SingleTxt"/>
        <w:numPr>
          <w:ilvl w:val="0"/>
          <w:numId w:val="6"/>
        </w:numPr>
        <w:tabs>
          <w:tab w:val="clear" w:pos="475"/>
          <w:tab w:val="num" w:pos="1742"/>
        </w:tabs>
        <w:ind w:left="1267"/>
        <w:rPr>
          <w:lang w:val="fr-CH"/>
        </w:rPr>
      </w:pPr>
      <w:r w:rsidRPr="00BF7F98">
        <w:rPr>
          <w:u w:val="single"/>
          <w:lang w:val="fr-CH"/>
        </w:rPr>
        <w:t>Paragraphe 12.1</w:t>
      </w:r>
      <w:r w:rsidR="00334366">
        <w:rPr>
          <w:u w:val="single"/>
          <w:lang w:val="fr-CH"/>
        </w:rPr>
        <w:t> </w:t>
      </w:r>
      <w:r w:rsidR="00334366">
        <w:rPr>
          <w:lang w:val="fr-CH"/>
        </w:rPr>
        <w:t>:</w:t>
      </w:r>
      <w:r w:rsidRPr="00BF7F98">
        <w:rPr>
          <w:lang w:val="fr-CH"/>
        </w:rPr>
        <w:t xml:space="preserve"> ce paragraphe </w:t>
      </w:r>
      <w:r w:rsidR="00334366">
        <w:rPr>
          <w:lang w:val="fr-CH"/>
        </w:rPr>
        <w:t>« </w:t>
      </w:r>
      <w:r w:rsidRPr="00BF7F98">
        <w:rPr>
          <w:lang w:val="fr-CH"/>
        </w:rPr>
        <w:t>déclenche</w:t>
      </w:r>
      <w:r w:rsidR="00334366">
        <w:rPr>
          <w:lang w:val="fr-CH"/>
        </w:rPr>
        <w:t> »</w:t>
      </w:r>
      <w:r w:rsidRPr="00BF7F98">
        <w:rPr>
          <w:lang w:val="fr-CH"/>
        </w:rPr>
        <w:t xml:space="preserve"> en réalité la série 01 d’amendements. Il fixe la date à partir de laquelle la série 01 peut être utilisée à des fins d’homologation. L’équipe spéciale suit la recommandation du WP.29 de fixer une date définie (plutôt que de rester dans le flou administratif quant à l’entrée en vigueur du document) en ce qui concerne l’entrée en vigueur de la nouvelle série d’amen</w:t>
      </w:r>
      <w:r w:rsidR="00334366">
        <w:rPr>
          <w:lang w:val="fr-CH"/>
        </w:rPr>
        <w:t>dements.</w:t>
      </w:r>
      <w:r w:rsidRPr="00BF7F98">
        <w:rPr>
          <w:lang w:val="fr-CH"/>
        </w:rPr>
        <w:t xml:space="preserve"> La date du 1</w:t>
      </w:r>
      <w:r w:rsidRPr="00BF7F98">
        <w:rPr>
          <w:vertAlign w:val="superscript"/>
          <w:lang w:val="fr-CH"/>
        </w:rPr>
        <w:t>er</w:t>
      </w:r>
      <w:r w:rsidR="00334366">
        <w:rPr>
          <w:lang w:val="fr-CH"/>
        </w:rPr>
        <w:t> </w:t>
      </w:r>
      <w:r w:rsidRPr="00BF7F98">
        <w:rPr>
          <w:lang w:val="fr-CH"/>
        </w:rPr>
        <w:t>septembre 2017 est proposée entre crochets pour permettre aux experts intéressés de donner leur avis compte tenu du processus de scission du règlement (dates d’entrée en vigueur des règlements distincts sur le système de contrôle électronique de la stabilité et sur le systèm</w:t>
      </w:r>
      <w:r w:rsidR="00334366">
        <w:rPr>
          <w:lang w:val="fr-CH"/>
        </w:rPr>
        <w:t>e d’aide au freinage d’urgence.</w:t>
      </w:r>
    </w:p>
    <w:p w:rsidR="00334366" w:rsidRDefault="00B531E5" w:rsidP="00B531E5">
      <w:pPr>
        <w:pStyle w:val="SingleTxt"/>
        <w:numPr>
          <w:ilvl w:val="0"/>
          <w:numId w:val="6"/>
        </w:numPr>
        <w:tabs>
          <w:tab w:val="clear" w:pos="475"/>
          <w:tab w:val="num" w:pos="1742"/>
        </w:tabs>
        <w:ind w:left="1267"/>
        <w:rPr>
          <w:lang w:val="fr-CH"/>
        </w:rPr>
      </w:pPr>
      <w:r w:rsidRPr="00334366">
        <w:rPr>
          <w:u w:val="single"/>
          <w:lang w:val="fr-CH"/>
        </w:rPr>
        <w:t>Paragraphe 12.2</w:t>
      </w:r>
      <w:r w:rsidR="00334366">
        <w:rPr>
          <w:u w:val="single"/>
          <w:lang w:val="fr-CH"/>
        </w:rPr>
        <w:t> </w:t>
      </w:r>
      <w:r w:rsidR="00334366">
        <w:rPr>
          <w:lang w:val="fr-CH"/>
        </w:rPr>
        <w:t>:</w:t>
      </w:r>
      <w:r w:rsidRPr="00334366">
        <w:rPr>
          <w:lang w:val="fr-CH"/>
        </w:rPr>
        <w:t xml:space="preserve"> le premier alinéa fixe la règle générale selon laquelle les homologations accordées en vertu de la série 00 d’amendements doivent continuer à être acceptées. Le second alinéa prévoit une exception à la règle générale pour permettre à certaines Parties contractantes (Union européenne et Japon) de rendre </w:t>
      </w:r>
      <w:r w:rsidRPr="00334366">
        <w:rPr>
          <w:lang w:val="fr-CH"/>
        </w:rPr>
        <w:lastRenderedPageBreak/>
        <w:t>obligatoires les règlements ESC et AUF même s’ils ne sont que facultatifs dans la série 00 d’amendements.</w:t>
      </w:r>
    </w:p>
    <w:p w:rsidR="00334366" w:rsidRDefault="00B531E5" w:rsidP="00B531E5">
      <w:pPr>
        <w:pStyle w:val="SingleTxt"/>
        <w:numPr>
          <w:ilvl w:val="0"/>
          <w:numId w:val="6"/>
        </w:numPr>
        <w:tabs>
          <w:tab w:val="clear" w:pos="475"/>
          <w:tab w:val="num" w:pos="1742"/>
        </w:tabs>
        <w:ind w:left="1267"/>
        <w:rPr>
          <w:lang w:val="fr-CH"/>
        </w:rPr>
      </w:pPr>
      <w:r w:rsidRPr="00334366">
        <w:rPr>
          <w:u w:val="single"/>
          <w:lang w:val="fr-CH"/>
        </w:rPr>
        <w:t>Le paragraphe 12.3</w:t>
      </w:r>
      <w:r w:rsidRPr="00334366">
        <w:rPr>
          <w:lang w:val="fr-CH"/>
        </w:rPr>
        <w:t xml:space="preserve">, qui faisait partie de la proposition initiale du Royaume-Uni (document </w:t>
      </w:r>
      <w:r w:rsidR="00FB4FD7">
        <w:rPr>
          <w:lang w:val="fr-CH"/>
        </w:rPr>
        <w:t>ECE/TRANS/WP.29/GRRF/2015/33</w:t>
      </w:r>
      <w:r w:rsidRPr="00334366">
        <w:rPr>
          <w:lang w:val="fr-CH"/>
        </w:rPr>
        <w:t>), avait le même objectif que le second alinéa du paragraphe 12.2 et il est donc devenu obsolète.</w:t>
      </w:r>
    </w:p>
    <w:p w:rsidR="00334366" w:rsidRDefault="00B531E5" w:rsidP="00B531E5">
      <w:pPr>
        <w:pStyle w:val="SingleTxt"/>
        <w:numPr>
          <w:ilvl w:val="0"/>
          <w:numId w:val="6"/>
        </w:numPr>
        <w:tabs>
          <w:tab w:val="clear" w:pos="475"/>
          <w:tab w:val="num" w:pos="1742"/>
        </w:tabs>
        <w:ind w:left="1267"/>
        <w:rPr>
          <w:lang w:val="fr-CH"/>
        </w:rPr>
      </w:pPr>
      <w:r w:rsidRPr="00334366">
        <w:rPr>
          <w:u w:val="single"/>
          <w:lang w:val="fr-CH"/>
        </w:rPr>
        <w:t>Paragraphe 12.4</w:t>
      </w:r>
      <w:r w:rsidR="00334366">
        <w:rPr>
          <w:u w:val="single"/>
          <w:lang w:val="fr-CH"/>
        </w:rPr>
        <w:t> </w:t>
      </w:r>
      <w:r w:rsidR="00334366">
        <w:rPr>
          <w:lang w:val="fr-CH"/>
        </w:rPr>
        <w:t>:</w:t>
      </w:r>
      <w:r w:rsidRPr="00334366">
        <w:rPr>
          <w:lang w:val="fr-CH"/>
        </w:rPr>
        <w:t xml:space="preserve"> ce paragraphe fait partie des dispositi</w:t>
      </w:r>
      <w:r w:rsidR="00334366">
        <w:rPr>
          <w:lang w:val="fr-CH"/>
        </w:rPr>
        <w:t xml:space="preserve">ons transitoires de la série 00 </w:t>
      </w:r>
      <w:r w:rsidRPr="00334366">
        <w:rPr>
          <w:lang w:val="fr-CH"/>
        </w:rPr>
        <w:t>d’amendements et vise à laisser à l’industrie le temps de d’adapter sa production aux nouvelles prescriptions en ce qui concerne les symboles et témoins. Il peut être supprimé car il deviendra obsolète dès l’entrée en vigueur de la série 01 d’amendements.</w:t>
      </w:r>
    </w:p>
    <w:p w:rsidR="00334366" w:rsidRDefault="00B531E5" w:rsidP="00B531E5">
      <w:pPr>
        <w:pStyle w:val="SingleTxt"/>
        <w:numPr>
          <w:ilvl w:val="0"/>
          <w:numId w:val="6"/>
        </w:numPr>
        <w:tabs>
          <w:tab w:val="clear" w:pos="475"/>
          <w:tab w:val="num" w:pos="1742"/>
        </w:tabs>
        <w:ind w:left="1267"/>
        <w:rPr>
          <w:lang w:val="fr-CH"/>
        </w:rPr>
      </w:pPr>
      <w:r w:rsidRPr="00334366">
        <w:rPr>
          <w:u w:val="single"/>
          <w:lang w:val="fr-CH"/>
        </w:rPr>
        <w:t>Paragraphe 12.5</w:t>
      </w:r>
      <w:r w:rsidR="00334366">
        <w:rPr>
          <w:u w:val="single"/>
          <w:lang w:val="fr-CH"/>
        </w:rPr>
        <w:t> </w:t>
      </w:r>
      <w:r w:rsidR="00334366">
        <w:rPr>
          <w:lang w:val="fr-CH"/>
        </w:rPr>
        <w:t>:</w:t>
      </w:r>
      <w:r w:rsidRPr="00334366">
        <w:rPr>
          <w:lang w:val="fr-CH"/>
        </w:rPr>
        <w:t xml:space="preserve"> ce paragraphe </w:t>
      </w:r>
      <w:r w:rsidR="00334366">
        <w:rPr>
          <w:lang w:val="fr-CH"/>
        </w:rPr>
        <w:t>« </w:t>
      </w:r>
      <w:r w:rsidRPr="00334366">
        <w:rPr>
          <w:lang w:val="fr-CH"/>
        </w:rPr>
        <w:t>éteint</w:t>
      </w:r>
      <w:r w:rsidR="00334366">
        <w:rPr>
          <w:lang w:val="fr-CH"/>
        </w:rPr>
        <w:t> » en réalité la série </w:t>
      </w:r>
      <w:r w:rsidRPr="00334366">
        <w:rPr>
          <w:lang w:val="fr-CH"/>
        </w:rPr>
        <w:t>00 d’amendements, puisqu’à partir de la date indiquée les Parties contractantes appliquant la série 01 d’amendements ne peuvent plus accorder d’homologations en vertu de la série</w:t>
      </w:r>
      <w:r w:rsidR="00334366">
        <w:rPr>
          <w:lang w:val="fr-CH"/>
        </w:rPr>
        <w:t> </w:t>
      </w:r>
      <w:r w:rsidRPr="00334366">
        <w:rPr>
          <w:lang w:val="fr-CH"/>
        </w:rPr>
        <w:t xml:space="preserve">00 d’amendements. Compte tenu de la situation spéciale engendrée par la scission du Règlement </w:t>
      </w:r>
      <w:r w:rsidR="00334366">
        <w:rPr>
          <w:lang w:val="fr-CH"/>
        </w:rPr>
        <w:t>n</w:t>
      </w:r>
      <w:r w:rsidR="00334366" w:rsidRPr="00F61CAD">
        <w:rPr>
          <w:vertAlign w:val="superscript"/>
          <w:lang w:val="fr-CH"/>
        </w:rPr>
        <w:t>o</w:t>
      </w:r>
      <w:r w:rsidR="00334366">
        <w:rPr>
          <w:lang w:val="fr-CH"/>
        </w:rPr>
        <w:t> </w:t>
      </w:r>
      <w:r w:rsidRPr="00334366">
        <w:rPr>
          <w:lang w:val="fr-CH"/>
        </w:rPr>
        <w:t xml:space="preserve">13-H, l’équipe spéciale a choisi la même date pour </w:t>
      </w:r>
      <w:r w:rsidR="00334366">
        <w:rPr>
          <w:lang w:val="fr-CH"/>
        </w:rPr>
        <w:t>« </w:t>
      </w:r>
      <w:r w:rsidRPr="00334366">
        <w:rPr>
          <w:lang w:val="fr-CH"/>
        </w:rPr>
        <w:t>l’activation</w:t>
      </w:r>
      <w:r w:rsidR="00334366">
        <w:rPr>
          <w:lang w:val="fr-CH"/>
        </w:rPr>
        <w:t> »</w:t>
      </w:r>
      <w:r w:rsidRPr="00334366">
        <w:rPr>
          <w:lang w:val="fr-CH"/>
        </w:rPr>
        <w:t xml:space="preserve"> de </w:t>
      </w:r>
      <w:r w:rsidR="00334366">
        <w:rPr>
          <w:lang w:val="fr-CH"/>
        </w:rPr>
        <w:t>la série 01 d’amendements (par. </w:t>
      </w:r>
      <w:r w:rsidR="00A4170C">
        <w:rPr>
          <w:lang w:val="fr-CH"/>
        </w:rPr>
        <w:t>12.1</w:t>
      </w:r>
      <w:r w:rsidRPr="00334366">
        <w:rPr>
          <w:lang w:val="fr-CH"/>
        </w:rPr>
        <w:t>), mais cette date pourrait être repoussée (voir aussi les points 4 et 5 ci-dessus).</w:t>
      </w:r>
    </w:p>
    <w:p w:rsidR="00755C7D" w:rsidRPr="00334366" w:rsidRDefault="00B531E5" w:rsidP="00B531E5">
      <w:pPr>
        <w:pStyle w:val="SingleTxt"/>
        <w:numPr>
          <w:ilvl w:val="0"/>
          <w:numId w:val="6"/>
        </w:numPr>
        <w:tabs>
          <w:tab w:val="clear" w:pos="475"/>
          <w:tab w:val="num" w:pos="1742"/>
        </w:tabs>
        <w:ind w:left="1267"/>
        <w:rPr>
          <w:lang w:val="fr-CH"/>
        </w:rPr>
      </w:pPr>
      <w:r w:rsidRPr="00334366">
        <w:rPr>
          <w:u w:val="single"/>
          <w:lang w:val="fr-CH"/>
        </w:rPr>
        <w:t>Paragraphe 12.6</w:t>
      </w:r>
      <w:r w:rsidR="00334366">
        <w:rPr>
          <w:u w:val="single"/>
          <w:lang w:val="fr-CH"/>
        </w:rPr>
        <w:t> </w:t>
      </w:r>
      <w:r w:rsidR="00334366">
        <w:rPr>
          <w:lang w:val="fr-CH"/>
        </w:rPr>
        <w:t>:</w:t>
      </w:r>
      <w:r w:rsidRPr="00334366">
        <w:rPr>
          <w:lang w:val="fr-CH"/>
        </w:rPr>
        <w:t xml:space="preserve"> formulation habituelle tirée du texte actuel du règlement en ce qui concerne l’extension des homologations.</w:t>
      </w:r>
    </w:p>
    <w:p w:rsidR="00755C7D" w:rsidRPr="009E38C2" w:rsidRDefault="009E38C2" w:rsidP="009E38C2">
      <w:pPr>
        <w:pStyle w:val="SingleTxt"/>
        <w:spacing w:after="0" w:line="240" w:lineRule="auto"/>
      </w:pPr>
      <w:r>
        <w:rPr>
          <w:noProof/>
          <w:w w:val="100"/>
          <w:lang w:val="fr-FR" w:eastAsia="fr-FR"/>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CE33A7"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755C7D" w:rsidRPr="009E38C2" w:rsidSect="00755C7D">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8E8" w:rsidRDefault="003948E8" w:rsidP="00F3330B">
      <w:pPr>
        <w:spacing w:line="240" w:lineRule="auto"/>
      </w:pPr>
      <w:r>
        <w:separator/>
      </w:r>
    </w:p>
  </w:endnote>
  <w:endnote w:type="continuationSeparator" w:id="0">
    <w:p w:rsidR="003948E8" w:rsidRDefault="003948E8"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755C7D" w:rsidTr="00755C7D">
      <w:trPr>
        <w:jc w:val="center"/>
      </w:trPr>
      <w:tc>
        <w:tcPr>
          <w:tcW w:w="5126" w:type="dxa"/>
          <w:shd w:val="clear" w:color="auto" w:fill="auto"/>
        </w:tcPr>
        <w:p w:rsidR="00755C7D" w:rsidRPr="00755C7D" w:rsidRDefault="00755C7D" w:rsidP="00755C7D">
          <w:pPr>
            <w:pStyle w:val="Pieddepage"/>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868FE">
            <w:rPr>
              <w:b w:val="0"/>
              <w:w w:val="103"/>
              <w:sz w:val="14"/>
            </w:rPr>
            <w:t>GE.15-20486</w:t>
          </w:r>
          <w:r>
            <w:rPr>
              <w:b w:val="0"/>
              <w:w w:val="103"/>
              <w:sz w:val="14"/>
            </w:rPr>
            <w:fldChar w:fldCharType="end"/>
          </w:r>
        </w:p>
      </w:tc>
      <w:tc>
        <w:tcPr>
          <w:tcW w:w="5127" w:type="dxa"/>
          <w:shd w:val="clear" w:color="auto" w:fill="auto"/>
        </w:tcPr>
        <w:p w:rsidR="00755C7D" w:rsidRPr="00755C7D" w:rsidRDefault="00755C7D" w:rsidP="00755C7D">
          <w:pPr>
            <w:pStyle w:val="Pieddepage"/>
            <w:rPr>
              <w:w w:val="103"/>
            </w:rPr>
          </w:pPr>
          <w:r>
            <w:rPr>
              <w:w w:val="103"/>
            </w:rPr>
            <w:fldChar w:fldCharType="begin"/>
          </w:r>
          <w:r>
            <w:rPr>
              <w:w w:val="103"/>
            </w:rPr>
            <w:instrText xml:space="preserve"> PAGE  \* Arabic  \* MERGEFORMAT </w:instrText>
          </w:r>
          <w:r>
            <w:rPr>
              <w:w w:val="103"/>
            </w:rPr>
            <w:fldChar w:fldCharType="separate"/>
          </w:r>
          <w:r w:rsidR="00567A6E">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67A6E">
            <w:rPr>
              <w:noProof/>
              <w:w w:val="103"/>
            </w:rPr>
            <w:t>4</w:t>
          </w:r>
          <w:r>
            <w:rPr>
              <w:w w:val="103"/>
            </w:rPr>
            <w:fldChar w:fldCharType="end"/>
          </w:r>
        </w:p>
      </w:tc>
    </w:tr>
  </w:tbl>
  <w:p w:rsidR="00755C7D" w:rsidRPr="00755C7D" w:rsidRDefault="00755C7D" w:rsidP="00755C7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755C7D" w:rsidTr="00755C7D">
      <w:trPr>
        <w:jc w:val="center"/>
      </w:trPr>
      <w:tc>
        <w:tcPr>
          <w:tcW w:w="5126" w:type="dxa"/>
          <w:shd w:val="clear" w:color="auto" w:fill="auto"/>
        </w:tcPr>
        <w:p w:rsidR="00755C7D" w:rsidRPr="00755C7D" w:rsidRDefault="00755C7D" w:rsidP="00755C7D">
          <w:pPr>
            <w:pStyle w:val="Pieddepage"/>
            <w:jc w:val="right"/>
            <w:rPr>
              <w:w w:val="103"/>
            </w:rPr>
          </w:pPr>
          <w:r>
            <w:rPr>
              <w:w w:val="103"/>
            </w:rPr>
            <w:fldChar w:fldCharType="begin"/>
          </w:r>
          <w:r>
            <w:rPr>
              <w:w w:val="103"/>
            </w:rPr>
            <w:instrText xml:space="preserve"> PAGE  \* Arabic  \* MERGEFORMAT </w:instrText>
          </w:r>
          <w:r>
            <w:rPr>
              <w:w w:val="103"/>
            </w:rPr>
            <w:fldChar w:fldCharType="separate"/>
          </w:r>
          <w:r w:rsidR="00567A6E">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67A6E">
            <w:rPr>
              <w:noProof/>
              <w:w w:val="103"/>
            </w:rPr>
            <w:t>4</w:t>
          </w:r>
          <w:r>
            <w:rPr>
              <w:w w:val="103"/>
            </w:rPr>
            <w:fldChar w:fldCharType="end"/>
          </w:r>
        </w:p>
      </w:tc>
      <w:tc>
        <w:tcPr>
          <w:tcW w:w="5127" w:type="dxa"/>
          <w:shd w:val="clear" w:color="auto" w:fill="auto"/>
        </w:tcPr>
        <w:p w:rsidR="00755C7D" w:rsidRPr="00755C7D" w:rsidRDefault="00755C7D" w:rsidP="00755C7D">
          <w:pPr>
            <w:pStyle w:val="Pieddepage"/>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868FE">
            <w:rPr>
              <w:b w:val="0"/>
              <w:w w:val="103"/>
              <w:sz w:val="14"/>
            </w:rPr>
            <w:t>GE.15-20486</w:t>
          </w:r>
          <w:r>
            <w:rPr>
              <w:b w:val="0"/>
              <w:w w:val="103"/>
              <w:sz w:val="14"/>
            </w:rPr>
            <w:fldChar w:fldCharType="end"/>
          </w:r>
        </w:p>
      </w:tc>
    </w:tr>
  </w:tbl>
  <w:p w:rsidR="00755C7D" w:rsidRPr="00755C7D" w:rsidRDefault="00755C7D" w:rsidP="00755C7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7D" w:rsidRDefault="00755C7D">
    <w:pPr>
      <w:pStyle w:val="Pieddepage"/>
    </w:pPr>
    <w:r>
      <w:rPr>
        <w:noProof/>
        <w:lang w:val="fr-FR" w:eastAsia="fr-FR"/>
      </w:rPr>
      <w:drawing>
        <wp:anchor distT="0" distB="0" distL="114300" distR="114300" simplePos="0" relativeHeight="251658240" behindDoc="0" locked="0" layoutInCell="1" allowOverlap="1" wp14:anchorId="7BA7060E" wp14:editId="51A039F3">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RF/2016/1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6/1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755C7D" w:rsidTr="00755C7D">
      <w:tc>
        <w:tcPr>
          <w:tcW w:w="3859" w:type="dxa"/>
        </w:tcPr>
        <w:p w:rsidR="00755C7D" w:rsidRDefault="00755C7D" w:rsidP="00755C7D">
          <w:pPr>
            <w:pStyle w:val="Pieddepage"/>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868FE">
            <w:rPr>
              <w:b w:val="0"/>
              <w:sz w:val="20"/>
            </w:rPr>
            <w:t>GE.15-20486 (F)</w:t>
          </w:r>
          <w:r>
            <w:rPr>
              <w:b w:val="0"/>
              <w:sz w:val="20"/>
            </w:rPr>
            <w:fldChar w:fldCharType="end"/>
          </w:r>
          <w:r>
            <w:rPr>
              <w:b w:val="0"/>
              <w:sz w:val="20"/>
            </w:rPr>
            <w:t xml:space="preserve">    </w:t>
          </w:r>
          <w:r w:rsidR="00C102D2">
            <w:rPr>
              <w:b w:val="0"/>
              <w:sz w:val="20"/>
            </w:rPr>
            <w:t>09</w:t>
          </w:r>
          <w:r>
            <w:rPr>
              <w:b w:val="0"/>
              <w:sz w:val="20"/>
            </w:rPr>
            <w:t xml:space="preserve">1215    </w:t>
          </w:r>
          <w:r w:rsidR="00F52380">
            <w:rPr>
              <w:b w:val="0"/>
              <w:sz w:val="20"/>
            </w:rPr>
            <w:t>21</w:t>
          </w:r>
          <w:r>
            <w:rPr>
              <w:b w:val="0"/>
              <w:sz w:val="20"/>
            </w:rPr>
            <w:t>1215</w:t>
          </w:r>
        </w:p>
        <w:p w:rsidR="00755C7D" w:rsidRPr="00755C7D" w:rsidRDefault="00755C7D" w:rsidP="00755C7D">
          <w:pPr>
            <w:pStyle w:val="Pieddepage"/>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1868FE">
            <w:rPr>
              <w:rFonts w:ascii="Barcode 3 of 9 by request" w:hAnsi="Barcode 3 of 9 by request"/>
              <w:b w:val="0"/>
              <w:spacing w:val="0"/>
              <w:w w:val="100"/>
              <w:sz w:val="24"/>
            </w:rPr>
            <w:t>*1520486*</w:t>
          </w:r>
          <w:r>
            <w:rPr>
              <w:rFonts w:ascii="Barcode 3 of 9 by request" w:hAnsi="Barcode 3 of 9 by request"/>
              <w:b w:val="0"/>
              <w:spacing w:val="0"/>
              <w:w w:val="100"/>
              <w:sz w:val="24"/>
            </w:rPr>
            <w:fldChar w:fldCharType="end"/>
          </w:r>
        </w:p>
      </w:tc>
      <w:tc>
        <w:tcPr>
          <w:tcW w:w="5127" w:type="dxa"/>
        </w:tcPr>
        <w:p w:rsidR="00755C7D" w:rsidRDefault="00755C7D" w:rsidP="00755C7D">
          <w:pPr>
            <w:pStyle w:val="Pieddepage"/>
            <w:spacing w:line="240" w:lineRule="atLeast"/>
            <w:jc w:val="right"/>
            <w:rPr>
              <w:b w:val="0"/>
              <w:sz w:val="20"/>
            </w:rPr>
          </w:pPr>
          <w:r>
            <w:rPr>
              <w:b w:val="0"/>
              <w:noProof/>
              <w:sz w:val="20"/>
              <w:lang w:val="fr-FR" w:eastAsia="fr-FR"/>
            </w:rPr>
            <w:drawing>
              <wp:inline distT="0" distB="0" distL="0" distR="0" wp14:anchorId="0ADC0AA7" wp14:editId="3691674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755C7D" w:rsidRPr="00755C7D" w:rsidRDefault="00755C7D" w:rsidP="00755C7D">
    <w:pPr>
      <w:pStyle w:val="Pieddepage"/>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8E8" w:rsidRPr="00B531E5" w:rsidRDefault="003948E8" w:rsidP="00B531E5">
      <w:pPr>
        <w:pStyle w:val="Pieddepage"/>
        <w:spacing w:after="80"/>
        <w:ind w:left="792"/>
        <w:rPr>
          <w:sz w:val="16"/>
        </w:rPr>
      </w:pPr>
      <w:r w:rsidRPr="00B531E5">
        <w:rPr>
          <w:sz w:val="16"/>
        </w:rPr>
        <w:t>__________________</w:t>
      </w:r>
    </w:p>
  </w:footnote>
  <w:footnote w:type="continuationSeparator" w:id="0">
    <w:p w:rsidR="003948E8" w:rsidRPr="00B531E5" w:rsidRDefault="003948E8" w:rsidP="00B531E5">
      <w:pPr>
        <w:pStyle w:val="Pieddepage"/>
        <w:spacing w:after="80"/>
        <w:ind w:left="792"/>
        <w:rPr>
          <w:sz w:val="16"/>
        </w:rPr>
      </w:pPr>
      <w:r w:rsidRPr="00B531E5">
        <w:rPr>
          <w:sz w:val="16"/>
        </w:rPr>
        <w:t>__________________</w:t>
      </w:r>
    </w:p>
  </w:footnote>
  <w:footnote w:id="1">
    <w:p w:rsidR="00B531E5" w:rsidRPr="00B531E5" w:rsidRDefault="00B531E5" w:rsidP="00B531E5">
      <w:pPr>
        <w:pStyle w:val="Notedebasdepage"/>
        <w:tabs>
          <w:tab w:val="right" w:pos="1195"/>
          <w:tab w:val="left" w:pos="1267"/>
          <w:tab w:val="left" w:pos="1742"/>
          <w:tab w:val="left" w:pos="2218"/>
          <w:tab w:val="left" w:pos="2693"/>
        </w:tabs>
        <w:ind w:left="1267" w:right="1260" w:hanging="432"/>
        <w:rPr>
          <w:szCs w:val="17"/>
          <w:lang w:val="fr-CH"/>
        </w:rPr>
      </w:pPr>
      <w:r>
        <w:tab/>
      </w:r>
      <w:r w:rsidRPr="00B531E5">
        <w:rPr>
          <w:rStyle w:val="Appelnotedebasdep"/>
          <w:szCs w:val="17"/>
          <w:vertAlign w:val="baseline"/>
        </w:rPr>
        <w:t>*</w:t>
      </w:r>
      <w:r w:rsidRPr="00B531E5">
        <w:rPr>
          <w:szCs w:val="17"/>
        </w:rPr>
        <w:tab/>
        <w:t xml:space="preserve">Conformément au programme de travail du Comité des transports intérieurs pour la période </w:t>
      </w:r>
      <w:r>
        <w:rPr>
          <w:szCs w:val="17"/>
        </w:rPr>
        <w:br/>
      </w:r>
      <w:r w:rsidRPr="00B531E5">
        <w:rPr>
          <w:szCs w:val="17"/>
        </w:rPr>
        <w:t>2014-2018 (ECE/TRANS/240, par.</w:t>
      </w:r>
      <w:r>
        <w:rPr>
          <w:szCs w:val="17"/>
        </w:rPr>
        <w:t> </w:t>
      </w:r>
      <w:r w:rsidRPr="00B531E5">
        <w:rPr>
          <w:szCs w:val="17"/>
        </w:rPr>
        <w:t xml:space="preserve">105, et ECE/TRANS/2014/26, activité 02.4), le Forum mondial </w:t>
      </w:r>
      <w:r>
        <w:rPr>
          <w:szCs w:val="17"/>
        </w:rPr>
        <w:br/>
      </w:r>
      <w:r w:rsidRPr="00B531E5">
        <w:rPr>
          <w:szCs w:val="17"/>
        </w:rPr>
        <w:t>a pour mission d’élaborer, d’harmoniser et de mettre à jour les Règlements en vue d’améliorer les caractéristiques fonctionnelles des véhicules. Le présent document est soumis dans le cadre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55C7D" w:rsidTr="00755C7D">
      <w:trPr>
        <w:trHeight w:hRule="exact" w:val="864"/>
        <w:jc w:val="center"/>
      </w:trPr>
      <w:tc>
        <w:tcPr>
          <w:tcW w:w="4882" w:type="dxa"/>
          <w:shd w:val="clear" w:color="auto" w:fill="auto"/>
          <w:vAlign w:val="bottom"/>
        </w:tcPr>
        <w:p w:rsidR="00755C7D" w:rsidRPr="00755C7D" w:rsidRDefault="00755C7D" w:rsidP="00755C7D">
          <w:pPr>
            <w:pStyle w:val="En-tte"/>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868FE">
            <w:rPr>
              <w:b/>
              <w:color w:val="000000"/>
            </w:rPr>
            <w:t>ECE/TRANS/WP.29/GRRF/2016/10</w:t>
          </w:r>
          <w:r>
            <w:rPr>
              <w:b/>
              <w:color w:val="000000"/>
            </w:rPr>
            <w:fldChar w:fldCharType="end"/>
          </w:r>
        </w:p>
      </w:tc>
      <w:tc>
        <w:tcPr>
          <w:tcW w:w="5127" w:type="dxa"/>
          <w:shd w:val="clear" w:color="auto" w:fill="auto"/>
          <w:vAlign w:val="bottom"/>
        </w:tcPr>
        <w:p w:rsidR="00755C7D" w:rsidRDefault="00755C7D" w:rsidP="00755C7D">
          <w:pPr>
            <w:pStyle w:val="En-tte"/>
          </w:pPr>
        </w:p>
      </w:tc>
    </w:tr>
  </w:tbl>
  <w:p w:rsidR="00755C7D" w:rsidRPr="00755C7D" w:rsidRDefault="00755C7D" w:rsidP="00755C7D">
    <w:pPr>
      <w:pStyle w:val="En-t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55C7D" w:rsidTr="00755C7D">
      <w:trPr>
        <w:trHeight w:hRule="exact" w:val="864"/>
        <w:jc w:val="center"/>
      </w:trPr>
      <w:tc>
        <w:tcPr>
          <w:tcW w:w="4882" w:type="dxa"/>
          <w:shd w:val="clear" w:color="auto" w:fill="auto"/>
          <w:vAlign w:val="bottom"/>
        </w:tcPr>
        <w:p w:rsidR="00755C7D" w:rsidRDefault="00755C7D" w:rsidP="00755C7D">
          <w:pPr>
            <w:pStyle w:val="En-tte"/>
          </w:pPr>
        </w:p>
      </w:tc>
      <w:tc>
        <w:tcPr>
          <w:tcW w:w="5127" w:type="dxa"/>
          <w:shd w:val="clear" w:color="auto" w:fill="auto"/>
          <w:vAlign w:val="bottom"/>
        </w:tcPr>
        <w:p w:rsidR="00755C7D" w:rsidRPr="00755C7D" w:rsidRDefault="00755C7D" w:rsidP="00755C7D">
          <w:pPr>
            <w:pStyle w:val="En-tte"/>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868FE">
            <w:rPr>
              <w:b/>
              <w:color w:val="000000"/>
            </w:rPr>
            <w:t>ECE/TRANS/WP.29/GRRF/2016/10</w:t>
          </w:r>
          <w:r>
            <w:rPr>
              <w:b/>
              <w:color w:val="000000"/>
            </w:rPr>
            <w:fldChar w:fldCharType="end"/>
          </w:r>
        </w:p>
      </w:tc>
    </w:tr>
  </w:tbl>
  <w:p w:rsidR="00755C7D" w:rsidRPr="00755C7D" w:rsidRDefault="00755C7D" w:rsidP="00755C7D">
    <w:pPr>
      <w:pStyle w:val="En-tte"/>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755C7D" w:rsidTr="00755C7D">
      <w:trPr>
        <w:trHeight w:hRule="exact" w:val="864"/>
      </w:trPr>
      <w:tc>
        <w:tcPr>
          <w:tcW w:w="1267" w:type="dxa"/>
          <w:tcBorders>
            <w:bottom w:val="single" w:sz="4" w:space="0" w:color="auto"/>
          </w:tcBorders>
          <w:shd w:val="clear" w:color="auto" w:fill="auto"/>
          <w:vAlign w:val="bottom"/>
        </w:tcPr>
        <w:p w:rsidR="00755C7D" w:rsidRDefault="00755C7D" w:rsidP="00755C7D">
          <w:pPr>
            <w:pStyle w:val="En-tte"/>
            <w:spacing w:after="120"/>
          </w:pPr>
        </w:p>
      </w:tc>
      <w:tc>
        <w:tcPr>
          <w:tcW w:w="2059" w:type="dxa"/>
          <w:tcBorders>
            <w:bottom w:val="single" w:sz="4" w:space="0" w:color="auto"/>
          </w:tcBorders>
          <w:shd w:val="clear" w:color="auto" w:fill="auto"/>
          <w:vAlign w:val="bottom"/>
        </w:tcPr>
        <w:p w:rsidR="00755C7D" w:rsidRPr="00755C7D" w:rsidRDefault="00755C7D" w:rsidP="00755C7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755C7D" w:rsidRDefault="00755C7D" w:rsidP="00755C7D">
          <w:pPr>
            <w:pStyle w:val="En-tte"/>
            <w:spacing w:after="120"/>
          </w:pPr>
        </w:p>
      </w:tc>
      <w:tc>
        <w:tcPr>
          <w:tcW w:w="6653" w:type="dxa"/>
          <w:gridSpan w:val="4"/>
          <w:tcBorders>
            <w:bottom w:val="single" w:sz="4" w:space="0" w:color="auto"/>
          </w:tcBorders>
          <w:shd w:val="clear" w:color="auto" w:fill="auto"/>
          <w:vAlign w:val="bottom"/>
        </w:tcPr>
        <w:p w:rsidR="00755C7D" w:rsidRPr="00755C7D" w:rsidRDefault="00755C7D" w:rsidP="00755C7D">
          <w:pPr>
            <w:spacing w:after="80" w:line="240" w:lineRule="auto"/>
            <w:jc w:val="right"/>
            <w:rPr>
              <w:position w:val="-4"/>
            </w:rPr>
          </w:pPr>
          <w:r>
            <w:rPr>
              <w:position w:val="-4"/>
              <w:sz w:val="40"/>
            </w:rPr>
            <w:t>ECE</w:t>
          </w:r>
          <w:r>
            <w:rPr>
              <w:position w:val="-4"/>
            </w:rPr>
            <w:t>/TRANS/WP.29/GRRF/2016/10</w:t>
          </w:r>
        </w:p>
      </w:tc>
    </w:tr>
    <w:tr w:rsidR="00755C7D" w:rsidRPr="00755C7D" w:rsidTr="00755C7D">
      <w:trPr>
        <w:gridAfter w:val="1"/>
        <w:wAfter w:w="18" w:type="dxa"/>
        <w:trHeight w:hRule="exact" w:val="2880"/>
      </w:trPr>
      <w:tc>
        <w:tcPr>
          <w:tcW w:w="1267" w:type="dxa"/>
          <w:tcBorders>
            <w:top w:val="single" w:sz="4" w:space="0" w:color="auto"/>
            <w:bottom w:val="single" w:sz="12" w:space="0" w:color="auto"/>
          </w:tcBorders>
          <w:shd w:val="clear" w:color="auto" w:fill="auto"/>
        </w:tcPr>
        <w:p w:rsidR="00755C7D" w:rsidRPr="00755C7D" w:rsidRDefault="00755C7D" w:rsidP="00755C7D">
          <w:pPr>
            <w:pStyle w:val="En-tte"/>
            <w:spacing w:before="120" w:line="240" w:lineRule="auto"/>
            <w:ind w:left="-72"/>
            <w:jc w:val="center"/>
          </w:pPr>
          <w:r>
            <w:t xml:space="preserve">  </w:t>
          </w:r>
          <w:r>
            <w:rPr>
              <w:noProof/>
              <w:lang w:val="fr-FR" w:eastAsia="fr-FR"/>
            </w:rPr>
            <w:drawing>
              <wp:inline distT="0" distB="0" distL="0" distR="0" wp14:anchorId="0F06E598" wp14:editId="16A2B92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55C7D" w:rsidRPr="00755C7D" w:rsidRDefault="00755C7D" w:rsidP="00755C7D">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755C7D" w:rsidRPr="00755C7D" w:rsidRDefault="00755C7D" w:rsidP="00755C7D">
          <w:pPr>
            <w:pStyle w:val="En-tte"/>
            <w:spacing w:before="109"/>
          </w:pPr>
        </w:p>
      </w:tc>
      <w:tc>
        <w:tcPr>
          <w:tcW w:w="3280" w:type="dxa"/>
          <w:tcBorders>
            <w:top w:val="single" w:sz="4" w:space="0" w:color="auto"/>
            <w:bottom w:val="single" w:sz="12" w:space="0" w:color="auto"/>
          </w:tcBorders>
          <w:shd w:val="clear" w:color="auto" w:fill="auto"/>
        </w:tcPr>
        <w:p w:rsidR="00755C7D" w:rsidRDefault="00755C7D" w:rsidP="00755C7D">
          <w:pPr>
            <w:pStyle w:val="Distribution"/>
            <w:rPr>
              <w:color w:val="000000"/>
            </w:rPr>
          </w:pPr>
          <w:r>
            <w:rPr>
              <w:color w:val="000000"/>
            </w:rPr>
            <w:t>Distr. générale</w:t>
          </w:r>
        </w:p>
        <w:p w:rsidR="00755C7D" w:rsidRDefault="00755C7D" w:rsidP="00755C7D">
          <w:pPr>
            <w:pStyle w:val="Publication"/>
            <w:rPr>
              <w:color w:val="000000"/>
            </w:rPr>
          </w:pPr>
          <w:r>
            <w:rPr>
              <w:color w:val="000000"/>
            </w:rPr>
            <w:t>20 novembre 2015</w:t>
          </w:r>
        </w:p>
        <w:p w:rsidR="00755C7D" w:rsidRDefault="00755C7D" w:rsidP="00755C7D">
          <w:pPr>
            <w:rPr>
              <w:lang w:val="en-US"/>
            </w:rPr>
          </w:pPr>
          <w:r>
            <w:rPr>
              <w:lang w:val="en-US"/>
            </w:rPr>
            <w:t>Français</w:t>
          </w:r>
        </w:p>
        <w:p w:rsidR="00755C7D" w:rsidRPr="00755C7D" w:rsidRDefault="00755C7D" w:rsidP="00755C7D">
          <w:pPr>
            <w:pStyle w:val="Original"/>
            <w:rPr>
              <w:color w:val="000000"/>
            </w:rPr>
          </w:pPr>
          <w:r>
            <w:rPr>
              <w:color w:val="000000"/>
            </w:rPr>
            <w:t>Original : anglais</w:t>
          </w:r>
        </w:p>
      </w:tc>
    </w:tr>
  </w:tbl>
  <w:p w:rsidR="00755C7D" w:rsidRPr="00755C7D" w:rsidRDefault="00755C7D" w:rsidP="00755C7D">
    <w:pPr>
      <w:pStyle w:val="En-tte"/>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3"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E31C7"/>
    <w:multiLevelType w:val="singleLevel"/>
    <w:tmpl w:val="8F0A1E56"/>
    <w:lvl w:ilvl="0">
      <w:start w:val="1"/>
      <w:numFmt w:val="decimal"/>
      <w:lvlRestart w:val="0"/>
      <w:lvlText w:val="%1."/>
      <w:lvlJc w:val="left"/>
      <w:pPr>
        <w:tabs>
          <w:tab w:val="num" w:pos="475"/>
        </w:tabs>
        <w:ind w:left="0" w:firstLine="0"/>
      </w:pPr>
      <w:rPr>
        <w:w w:val="100"/>
      </w:rPr>
    </w:lvl>
  </w:abstractNum>
  <w:abstractNum w:abstractNumId="5"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SortMethod w:val="0003"/>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486*"/>
    <w:docVar w:name="CreationDt" w:val="12/16/2015 7:04: AM"/>
    <w:docVar w:name="DocCategory" w:val="Doc"/>
    <w:docVar w:name="DocType" w:val="Final"/>
    <w:docVar w:name="DutyStation" w:val="Geneva"/>
    <w:docVar w:name="FooterJN" w:val="GE.15-20486"/>
    <w:docVar w:name="jobn" w:val="GE.15-20486 (F)"/>
    <w:docVar w:name="jobnDT" w:val="GE.15-20486 (F)   161215"/>
    <w:docVar w:name="jobnDTDT" w:val="GE.15-20486 (F)   161215   161215"/>
    <w:docVar w:name="JobNo" w:val="GE.1520486F"/>
    <w:docVar w:name="JobNo2" w:val="GE.1526564F"/>
    <w:docVar w:name="LocalDrive" w:val="0"/>
    <w:docVar w:name="OandT" w:val="Nath V."/>
    <w:docVar w:name="PaperSize" w:val="A4"/>
    <w:docVar w:name="sss1" w:val="ECE/TRANS/WP.29/GRRF/2016/10"/>
    <w:docVar w:name="sss2" w:val="-"/>
    <w:docVar w:name="Symbol1" w:val="ECE/TRANS/WP.29/GRRF/2016/10"/>
    <w:docVar w:name="Symbol2" w:val="-"/>
  </w:docVars>
  <w:rsids>
    <w:rsidRoot w:val="00CF5F30"/>
    <w:rsid w:val="000015B8"/>
    <w:rsid w:val="0000238E"/>
    <w:rsid w:val="000046A5"/>
    <w:rsid w:val="000055FB"/>
    <w:rsid w:val="00010C97"/>
    <w:rsid w:val="000117B3"/>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868FE"/>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5903"/>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366"/>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48E8"/>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4BBC"/>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67A6E"/>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0DD3"/>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5C7D"/>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3003"/>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38C2"/>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170C"/>
    <w:rsid w:val="00A4236C"/>
    <w:rsid w:val="00A43CAC"/>
    <w:rsid w:val="00A45E20"/>
    <w:rsid w:val="00A46DB8"/>
    <w:rsid w:val="00A52DF2"/>
    <w:rsid w:val="00A54A5E"/>
    <w:rsid w:val="00A55810"/>
    <w:rsid w:val="00A56CDD"/>
    <w:rsid w:val="00A56E3B"/>
    <w:rsid w:val="00A572AF"/>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5B13"/>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1E5"/>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51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02D2"/>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69F7"/>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5F30"/>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6B38"/>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380"/>
    <w:rsid w:val="00F5253C"/>
    <w:rsid w:val="00F52A72"/>
    <w:rsid w:val="00F52EDF"/>
    <w:rsid w:val="00F54C59"/>
    <w:rsid w:val="00F6067A"/>
    <w:rsid w:val="00F609CB"/>
    <w:rsid w:val="00F60FB9"/>
    <w:rsid w:val="00F61CAD"/>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B4FD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E4E6E-9838-4A8C-AFD5-33809310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qFormat="1"/>
    <w:lsdException w:name="page number"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Titre1">
    <w:name w:val="heading 1"/>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link w:val="Pieddepage"/>
    <w:uiPriority w:val="99"/>
    <w:rsid w:val="00745376"/>
    <w:rPr>
      <w:rFonts w:ascii="Times New Roman" w:hAnsi="Times New Roman"/>
      <w:b/>
      <w:spacing w:val="3"/>
      <w:w w:val="105"/>
      <w:sz w:val="17"/>
    </w:rPr>
  </w:style>
  <w:style w:type="paragraph" w:styleId="En-tte">
    <w:name w:val="header"/>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semiHidden/>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20271"/>
    <w:rPr>
      <w:rFonts w:ascii="Tahoma" w:hAnsi="Tahoma" w:cs="Tahoma"/>
      <w:spacing w:val="4"/>
      <w:w w:val="103"/>
      <w:kern w:val="14"/>
      <w:sz w:val="16"/>
      <w:szCs w:val="16"/>
    </w:rPr>
  </w:style>
  <w:style w:type="paragraph" w:styleId="Notedebasdepage">
    <w:name w:val="footnote text"/>
    <w:basedOn w:val="Normal"/>
    <w:link w:val="NotedebasdepageCar"/>
    <w:uiPriority w:val="99"/>
    <w:rsid w:val="00611DA0"/>
    <w:pPr>
      <w:spacing w:line="210" w:lineRule="exact"/>
    </w:pPr>
    <w:rPr>
      <w:sz w:val="17"/>
      <w:szCs w:val="20"/>
    </w:rPr>
  </w:style>
  <w:style w:type="character" w:customStyle="1" w:styleId="NotedebasdepageCar">
    <w:name w:val="Note de bas de page Car"/>
    <w:link w:val="Notedebasdepage"/>
    <w:uiPriority w:val="99"/>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basedOn w:val="Normal"/>
    <w:link w:val="NotedefinCar"/>
    <w:uiPriority w:val="99"/>
    <w:semiHidden/>
    <w:unhideWhenUsed/>
    <w:rsid w:val="00F3330B"/>
    <w:pPr>
      <w:spacing w:line="210" w:lineRule="exact"/>
    </w:pPr>
    <w:rPr>
      <w:sz w:val="17"/>
      <w:szCs w:val="20"/>
    </w:rPr>
  </w:style>
  <w:style w:type="character" w:customStyle="1" w:styleId="NotedefinCar">
    <w:name w:val="Note de fin Car"/>
    <w:link w:val="Notedefin"/>
    <w:uiPriority w:val="99"/>
    <w:semiHidden/>
    <w:rsid w:val="00F3330B"/>
    <w:rPr>
      <w:rFonts w:ascii="Times New Roman" w:hAnsi="Times New Roman"/>
      <w:spacing w:val="4"/>
      <w:w w:val="103"/>
      <w:kern w:val="14"/>
      <w:sz w:val="17"/>
    </w:rPr>
  </w:style>
  <w:style w:type="character" w:styleId="Appelnotedebasdep">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Appeldenotedefin">
    <w:name w:val="endnote reference"/>
    <w:basedOn w:val="Policepardfau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Marquedecommentaire">
    <w:name w:val="annotation reference"/>
    <w:basedOn w:val="Policepardfaut"/>
    <w:uiPriority w:val="99"/>
    <w:semiHidden/>
    <w:unhideWhenUsed/>
    <w:rsid w:val="00755C7D"/>
    <w:rPr>
      <w:sz w:val="16"/>
      <w:szCs w:val="16"/>
    </w:rPr>
  </w:style>
  <w:style w:type="paragraph" w:styleId="Commentaire">
    <w:name w:val="annotation text"/>
    <w:basedOn w:val="Normal"/>
    <w:link w:val="CommentaireCar"/>
    <w:uiPriority w:val="99"/>
    <w:semiHidden/>
    <w:unhideWhenUsed/>
    <w:rsid w:val="00755C7D"/>
    <w:pPr>
      <w:spacing w:line="240" w:lineRule="auto"/>
    </w:pPr>
    <w:rPr>
      <w:szCs w:val="20"/>
    </w:rPr>
  </w:style>
  <w:style w:type="character" w:customStyle="1" w:styleId="CommentaireCar">
    <w:name w:val="Commentaire Car"/>
    <w:basedOn w:val="Policepardfaut"/>
    <w:link w:val="Commentaire"/>
    <w:uiPriority w:val="99"/>
    <w:semiHidden/>
    <w:rsid w:val="00755C7D"/>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iPriority w:val="99"/>
    <w:semiHidden/>
    <w:unhideWhenUsed/>
    <w:rsid w:val="00755C7D"/>
    <w:rPr>
      <w:b/>
      <w:bCs/>
    </w:rPr>
  </w:style>
  <w:style w:type="character" w:customStyle="1" w:styleId="ObjetducommentaireCar">
    <w:name w:val="Objet du commentaire Car"/>
    <w:basedOn w:val="CommentaireCar"/>
    <w:link w:val="Objetducommentaire"/>
    <w:uiPriority w:val="99"/>
    <w:semiHidden/>
    <w:rsid w:val="00755C7D"/>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A38D8-FD64-4B49-8002-F3D6C927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7095</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FTPU - Office 2010</vt:lpstr>
      <vt:lpstr>FTPU - Office 2010</vt:lpstr>
    </vt:vector>
  </TitlesOfParts>
  <Company>DCM</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Nath V.</dc:creator>
  <cp:lastModifiedBy>Bénédicte Boudol</cp:lastModifiedBy>
  <cp:revision>2</cp:revision>
  <cp:lastPrinted>2015-12-16T07:21:00Z</cp:lastPrinted>
  <dcterms:created xsi:type="dcterms:W3CDTF">2015-12-21T10:15:00Z</dcterms:created>
  <dcterms:modified xsi:type="dcterms:W3CDTF">2015-12-21T10:15:00Z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1520486F</vt:lpwstr>
  </property>
  <property fmtid="{D5CDD505-2E9C-101B-9397-08002B2CF9AE}" pid="3" name="ODSRefJobNo">
    <vt:lpwstr>1526564F</vt:lpwstr>
  </property>
  <property fmtid="{D5CDD505-2E9C-101B-9397-08002B2CF9AE}" pid="4" name="Symbol1">
    <vt:lpwstr>ECE/TRANS/WP.29/GRRF/2016/10</vt:lpwstr>
  </property>
  <property fmtid="{D5CDD505-2E9C-101B-9397-08002B2CF9AE}" pid="5" name="Symbol2">
    <vt:lpwstr/>
  </property>
  <property fmtid="{D5CDD505-2E9C-101B-9397-08002B2CF9AE}" pid="6" name="Translator">
    <vt:lpwstr/>
  </property>
  <property fmtid="{D5CDD505-2E9C-101B-9397-08002B2CF9AE}" pid="7" name="Operator">
    <vt:lpwstr>Nath V.</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20 novembre 2015</vt:lpwstr>
  </property>
  <property fmtid="{D5CDD505-2E9C-101B-9397-08002B2CF9AE}" pid="12" name="Original">
    <vt:lpwstr>anglais</vt:lpwstr>
  </property>
  <property fmtid="{D5CDD505-2E9C-101B-9397-08002B2CF9AE}" pid="13" name="Release Date">
    <vt:lpwstr>161215</vt:lpwstr>
  </property>
</Properties>
</file>