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B2" w:rsidRPr="00DB6CB3" w:rsidRDefault="001C48B2" w:rsidP="001C48B2">
      <w:pPr>
        <w:spacing w:line="60" w:lineRule="exact"/>
        <w:rPr>
          <w:color w:val="010000"/>
          <w:sz w:val="6"/>
        </w:rPr>
        <w:sectPr w:rsidR="001C48B2" w:rsidRPr="00DB6CB3" w:rsidSect="001C48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B6CB3">
        <w:rPr>
          <w:rStyle w:val="CommentReference"/>
        </w:rPr>
        <w:commentReference w:id="0"/>
      </w:r>
      <w:bookmarkStart w:id="1" w:name="_GoBack"/>
      <w:bookmarkEnd w:id="1"/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DB6CB3">
        <w:rPr>
          <w:b/>
          <w:sz w:val="28"/>
          <w:szCs w:val="28"/>
        </w:rPr>
        <w:lastRenderedPageBreak/>
        <w:t>Европейская экономическая комиссия</w:t>
      </w: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DB6CB3">
        <w:rPr>
          <w:sz w:val="28"/>
          <w:szCs w:val="28"/>
        </w:rPr>
        <w:t>Комитет по внутреннему транспорту</w:t>
      </w: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  <w:lang w:val="en-US"/>
        </w:rPr>
      </w:pP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4"/>
          <w:szCs w:val="24"/>
        </w:rPr>
      </w:pPr>
      <w:r w:rsidRPr="00DB6CB3">
        <w:rPr>
          <w:b/>
          <w:bCs/>
          <w:sz w:val="24"/>
          <w:szCs w:val="24"/>
        </w:rPr>
        <w:t>Всемирный форум для согласования правил</w:t>
      </w:r>
      <w:r w:rsidRPr="00DB6CB3">
        <w:rPr>
          <w:b/>
          <w:bCs/>
          <w:sz w:val="24"/>
          <w:szCs w:val="24"/>
        </w:rPr>
        <w:br/>
        <w:t>в области транспортных средств</w:t>
      </w: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  <w:lang w:val="en-US"/>
        </w:rPr>
      </w:pP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DB6CB3">
        <w:rPr>
          <w:b/>
          <w:bCs/>
        </w:rPr>
        <w:t>Рабочая группа по проблемам энергии</w:t>
      </w:r>
      <w:r w:rsidRPr="00DB6CB3">
        <w:rPr>
          <w:b/>
          <w:bCs/>
        </w:rPr>
        <w:br/>
        <w:t xml:space="preserve">и загрязнения окружающей среды </w:t>
      </w: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/>
        </w:rPr>
      </w:pP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B6CB3">
        <w:rPr>
          <w:b/>
        </w:rPr>
        <w:t>Семьдесят вторая сессия</w:t>
      </w: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B6CB3">
        <w:t>Женева</w:t>
      </w:r>
      <w:r w:rsidRPr="00DB6CB3">
        <w:rPr>
          <w:bCs/>
        </w:rPr>
        <w:t xml:space="preserve">, 12−15 января 2016 года </w:t>
      </w: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B6CB3">
        <w:rPr>
          <w:bCs/>
        </w:rPr>
        <w:t>Пункт 4 a) предварительной повестки дня</w:t>
      </w:r>
    </w:p>
    <w:p w:rsidR="001C48B2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val="en-US"/>
        </w:rPr>
      </w:pPr>
      <w:r w:rsidRPr="00DB6CB3">
        <w:rPr>
          <w:b/>
          <w:bCs/>
        </w:rPr>
        <w:t>Большегрузные транспортные средства</w:t>
      </w:r>
      <w:r w:rsidRPr="00DB6CB3">
        <w:rPr>
          <w:b/>
        </w:rPr>
        <w:t xml:space="preserve"> − </w:t>
      </w:r>
      <w:r w:rsidRPr="00DB6CB3">
        <w:rPr>
          <w:b/>
          <w:bCs/>
        </w:rPr>
        <w:t>Правила № 49</w:t>
      </w:r>
      <w:r w:rsidRPr="00DB6CB3">
        <w:rPr>
          <w:b/>
          <w:bCs/>
        </w:rPr>
        <w:br/>
        <w:t xml:space="preserve">(выбросы загрязняющих веществ двигателями </w:t>
      </w:r>
      <w:r w:rsidRPr="00DB6CB3">
        <w:rPr>
          <w:b/>
          <w:bCs/>
        </w:rPr>
        <w:br/>
        <w:t>с воспламенением от сжатия и двигателями</w:t>
      </w:r>
      <w:r w:rsidRPr="00DB6CB3">
        <w:rPr>
          <w:b/>
          <w:bCs/>
        </w:rPr>
        <w:br/>
        <w:t>с принудительным зажиганием (СНГ и КПГ))</w:t>
      </w:r>
      <w:r w:rsidRPr="00DB6CB3">
        <w:rPr>
          <w:b/>
          <w:bCs/>
        </w:rPr>
        <w:br/>
        <w:t>и № 132 (модифицированные устройства</w:t>
      </w:r>
      <w:r w:rsidRPr="00DB6CB3">
        <w:rPr>
          <w:b/>
          <w:bCs/>
        </w:rPr>
        <w:br/>
        <w:t>ограничения выбросов (МУОВ))</w:t>
      </w: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  <w:lang w:val="en-US"/>
        </w:rPr>
      </w:pP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DB6CB3" w:rsidRPr="00DB6CB3" w:rsidRDefault="00DB6CB3" w:rsidP="00DB6CB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DB6CB3" w:rsidRPr="007E4D4E" w:rsidRDefault="00DB6CB3" w:rsidP="00DB6CB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DB6CB3">
        <w:t>Предложение по новому дополнению к поправкам серии</w:t>
      </w:r>
      <w:r w:rsidR="007E4D4E">
        <w:t> </w:t>
      </w:r>
      <w:r w:rsidRPr="00DB6CB3">
        <w:t>06 к Правилам № 49 (выбросы загрязняющих веществ двигателями с</w:t>
      </w:r>
      <w:r w:rsidRPr="00DB6CB3">
        <w:rPr>
          <w:lang w:val="en-US"/>
        </w:rPr>
        <w:t> </w:t>
      </w:r>
      <w:r w:rsidRPr="00DB6CB3">
        <w:t>воспламенением от сжатия и</w:t>
      </w:r>
      <w:r w:rsidR="007E4D4E">
        <w:t> </w:t>
      </w:r>
      <w:r w:rsidRPr="00DB6CB3">
        <w:t>двигателями с</w:t>
      </w:r>
      <w:r w:rsidRPr="00DB6CB3">
        <w:rPr>
          <w:lang w:val="en-US"/>
        </w:rPr>
        <w:t> </w:t>
      </w:r>
      <w:r w:rsidRPr="00DB6CB3">
        <w:t xml:space="preserve">принудительным зажиганием </w:t>
      </w:r>
      <w:r w:rsidR="007E4D4E">
        <w:br/>
      </w:r>
      <w:r w:rsidRPr="00DB6CB3">
        <w:t>(СНГ и КПГ))</w:t>
      </w:r>
    </w:p>
    <w:p w:rsidR="00DB6CB3" w:rsidRPr="007E4D4E" w:rsidRDefault="00DB6CB3" w:rsidP="00DB6CB3">
      <w:pPr>
        <w:pStyle w:val="SingleTxt"/>
        <w:spacing w:after="0" w:line="120" w:lineRule="exact"/>
        <w:rPr>
          <w:sz w:val="10"/>
        </w:rPr>
      </w:pPr>
    </w:p>
    <w:p w:rsidR="00DB6CB3" w:rsidRPr="007E4D4E" w:rsidRDefault="00DB6CB3" w:rsidP="00DB6CB3">
      <w:pPr>
        <w:pStyle w:val="SingleTxt"/>
        <w:spacing w:after="0" w:line="120" w:lineRule="exact"/>
        <w:rPr>
          <w:sz w:val="10"/>
        </w:rPr>
      </w:pPr>
    </w:p>
    <w:p w:rsidR="00DB6CB3" w:rsidRDefault="00DB6CB3" w:rsidP="00DB6CB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B6CB3">
        <w:tab/>
      </w:r>
      <w:r w:rsidRPr="00DB6CB3">
        <w:tab/>
        <w:t>Представлено экспертом от Международной организации предприятий автомобильной промышленности</w:t>
      </w:r>
      <w:r w:rsidRPr="00DB6CB3">
        <w:rPr>
          <w:b w:val="0"/>
          <w:sz w:val="20"/>
          <w:szCs w:val="20"/>
        </w:rPr>
        <w:footnoteReference w:customMarkFollows="1" w:id="1"/>
        <w:t>*</w:t>
      </w:r>
    </w:p>
    <w:p w:rsidR="00DB6CB3" w:rsidRPr="00DB6CB3" w:rsidRDefault="00DB6CB3" w:rsidP="00DB6CB3">
      <w:pPr>
        <w:pStyle w:val="SingleTxt"/>
        <w:spacing w:after="0" w:line="120" w:lineRule="exact"/>
        <w:rPr>
          <w:sz w:val="10"/>
          <w:lang w:val="en-US"/>
        </w:rPr>
      </w:pPr>
    </w:p>
    <w:p w:rsidR="00DB6CB3" w:rsidRPr="00DB6CB3" w:rsidRDefault="00DB6CB3" w:rsidP="00DB6CB3">
      <w:pPr>
        <w:pStyle w:val="SingleTxt"/>
        <w:spacing w:after="0" w:line="120" w:lineRule="exact"/>
        <w:rPr>
          <w:sz w:val="10"/>
          <w:lang w:val="en-US"/>
        </w:rPr>
      </w:pPr>
    </w:p>
    <w:p w:rsidR="00DB6CB3" w:rsidRPr="00DB6CB3" w:rsidRDefault="00DB6CB3" w:rsidP="00DB6CB3">
      <w:pPr>
        <w:pStyle w:val="SingleTxt"/>
        <w:spacing w:before="240"/>
      </w:pPr>
      <w:r w:rsidRPr="00DB6CB3">
        <w:tab/>
        <w:t>Воспроизводимый ниже текст был подготовлен экспертом от Междунаро</w:t>
      </w:r>
      <w:r w:rsidRPr="00DB6CB3">
        <w:t>д</w:t>
      </w:r>
      <w:r w:rsidRPr="00DB6CB3">
        <w:t>ной организации предприятий автомобильной промышленности (МОПАП) в ц</w:t>
      </w:r>
      <w:r w:rsidRPr="00DB6CB3">
        <w:t>е</w:t>
      </w:r>
      <w:r w:rsidRPr="00DB6CB3">
        <w:t>лях адаптации требований, касающихся мониторинга сбоев в системе впрыска топлива (бортовых диагностических систем), к нынешнему уровню технологич</w:t>
      </w:r>
      <w:r w:rsidRPr="00DB6CB3">
        <w:t>е</w:t>
      </w:r>
      <w:r w:rsidRPr="00DB6CB3">
        <w:t>ского развития. В его основу положен неофициальный документ GRPE-71-0</w:t>
      </w:r>
      <w:r>
        <w:t>6 (см. </w:t>
      </w:r>
      <w:r w:rsidRPr="00DB6CB3">
        <w:t xml:space="preserve">доклад </w:t>
      </w:r>
      <w:r w:rsidRPr="00DB6CB3">
        <w:rPr>
          <w:lang w:val="en-GB"/>
        </w:rPr>
        <w:t>ECE</w:t>
      </w:r>
      <w:r w:rsidRPr="00DB6CB3">
        <w:t>/</w:t>
      </w:r>
      <w:r w:rsidRPr="00DB6CB3">
        <w:rPr>
          <w:lang w:val="en-GB"/>
        </w:rPr>
        <w:t>TRANS</w:t>
      </w:r>
      <w:r w:rsidRPr="00DB6CB3">
        <w:t>/</w:t>
      </w:r>
      <w:r w:rsidRPr="00DB6CB3">
        <w:rPr>
          <w:lang w:val="en-GB"/>
        </w:rPr>
        <w:t>WP</w:t>
      </w:r>
      <w:r w:rsidRPr="00DB6CB3">
        <w:t>.29/</w:t>
      </w:r>
      <w:r w:rsidRPr="00DB6CB3">
        <w:rPr>
          <w:lang w:val="en-GB"/>
        </w:rPr>
        <w:t>GRPE</w:t>
      </w:r>
      <w:r w:rsidRPr="00DB6CB3">
        <w:t xml:space="preserve">/71, </w:t>
      </w:r>
      <w:r>
        <w:t>пункты</w:t>
      </w:r>
      <w:r w:rsidRPr="00DB6CB3">
        <w:t xml:space="preserve"> 25</w:t>
      </w:r>
      <w:r>
        <w:t>–</w:t>
      </w:r>
      <w:r w:rsidRPr="00DB6CB3">
        <w:t>26</w:t>
      </w:r>
      <w:r>
        <w:t xml:space="preserve">). </w:t>
      </w:r>
      <w:r w:rsidRPr="00DB6CB3">
        <w:t>Изменения к ныне</w:t>
      </w:r>
      <w:r w:rsidRPr="00DB6CB3">
        <w:t>ш</w:t>
      </w:r>
      <w:r w:rsidRPr="00DB6CB3">
        <w:t>нему тексту Правил № 49 выделены жирным шрифтом (новые положения) или зачеркиванием (исключенные элементы).</w:t>
      </w:r>
    </w:p>
    <w:p w:rsidR="00DB6CB3" w:rsidRDefault="00DB6CB3" w:rsidP="00DB6CB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Pr="00DB6CB3">
        <w:t>I.</w:t>
      </w:r>
      <w:r w:rsidRPr="00DB6CB3">
        <w:tab/>
        <w:t>Предложение</w:t>
      </w:r>
    </w:p>
    <w:p w:rsidR="00DB6CB3" w:rsidRPr="00DB6CB3" w:rsidRDefault="00DB6CB3" w:rsidP="00DB6CB3">
      <w:pPr>
        <w:pStyle w:val="SingleTxt"/>
        <w:spacing w:after="0" w:line="120" w:lineRule="exact"/>
        <w:rPr>
          <w:sz w:val="10"/>
        </w:rPr>
      </w:pPr>
    </w:p>
    <w:p w:rsidR="00DB6CB3" w:rsidRPr="00DB6CB3" w:rsidRDefault="00DB6CB3" w:rsidP="00DB6CB3">
      <w:pPr>
        <w:pStyle w:val="SingleTxt"/>
        <w:spacing w:after="0" w:line="120" w:lineRule="exact"/>
        <w:rPr>
          <w:sz w:val="10"/>
        </w:rPr>
      </w:pPr>
    </w:p>
    <w:p w:rsidR="00DB6CB3" w:rsidRPr="00DB6CB3" w:rsidRDefault="00DB6CB3" w:rsidP="00DB6CB3">
      <w:pPr>
        <w:pStyle w:val="SingleTxt"/>
        <w:rPr>
          <w:i/>
        </w:rPr>
      </w:pPr>
      <w:r w:rsidRPr="00DB6CB3">
        <w:rPr>
          <w:i/>
        </w:rPr>
        <w:t xml:space="preserve">Приложение 9А, пункт 2.3.1 </w:t>
      </w:r>
      <w:r w:rsidRPr="00DB6CB3">
        <w:t>изменить следующим образом:</w:t>
      </w:r>
    </w:p>
    <w:p w:rsidR="00DB6CB3" w:rsidRPr="00DB6CB3" w:rsidRDefault="00DB6CB3" w:rsidP="00DB6CB3">
      <w:pPr>
        <w:pStyle w:val="SingleTxt"/>
        <w:rPr>
          <w:b/>
        </w:rPr>
      </w:pPr>
      <w:r>
        <w:t>«</w:t>
      </w:r>
      <w:r w:rsidRPr="00DB6CB3">
        <w:t>2.3.1</w:t>
      </w:r>
      <w:r w:rsidRPr="00DB6CB3">
        <w:tab/>
        <w:t>Сбои в работе форсунок</w:t>
      </w:r>
    </w:p>
    <w:p w:rsidR="00DB6CB3" w:rsidRPr="00DB6CB3" w:rsidRDefault="00DB6CB3" w:rsidP="00DB6CB3">
      <w:pPr>
        <w:pStyle w:val="SingleTxt"/>
        <w:ind w:left="2218" w:hanging="951"/>
        <w:rPr>
          <w:b/>
          <w:bCs/>
        </w:rPr>
      </w:pPr>
      <w:r w:rsidRPr="00DB6CB3">
        <w:rPr>
          <w:b/>
        </w:rPr>
        <w:tab/>
      </w:r>
      <w:r>
        <w:rPr>
          <w:b/>
        </w:rPr>
        <w:tab/>
      </w:r>
      <w:r w:rsidRPr="00DB6CB3">
        <w:rPr>
          <w:b/>
          <w:bCs/>
        </w:rPr>
        <w:t>В качестве альтернативы мониторингу, предусмотренному в стр</w:t>
      </w:r>
      <w:r w:rsidRPr="00DB6CB3">
        <w:rPr>
          <w:b/>
          <w:bCs/>
        </w:rPr>
        <w:t>о</w:t>
      </w:r>
      <w:r w:rsidRPr="00DB6CB3">
        <w:rPr>
          <w:b/>
          <w:bCs/>
        </w:rPr>
        <w:t>ке d) таблицы в позиции 7 добавления 3 к приложению 9В к наст</w:t>
      </w:r>
      <w:r w:rsidRPr="00DB6CB3">
        <w:rPr>
          <w:b/>
          <w:bCs/>
        </w:rPr>
        <w:t>о</w:t>
      </w:r>
      <w:r w:rsidRPr="00DB6CB3">
        <w:rPr>
          <w:b/>
          <w:bCs/>
        </w:rPr>
        <w:t xml:space="preserve">ящим Правилам, изготовитель может по своему усмотрению </w:t>
      </w:r>
      <w:r w:rsidR="007E4D4E">
        <w:rPr>
          <w:b/>
          <w:bCs/>
        </w:rPr>
        <w:br/>
      </w:r>
      <w:r w:rsidRPr="00DB6CB3">
        <w:rPr>
          <w:b/>
          <w:bCs/>
        </w:rPr>
        <w:t>решить соблюдать положения, перечисленные в пун</w:t>
      </w:r>
      <w:r w:rsidRPr="00DB6CB3">
        <w:rPr>
          <w:b/>
          <w:bCs/>
        </w:rPr>
        <w:t>к</w:t>
      </w:r>
      <w:r w:rsidRPr="00DB6CB3">
        <w:rPr>
          <w:b/>
          <w:bCs/>
        </w:rPr>
        <w:t>тах</w:t>
      </w:r>
      <w:r w:rsidR="007E4D4E">
        <w:rPr>
          <w:b/>
          <w:bCs/>
        </w:rPr>
        <w:t> </w:t>
      </w:r>
      <w:r w:rsidRPr="00DB6CB3">
        <w:rPr>
          <w:b/>
          <w:bCs/>
        </w:rPr>
        <w:t>2.3.1.1−2.3.1.2.1 настоящего приложения</w:t>
      </w:r>
      <w:r w:rsidRPr="007E4D4E">
        <w:rPr>
          <w:bCs/>
        </w:rPr>
        <w:t>».</w:t>
      </w:r>
    </w:p>
    <w:p w:rsidR="00DB6CB3" w:rsidRPr="00DB6CB3" w:rsidRDefault="00DB6CB3" w:rsidP="00DB6CB3">
      <w:pPr>
        <w:pStyle w:val="SingleTxt"/>
        <w:rPr>
          <w:i/>
        </w:rPr>
      </w:pPr>
      <w:r w:rsidRPr="00DB6CB3">
        <w:rPr>
          <w:i/>
        </w:rPr>
        <w:t xml:space="preserve">Приложение 9В, добавление 3, позицию 7 </w:t>
      </w:r>
      <w:r w:rsidRPr="00DB6CB3">
        <w:t>изменить следующим образом:</w:t>
      </w:r>
    </w:p>
    <w:p w:rsidR="00DB6CB3" w:rsidRPr="00DB6CB3" w:rsidRDefault="00DB6CB3" w:rsidP="00DB6CB3">
      <w:pPr>
        <w:pStyle w:val="SingleTxt"/>
      </w:pPr>
      <w:r w:rsidRPr="00DB6CB3">
        <w:t>«Мониторинг топливной системы</w:t>
      </w:r>
    </w:p>
    <w:p w:rsidR="00DB6CB3" w:rsidRDefault="00DB6CB3" w:rsidP="00DB6CB3">
      <w:pPr>
        <w:pStyle w:val="SingleTxt"/>
      </w:pPr>
      <w:r w:rsidRPr="00DB6CB3">
        <w:t>БД-система осуществляет мониторинг следующих элементов топливной системы в оснащенных ею двигателях на предмет их надлежащей работы:</w:t>
      </w:r>
    </w:p>
    <w:p w:rsidR="00DB6CB3" w:rsidRPr="00DB6CB3" w:rsidRDefault="00DB6CB3" w:rsidP="00DB6CB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4"/>
        <w:gridCol w:w="893"/>
        <w:gridCol w:w="909"/>
      </w:tblGrid>
      <w:tr w:rsidR="00C96083" w:rsidRPr="00DB6CB3" w:rsidTr="003639CA">
        <w:trPr>
          <w:tblHeader/>
        </w:trPr>
        <w:tc>
          <w:tcPr>
            <w:tcW w:w="57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CB3" w:rsidRPr="00DB6CB3" w:rsidRDefault="00DB6CB3" w:rsidP="00DB6CB3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CB3" w:rsidRPr="00DB6CB3" w:rsidRDefault="00DB6CB3" w:rsidP="00DB6CB3">
            <w:pPr>
              <w:spacing w:before="80" w:after="80" w:line="160" w:lineRule="exact"/>
              <w:ind w:right="105"/>
              <w:rPr>
                <w:i/>
                <w:sz w:val="14"/>
              </w:rPr>
            </w:pPr>
            <w:r w:rsidRPr="00DB6CB3">
              <w:rPr>
                <w:i/>
                <w:sz w:val="14"/>
              </w:rPr>
              <w:t>Дизельный двигатель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B6CB3" w:rsidRPr="00DB6CB3" w:rsidRDefault="00DB6CB3" w:rsidP="00DB6CB3">
            <w:pPr>
              <w:spacing w:before="80" w:after="80" w:line="160" w:lineRule="exact"/>
              <w:ind w:right="169"/>
              <w:rPr>
                <w:i/>
                <w:sz w:val="14"/>
              </w:rPr>
            </w:pPr>
            <w:r w:rsidRPr="00DB6CB3">
              <w:rPr>
                <w:i/>
                <w:sz w:val="14"/>
              </w:rPr>
              <w:t>Газовый двигатель</w:t>
            </w:r>
          </w:p>
        </w:tc>
      </w:tr>
      <w:tr w:rsidR="00DB6CB3" w:rsidRPr="00DB6CB3" w:rsidTr="003639CA">
        <w:trPr>
          <w:trHeight w:hRule="exact" w:val="115"/>
          <w:tblHeader/>
        </w:trPr>
        <w:tc>
          <w:tcPr>
            <w:tcW w:w="57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CB3" w:rsidRPr="00DB6CB3" w:rsidRDefault="00DB6CB3" w:rsidP="00DB6CB3">
            <w:pPr>
              <w:suppressAutoHyphens/>
              <w:spacing w:before="40" w:after="80"/>
              <w:ind w:left="567" w:right="40" w:hanging="567"/>
              <w:jc w:val="both"/>
            </w:pPr>
          </w:p>
        </w:tc>
        <w:tc>
          <w:tcPr>
            <w:tcW w:w="8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CB3" w:rsidRPr="00DB6CB3" w:rsidRDefault="00DB6CB3" w:rsidP="00DB6CB3">
            <w:pPr>
              <w:spacing w:before="40" w:after="80"/>
              <w:ind w:right="397"/>
            </w:pP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CB3" w:rsidRPr="00DB6CB3" w:rsidRDefault="00DB6CB3" w:rsidP="00DB6CB3">
            <w:pPr>
              <w:spacing w:before="40" w:after="80"/>
              <w:ind w:right="397"/>
            </w:pPr>
          </w:p>
        </w:tc>
      </w:tr>
      <w:tr w:rsidR="00DB6CB3" w:rsidRPr="00DB6CB3" w:rsidTr="003639CA">
        <w:tc>
          <w:tcPr>
            <w:tcW w:w="5734" w:type="dxa"/>
            <w:shd w:val="clear" w:color="auto" w:fill="auto"/>
          </w:tcPr>
          <w:p w:rsidR="00DB6CB3" w:rsidRPr="00DB6CB3" w:rsidRDefault="00DB6CB3" w:rsidP="00DB6CB3">
            <w:pPr>
              <w:spacing w:before="20" w:after="80" w:line="240" w:lineRule="atLeast"/>
              <w:ind w:left="562" w:right="72" w:hanging="562"/>
              <w:jc w:val="both"/>
            </w:pPr>
            <w:r w:rsidRPr="00DB6CB3">
              <w:t>a)</w:t>
            </w:r>
            <w:r w:rsidRPr="00DB6CB3">
              <w:tab/>
              <w:t>регулирование давления в топливной системе: сп</w:t>
            </w:r>
            <w:r w:rsidRPr="00DB6CB3">
              <w:t>о</w:t>
            </w:r>
            <w:r w:rsidRPr="00DB6CB3">
              <w:t>собность топливной системы обеспечивать заданное давление топлива при регулировании по замкнутому циклу − мониторинг эффективности;</w:t>
            </w:r>
          </w:p>
        </w:tc>
        <w:tc>
          <w:tcPr>
            <w:tcW w:w="893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  <w:r w:rsidRPr="00DB6CB3">
              <w:t>X</w:t>
            </w:r>
          </w:p>
        </w:tc>
        <w:tc>
          <w:tcPr>
            <w:tcW w:w="909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</w:p>
        </w:tc>
      </w:tr>
      <w:tr w:rsidR="003639CA" w:rsidRPr="00DB6CB3" w:rsidTr="003639CA">
        <w:tc>
          <w:tcPr>
            <w:tcW w:w="5734" w:type="dxa"/>
            <w:shd w:val="clear" w:color="auto" w:fill="auto"/>
          </w:tcPr>
          <w:p w:rsidR="00DB6CB3" w:rsidRPr="00DB6CB3" w:rsidRDefault="00DB6CB3" w:rsidP="00DB6CB3">
            <w:pPr>
              <w:spacing w:before="20" w:after="80" w:line="240" w:lineRule="atLeast"/>
              <w:ind w:left="562" w:right="72" w:hanging="562"/>
              <w:jc w:val="both"/>
            </w:pPr>
            <w:r w:rsidRPr="00DB6CB3">
              <w:t>b)</w:t>
            </w:r>
            <w:r w:rsidRPr="00DB6CB3">
              <w:tab/>
              <w:t>регулирование давления в топливной системе: сп</w:t>
            </w:r>
            <w:r w:rsidRPr="00DB6CB3">
              <w:t>о</w:t>
            </w:r>
            <w:r w:rsidRPr="00DB6CB3">
              <w:t>собность топливной системы обеспечивать заданное давление топлива при регулировании по замкнутому циклу в том случае, если данная система сконструир</w:t>
            </w:r>
            <w:r w:rsidRPr="00DB6CB3">
              <w:t>о</w:t>
            </w:r>
            <w:r w:rsidRPr="00DB6CB3">
              <w:t>вана таким образом, что давление может контролир</w:t>
            </w:r>
            <w:r w:rsidRPr="00DB6CB3">
              <w:t>о</w:t>
            </w:r>
            <w:r w:rsidRPr="00DB6CB3">
              <w:t>ваться независимо от других параметров − монит</w:t>
            </w:r>
            <w:r w:rsidRPr="00DB6CB3">
              <w:t>о</w:t>
            </w:r>
            <w:r w:rsidRPr="00DB6CB3">
              <w:t>ринг эффективности;</w:t>
            </w:r>
          </w:p>
        </w:tc>
        <w:tc>
          <w:tcPr>
            <w:tcW w:w="893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  <w:r w:rsidRPr="00DB6CB3">
              <w:t>X</w:t>
            </w:r>
          </w:p>
        </w:tc>
        <w:tc>
          <w:tcPr>
            <w:tcW w:w="909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</w:p>
        </w:tc>
      </w:tr>
      <w:tr w:rsidR="003639CA" w:rsidRPr="00DB6CB3" w:rsidTr="003639CA">
        <w:tc>
          <w:tcPr>
            <w:tcW w:w="5734" w:type="dxa"/>
            <w:shd w:val="clear" w:color="auto" w:fill="auto"/>
          </w:tcPr>
          <w:p w:rsidR="00DB6CB3" w:rsidRPr="00DB6CB3" w:rsidRDefault="00DB6CB3" w:rsidP="00DB6CB3">
            <w:pPr>
              <w:spacing w:before="20" w:after="80" w:line="240" w:lineRule="atLeast"/>
              <w:ind w:left="562" w:right="72" w:hanging="562"/>
              <w:jc w:val="both"/>
            </w:pPr>
            <w:r w:rsidRPr="00DB6CB3">
              <w:t>c)</w:t>
            </w:r>
            <w:r w:rsidRPr="00DB6CB3">
              <w:tab/>
              <w:t>опережение впрыска топлива: способность топливной системы обеспечивать заданную синхронизацию п</w:t>
            </w:r>
            <w:r w:rsidRPr="00DB6CB3">
              <w:t>о</w:t>
            </w:r>
            <w:r w:rsidRPr="00DB6CB3">
              <w:t>дачи топлива, по крайней мере, в один из моментов впрыска, когда двигатель оснащен надлежащими да</w:t>
            </w:r>
            <w:r w:rsidRPr="00DB6CB3">
              <w:t>т</w:t>
            </w:r>
            <w:r w:rsidRPr="00DB6CB3">
              <w:t>чиками − мониторинг эффективности;</w:t>
            </w:r>
          </w:p>
        </w:tc>
        <w:tc>
          <w:tcPr>
            <w:tcW w:w="893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  <w:r w:rsidRPr="00DB6CB3">
              <w:t>X</w:t>
            </w:r>
          </w:p>
        </w:tc>
        <w:tc>
          <w:tcPr>
            <w:tcW w:w="909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</w:p>
        </w:tc>
      </w:tr>
      <w:tr w:rsidR="00C96083" w:rsidRPr="00DB6CB3" w:rsidTr="003639CA">
        <w:trPr>
          <w:trHeight w:val="1569"/>
        </w:trPr>
        <w:tc>
          <w:tcPr>
            <w:tcW w:w="5734" w:type="dxa"/>
            <w:shd w:val="clear" w:color="auto" w:fill="auto"/>
          </w:tcPr>
          <w:p w:rsidR="00DB6CB3" w:rsidRPr="00DB6CB3" w:rsidRDefault="00DB6CB3" w:rsidP="00DB6CB3">
            <w:pPr>
              <w:spacing w:before="20" w:after="80" w:line="240" w:lineRule="atLeast"/>
              <w:ind w:left="562" w:right="72" w:hanging="562"/>
              <w:jc w:val="both"/>
              <w:rPr>
                <w:b/>
                <w:bCs/>
              </w:rPr>
            </w:pPr>
            <w:r w:rsidRPr="00DB6CB3">
              <w:t>d)</w:t>
            </w:r>
            <w:r w:rsidRPr="00DB6CB3">
              <w:tab/>
            </w:r>
            <w:r w:rsidRPr="00DB6CB3">
              <w:rPr>
                <w:b/>
                <w:bCs/>
              </w:rPr>
              <w:t>количество впрыскиваемого топлива: способность топливной системы подавать заданное количество топлива посредством выявления отклонений от желаемого количества топлива, по крайней мере, в один из моментов впрыскивания (например, при предварительном, основном или вторичном впрыске) − мониторинг предельных значений в</w:t>
            </w:r>
            <w:r w:rsidRPr="00DB6CB3">
              <w:rPr>
                <w:b/>
                <w:bCs/>
              </w:rPr>
              <w:t>ы</w:t>
            </w:r>
            <w:r w:rsidRPr="00DB6CB3">
              <w:rPr>
                <w:b/>
                <w:bCs/>
              </w:rPr>
              <w:t>бросов;</w:t>
            </w:r>
          </w:p>
        </w:tc>
        <w:tc>
          <w:tcPr>
            <w:tcW w:w="893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  <w:r w:rsidRPr="00DB6CB3">
              <w:t>Х</w:t>
            </w:r>
          </w:p>
        </w:tc>
        <w:tc>
          <w:tcPr>
            <w:tcW w:w="909" w:type="dxa"/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</w:p>
        </w:tc>
      </w:tr>
      <w:tr w:rsidR="00DB6CB3" w:rsidRPr="00DB6CB3" w:rsidTr="003639CA">
        <w:trPr>
          <w:trHeight w:val="1569"/>
        </w:trPr>
        <w:tc>
          <w:tcPr>
            <w:tcW w:w="5734" w:type="dxa"/>
            <w:tcBorders>
              <w:bottom w:val="single" w:sz="12" w:space="0" w:color="auto"/>
            </w:tcBorders>
            <w:shd w:val="clear" w:color="auto" w:fill="auto"/>
          </w:tcPr>
          <w:p w:rsidR="00DB6CB3" w:rsidRPr="00DB6CB3" w:rsidRDefault="00DB6CB3" w:rsidP="00DB6CB3">
            <w:pPr>
              <w:spacing w:before="20" w:after="80" w:line="240" w:lineRule="atLeast"/>
              <w:ind w:left="562" w:right="72" w:hanging="562"/>
              <w:jc w:val="both"/>
            </w:pPr>
            <w:r w:rsidRPr="00DB6CB3">
              <w:rPr>
                <w:b/>
                <w:bCs/>
              </w:rPr>
              <w:t>е)</w:t>
            </w:r>
            <w:r w:rsidRPr="00DB6CB3">
              <w:tab/>
              <w:t>система впрыска топлива: способность поддерживать заданное соотношение компонентов топливной смеси (включая, в частности, самонастраивающиеся элеме</w:t>
            </w:r>
            <w:r w:rsidRPr="00DB6CB3">
              <w:t>н</w:t>
            </w:r>
            <w:r w:rsidRPr="00DB6CB3">
              <w:t>ты) − мониторинг эффективности.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auto"/>
          </w:tcPr>
          <w:p w:rsidR="00DB6CB3" w:rsidRPr="00DB6CB3" w:rsidRDefault="00DB6CB3" w:rsidP="003639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</w:pPr>
            <w:r w:rsidRPr="00DB6CB3">
              <w:t>X</w:t>
            </w:r>
          </w:p>
        </w:tc>
      </w:tr>
    </w:tbl>
    <w:p w:rsidR="00DB6CB3" w:rsidRDefault="00C96083" w:rsidP="00C96083">
      <w:pPr>
        <w:pStyle w:val="SingleTxt"/>
        <w:jc w:val="right"/>
      </w:pPr>
      <w:r>
        <w:t>»</w:t>
      </w:r>
    </w:p>
    <w:p w:rsidR="0062756B" w:rsidRDefault="0062756B" w:rsidP="007E4D4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62756B">
        <w:t>II.</w:t>
      </w:r>
      <w:r w:rsidRPr="0062756B">
        <w:tab/>
        <w:t>Обоснование</w:t>
      </w:r>
    </w:p>
    <w:p w:rsidR="0062756B" w:rsidRPr="0062756B" w:rsidRDefault="0062756B" w:rsidP="007E4D4E">
      <w:pPr>
        <w:pStyle w:val="SingleTxt"/>
        <w:keepNext/>
        <w:keepLines/>
        <w:spacing w:after="0" w:line="120" w:lineRule="exact"/>
        <w:rPr>
          <w:sz w:val="10"/>
        </w:rPr>
      </w:pPr>
    </w:p>
    <w:p w:rsidR="0062756B" w:rsidRPr="0062756B" w:rsidRDefault="0062756B" w:rsidP="007E4D4E">
      <w:pPr>
        <w:pStyle w:val="SingleTxt"/>
        <w:keepNext/>
        <w:keepLines/>
        <w:spacing w:after="0" w:line="120" w:lineRule="exact"/>
        <w:rPr>
          <w:sz w:val="10"/>
        </w:rPr>
      </w:pPr>
    </w:p>
    <w:p w:rsidR="0062756B" w:rsidRPr="0062756B" w:rsidRDefault="0062756B" w:rsidP="007E4D4E">
      <w:pPr>
        <w:pStyle w:val="SingleTxt"/>
        <w:keepNext/>
        <w:keepLines/>
      </w:pPr>
      <w:r w:rsidRPr="0062756B">
        <w:t>1.</w:t>
      </w:r>
      <w:r w:rsidRPr="0062756B">
        <w:tab/>
        <w:t>Мониторинг засоренных систем впрыска был введен в законодательство в целях предотвращения высокого уровня выбросов взвешенных частиц, когда о</w:t>
      </w:r>
      <w:r w:rsidRPr="0062756B">
        <w:t>д</w:t>
      </w:r>
      <w:r w:rsidRPr="0062756B">
        <w:t>новременно происходит частичный выход из строя сажевого фильтра.</w:t>
      </w:r>
    </w:p>
    <w:p w:rsidR="0062756B" w:rsidRPr="0062756B" w:rsidRDefault="0062756B" w:rsidP="0062756B">
      <w:pPr>
        <w:pStyle w:val="SingleTxt"/>
      </w:pPr>
      <w:r w:rsidRPr="0062756B">
        <w:t>2.</w:t>
      </w:r>
      <w:r w:rsidRPr="0062756B">
        <w:tab/>
        <w:t>В настоящее время никаких конкретных методов мониторинга не пред</w:t>
      </w:r>
      <w:r w:rsidRPr="0062756B">
        <w:t>у</w:t>
      </w:r>
      <w:r w:rsidRPr="0062756B">
        <w:t>смотрено, но требуется, чтобы на стадии С каждый производитель представлял органу по официальному утверждению типа методику мониторинга для обнар</w:t>
      </w:r>
      <w:r w:rsidRPr="0062756B">
        <w:t>у</w:t>
      </w:r>
      <w:r w:rsidRPr="0062756B">
        <w:t>жения возможного засорения форсунок.</w:t>
      </w:r>
    </w:p>
    <w:p w:rsidR="0062756B" w:rsidRPr="0062756B" w:rsidRDefault="0062756B" w:rsidP="0062756B">
      <w:pPr>
        <w:pStyle w:val="SingleTxt"/>
      </w:pPr>
      <w:r w:rsidRPr="0062756B">
        <w:t>3.</w:t>
      </w:r>
      <w:r w:rsidRPr="0062756B">
        <w:tab/>
        <w:t>Поскольку засоренная система впрыска будет безусловно влиять на колич</w:t>
      </w:r>
      <w:r w:rsidRPr="0062756B">
        <w:t>е</w:t>
      </w:r>
      <w:r w:rsidRPr="0062756B">
        <w:t>ство подаваемого топлива, предлагается перенести положения, касающиеся «способности топливной системы обеспечивать заданное давление топлива», к</w:t>
      </w:r>
      <w:r w:rsidRPr="0062756B">
        <w:t>о</w:t>
      </w:r>
      <w:r w:rsidRPr="0062756B">
        <w:t>торые определены в Глобальных технических правил № 5, в Правила № 49.</w:t>
      </w:r>
    </w:p>
    <w:p w:rsidR="00C96083" w:rsidRDefault="0062756B" w:rsidP="0062756B">
      <w:pPr>
        <w:pStyle w:val="SingleTxt"/>
      </w:pPr>
      <w:r w:rsidRPr="0062756B">
        <w:t>4.</w:t>
      </w:r>
      <w:r w:rsidRPr="0062756B">
        <w:tab/>
        <w:t>Нынешние требования не изменятся и будут рассматриваться в качестве альтернативы для изготовителя в отношении способа мониторинга подачи топл</w:t>
      </w:r>
      <w:r w:rsidRPr="0062756B">
        <w:t>и</w:t>
      </w:r>
      <w:r>
        <w:t>ва «</w:t>
      </w:r>
      <w:r w:rsidRPr="0062756B">
        <w:t>по умолчанию</w:t>
      </w:r>
      <w:r>
        <w:t>»</w:t>
      </w:r>
      <w:r w:rsidRPr="0062756B">
        <w:t>. Это позволит изготовителям, которые уже согласовали со своим органом по официальному утверждению типа другой метод мониторинга, не оказаться в неблагоприятном положении в результате внесения «изменений в последний момент».</w:t>
      </w:r>
    </w:p>
    <w:p w:rsidR="00DB6CB3" w:rsidRPr="0062756B" w:rsidRDefault="0062756B" w:rsidP="0062756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B6CB3" w:rsidRPr="0062756B" w:rsidSect="001C48B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12T15:44:00Z" w:initials="Start">
    <w:p w:rsidR="001C48B2" w:rsidRPr="00DB6CB3" w:rsidRDefault="001C48B2">
      <w:pPr>
        <w:pStyle w:val="CommentText"/>
        <w:rPr>
          <w:lang w:val="en-US"/>
        </w:rPr>
      </w:pPr>
      <w:r>
        <w:fldChar w:fldCharType="begin"/>
      </w:r>
      <w:r w:rsidRPr="00DB6CB3">
        <w:rPr>
          <w:rStyle w:val="CommentReference"/>
          <w:lang w:val="en-US"/>
        </w:rPr>
        <w:instrText xml:space="preserve"> </w:instrText>
      </w:r>
      <w:r w:rsidRPr="00DB6CB3">
        <w:rPr>
          <w:lang w:val="en-US"/>
        </w:rPr>
        <w:instrText>PAGE \# "'Page: '#'</w:instrText>
      </w:r>
      <w:r w:rsidRPr="00DB6CB3">
        <w:rPr>
          <w:lang w:val="en-US"/>
        </w:rPr>
        <w:br/>
        <w:instrText>'"</w:instrText>
      </w:r>
      <w:r w:rsidRPr="00DB6CB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B6CB3">
        <w:rPr>
          <w:lang w:val="en-US"/>
        </w:rPr>
        <w:t>&lt;&lt;ODS JOB NO&gt;&gt;N1524507R&lt;&lt;ODS JOB NO&gt;&gt;</w:t>
      </w:r>
    </w:p>
    <w:p w:rsidR="001C48B2" w:rsidRDefault="001C48B2">
      <w:pPr>
        <w:pStyle w:val="CommentText"/>
      </w:pPr>
      <w:r>
        <w:t>&lt;&lt;ODS DOC SYMBOL1&gt;&gt;ECE/TRANS/WP.29/GRPE/2016/7&lt;&lt;ODS DOC SYMBOL1&gt;&gt;</w:t>
      </w:r>
    </w:p>
    <w:p w:rsidR="001C48B2" w:rsidRDefault="001C48B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40" w:rsidRDefault="00EC1140" w:rsidP="008A1A7A">
      <w:pPr>
        <w:spacing w:line="240" w:lineRule="auto"/>
      </w:pPr>
      <w:r>
        <w:separator/>
      </w:r>
    </w:p>
  </w:endnote>
  <w:endnote w:type="continuationSeparator" w:id="0">
    <w:p w:rsidR="00EC1140" w:rsidRDefault="00EC114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C48B2" w:rsidTr="001C48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C48B2" w:rsidRPr="001C48B2" w:rsidRDefault="001C48B2" w:rsidP="001C48B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E262A">
            <w:rPr>
              <w:noProof/>
            </w:rPr>
            <w:t>2</w:t>
          </w:r>
          <w:r>
            <w:fldChar w:fldCharType="end"/>
          </w:r>
          <w:r>
            <w:t>/</w:t>
          </w:r>
          <w:r w:rsidR="000E262A">
            <w:fldChar w:fldCharType="begin"/>
          </w:r>
          <w:r w:rsidR="000E262A">
            <w:instrText xml:space="preserve"> NUMPAGES  \* Arabic  \* MERGEFORMAT </w:instrText>
          </w:r>
          <w:r w:rsidR="000E262A">
            <w:fldChar w:fldCharType="separate"/>
          </w:r>
          <w:r w:rsidR="000E262A">
            <w:rPr>
              <w:noProof/>
            </w:rPr>
            <w:t>2</w:t>
          </w:r>
          <w:r w:rsidR="000E262A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C48B2" w:rsidRPr="001C48B2" w:rsidRDefault="001C48B2" w:rsidP="001C48B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74573">
            <w:rPr>
              <w:b w:val="0"/>
              <w:color w:val="000000"/>
              <w:sz w:val="14"/>
            </w:rPr>
            <w:t>GE.15-18619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C48B2" w:rsidRPr="001C48B2" w:rsidRDefault="001C48B2" w:rsidP="001C4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C48B2" w:rsidTr="001C48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C48B2" w:rsidRPr="001C48B2" w:rsidRDefault="001C48B2" w:rsidP="001C48B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74573">
            <w:rPr>
              <w:b w:val="0"/>
              <w:color w:val="000000"/>
              <w:sz w:val="14"/>
            </w:rPr>
            <w:t>GE.15-18619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C48B2" w:rsidRPr="001C48B2" w:rsidRDefault="001C48B2" w:rsidP="001C48B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E262A">
            <w:rPr>
              <w:noProof/>
            </w:rPr>
            <w:t>3</w:t>
          </w:r>
          <w:r>
            <w:fldChar w:fldCharType="end"/>
          </w:r>
          <w:r>
            <w:t>/</w:t>
          </w:r>
          <w:r w:rsidR="000E262A">
            <w:fldChar w:fldCharType="begin"/>
          </w:r>
          <w:r w:rsidR="000E262A">
            <w:instrText xml:space="preserve"> NUMPAGES  \* Arabic  \* MERGEFORMAT </w:instrText>
          </w:r>
          <w:r w:rsidR="000E262A">
            <w:fldChar w:fldCharType="separate"/>
          </w:r>
          <w:r w:rsidR="000E262A">
            <w:rPr>
              <w:noProof/>
            </w:rPr>
            <w:t>3</w:t>
          </w:r>
          <w:r w:rsidR="000E262A">
            <w:rPr>
              <w:noProof/>
            </w:rPr>
            <w:fldChar w:fldCharType="end"/>
          </w:r>
        </w:p>
      </w:tc>
    </w:tr>
  </w:tbl>
  <w:p w:rsidR="001C48B2" w:rsidRPr="001C48B2" w:rsidRDefault="001C48B2" w:rsidP="001C4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C48B2" w:rsidTr="001C48B2">
      <w:tc>
        <w:tcPr>
          <w:tcW w:w="3873" w:type="dxa"/>
        </w:tcPr>
        <w:p w:rsidR="001C48B2" w:rsidRDefault="001C48B2" w:rsidP="001C48B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3A8A046" wp14:editId="3719814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GE.15-18619 (R)</w:t>
          </w:r>
          <w:r>
            <w:rPr>
              <w:color w:val="010000"/>
            </w:rPr>
            <w:t xml:space="preserve">    121115    121115</w:t>
          </w:r>
        </w:p>
        <w:p w:rsidR="001C48B2" w:rsidRPr="001C48B2" w:rsidRDefault="001C48B2" w:rsidP="001C48B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*1518619*</w:t>
          </w:r>
        </w:p>
      </w:tc>
      <w:tc>
        <w:tcPr>
          <w:tcW w:w="5127" w:type="dxa"/>
        </w:tcPr>
        <w:p w:rsidR="001C48B2" w:rsidRDefault="001C48B2" w:rsidP="001C48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8829268" wp14:editId="7437906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48B2" w:rsidRPr="001C48B2" w:rsidRDefault="001C48B2" w:rsidP="001C48B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40" w:rsidRPr="00DB6CB3" w:rsidRDefault="00DB6CB3" w:rsidP="00DB6CB3">
      <w:pPr>
        <w:pStyle w:val="Footer"/>
        <w:spacing w:after="80"/>
        <w:ind w:left="792"/>
        <w:rPr>
          <w:sz w:val="16"/>
        </w:rPr>
      </w:pPr>
      <w:r w:rsidRPr="00DB6CB3">
        <w:rPr>
          <w:sz w:val="16"/>
        </w:rPr>
        <w:t>__________________</w:t>
      </w:r>
    </w:p>
  </w:footnote>
  <w:footnote w:type="continuationSeparator" w:id="0">
    <w:p w:rsidR="00EC1140" w:rsidRPr="00DB6CB3" w:rsidRDefault="00DB6CB3" w:rsidP="00DB6CB3">
      <w:pPr>
        <w:pStyle w:val="Footer"/>
        <w:spacing w:after="80"/>
        <w:ind w:left="792"/>
        <w:rPr>
          <w:sz w:val="16"/>
        </w:rPr>
      </w:pPr>
      <w:r w:rsidRPr="00DB6CB3">
        <w:rPr>
          <w:sz w:val="16"/>
        </w:rPr>
        <w:t>__________________</w:t>
      </w:r>
    </w:p>
  </w:footnote>
  <w:footnote w:id="1">
    <w:p w:rsidR="00DB6CB3" w:rsidRPr="001A4C4D" w:rsidRDefault="00DB6CB3" w:rsidP="00DB6CB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105A36">
        <w:rPr>
          <w:rStyle w:val="FootnoteReference"/>
          <w:szCs w:val="17"/>
          <w:vertAlign w:val="baseline"/>
        </w:rPr>
        <w:t>*</w:t>
      </w:r>
      <w:r w:rsidRPr="001A4C4D">
        <w:tab/>
      </w:r>
      <w:r w:rsidRPr="00DA1B27">
        <w:rPr>
          <w:szCs w:val="18"/>
        </w:rPr>
        <w:t>В соответствии с программой</w:t>
      </w:r>
      <w:r>
        <w:rPr>
          <w:szCs w:val="18"/>
        </w:rPr>
        <w:t xml:space="preserve"> работы Комитета по внутреннему</w:t>
      </w:r>
      <w:r w:rsidRPr="00112457">
        <w:rPr>
          <w:szCs w:val="18"/>
        </w:rPr>
        <w:t xml:space="preserve"> </w:t>
      </w:r>
      <w:r w:rsidRPr="00DA1B27">
        <w:rPr>
          <w:szCs w:val="18"/>
        </w:rPr>
        <w:t xml:space="preserve">транспорту </w:t>
      </w:r>
      <w:r>
        <w:rPr>
          <w:szCs w:val="18"/>
        </w:rPr>
        <w:t>на</w:t>
      </w:r>
      <w:r w:rsidRPr="00B0509C">
        <w:rPr>
          <w:szCs w:val="18"/>
        </w:rPr>
        <w:t xml:space="preserve"> </w:t>
      </w:r>
      <w:r w:rsidRPr="00DA1B27">
        <w:rPr>
          <w:szCs w:val="18"/>
        </w:rPr>
        <w:t>201</w:t>
      </w:r>
      <w:r w:rsidRPr="00B0509C">
        <w:rPr>
          <w:szCs w:val="18"/>
        </w:rPr>
        <w:t>4</w:t>
      </w:r>
      <w:r w:rsidRPr="00112457">
        <w:rPr>
          <w:szCs w:val="18"/>
        </w:rPr>
        <w:t>−</w:t>
      </w:r>
      <w:r w:rsidRPr="00DA1B27">
        <w:rPr>
          <w:szCs w:val="18"/>
        </w:rPr>
        <w:t>201</w:t>
      </w:r>
      <w:r w:rsidRPr="00B0509C">
        <w:rPr>
          <w:szCs w:val="18"/>
        </w:rPr>
        <w:t>8</w:t>
      </w:r>
      <w:r>
        <w:rPr>
          <w:szCs w:val="18"/>
        </w:rPr>
        <w:t> годы</w:t>
      </w:r>
      <w:r w:rsidRPr="00DA1B27">
        <w:rPr>
          <w:szCs w:val="18"/>
        </w:rPr>
        <w:t xml:space="preserve"> (</w:t>
      </w:r>
      <w:r>
        <w:rPr>
          <w:szCs w:val="18"/>
          <w:lang w:val="en-US"/>
        </w:rPr>
        <w:t>ECE</w:t>
      </w:r>
      <w:r w:rsidRPr="00DA1B27">
        <w:rPr>
          <w:szCs w:val="18"/>
        </w:rPr>
        <w:t>/</w:t>
      </w:r>
      <w:r>
        <w:rPr>
          <w:szCs w:val="18"/>
          <w:lang w:val="en-US"/>
        </w:rPr>
        <w:t>TRANS</w:t>
      </w:r>
      <w:r w:rsidRPr="00DA1B27">
        <w:rPr>
          <w:szCs w:val="18"/>
        </w:rPr>
        <w:t>/2</w:t>
      </w:r>
      <w:r w:rsidRPr="00B0509C">
        <w:rPr>
          <w:szCs w:val="18"/>
        </w:rPr>
        <w:t>40</w:t>
      </w:r>
      <w:r w:rsidRPr="00DA1B27">
        <w:rPr>
          <w:szCs w:val="18"/>
        </w:rPr>
        <w:t xml:space="preserve">, </w:t>
      </w:r>
      <w:r>
        <w:rPr>
          <w:szCs w:val="18"/>
        </w:rPr>
        <w:t>пункт</w:t>
      </w:r>
      <w:r w:rsidRPr="00DA1B27">
        <w:rPr>
          <w:szCs w:val="18"/>
        </w:rPr>
        <w:t xml:space="preserve"> </w:t>
      </w:r>
      <w:r w:rsidRPr="00B0509C">
        <w:rPr>
          <w:szCs w:val="18"/>
        </w:rPr>
        <w:t>105</w:t>
      </w:r>
      <w:r>
        <w:rPr>
          <w:szCs w:val="18"/>
        </w:rPr>
        <w:t>,</w:t>
      </w:r>
      <w:r w:rsidRPr="00DA1B27">
        <w:rPr>
          <w:szCs w:val="18"/>
        </w:rPr>
        <w:t xml:space="preserve"> </w:t>
      </w:r>
      <w:r>
        <w:rPr>
          <w:szCs w:val="18"/>
        </w:rPr>
        <w:t>и</w:t>
      </w:r>
      <w:r w:rsidRPr="00DA1B27">
        <w:rPr>
          <w:szCs w:val="18"/>
        </w:rPr>
        <w:t xml:space="preserve"> </w:t>
      </w:r>
      <w:r w:rsidRPr="00DC2E82">
        <w:rPr>
          <w:szCs w:val="18"/>
          <w:lang w:val="en-US"/>
        </w:rPr>
        <w:t>ECE</w:t>
      </w:r>
      <w:r w:rsidRPr="00DA1B27">
        <w:rPr>
          <w:szCs w:val="18"/>
        </w:rPr>
        <w:t>/</w:t>
      </w:r>
      <w:r w:rsidRPr="00DC2E82">
        <w:rPr>
          <w:szCs w:val="18"/>
          <w:lang w:val="en-US"/>
        </w:rPr>
        <w:t>TRANS</w:t>
      </w:r>
      <w:r w:rsidRPr="00DA1B27">
        <w:rPr>
          <w:szCs w:val="18"/>
        </w:rPr>
        <w:t>/201</w:t>
      </w:r>
      <w:r w:rsidRPr="00B0509C">
        <w:rPr>
          <w:szCs w:val="18"/>
        </w:rPr>
        <w:t>4</w:t>
      </w:r>
      <w:r w:rsidRPr="00DA1B27">
        <w:rPr>
          <w:szCs w:val="18"/>
        </w:rPr>
        <w:t>/2</w:t>
      </w:r>
      <w:r w:rsidRPr="00B0509C">
        <w:rPr>
          <w:szCs w:val="18"/>
        </w:rPr>
        <w:t>6</w:t>
      </w:r>
      <w:r w:rsidRPr="00DA1B27">
        <w:rPr>
          <w:szCs w:val="18"/>
        </w:rPr>
        <w:t>, подпрограмма</w:t>
      </w:r>
      <w:r>
        <w:rPr>
          <w:szCs w:val="18"/>
        </w:rPr>
        <w:t> </w:t>
      </w:r>
      <w:r w:rsidRPr="00DA1B27">
        <w:rPr>
          <w:szCs w:val="18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  <w:r w:rsidRPr="001A4C4D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C48B2" w:rsidTr="001C48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C48B2" w:rsidRPr="001C48B2" w:rsidRDefault="001C48B2" w:rsidP="001C48B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74573">
            <w:rPr>
              <w:b/>
            </w:rPr>
            <w:t>ECE/TRANS/WP.29/GRPE/2016/7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C48B2" w:rsidRDefault="001C48B2" w:rsidP="001C48B2">
          <w:pPr>
            <w:pStyle w:val="Header"/>
          </w:pPr>
        </w:p>
      </w:tc>
    </w:tr>
  </w:tbl>
  <w:p w:rsidR="001C48B2" w:rsidRPr="001C48B2" w:rsidRDefault="001C48B2" w:rsidP="001C4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C48B2" w:rsidTr="001C48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C48B2" w:rsidRDefault="001C48B2" w:rsidP="001C48B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C48B2" w:rsidRPr="001C48B2" w:rsidRDefault="001C48B2" w:rsidP="001C48B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74573">
            <w:rPr>
              <w:b/>
            </w:rPr>
            <w:t>ECE/TRANS/WP.29/GRPE/2016/7</w:t>
          </w:r>
          <w:r>
            <w:rPr>
              <w:b/>
            </w:rPr>
            <w:fldChar w:fldCharType="end"/>
          </w:r>
        </w:p>
      </w:tc>
    </w:tr>
  </w:tbl>
  <w:p w:rsidR="001C48B2" w:rsidRPr="001C48B2" w:rsidRDefault="001C48B2" w:rsidP="001C4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C48B2" w:rsidTr="001C48B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C48B2" w:rsidRPr="001C48B2" w:rsidRDefault="001C48B2" w:rsidP="001C48B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C48B2" w:rsidRDefault="001C48B2" w:rsidP="001C48B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C48B2" w:rsidRPr="001C48B2" w:rsidRDefault="001C48B2" w:rsidP="001C48B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/TRANS/WP.29/GRPE/2016/7</w:t>
          </w:r>
        </w:p>
      </w:tc>
    </w:tr>
    <w:tr w:rsidR="001C48B2" w:rsidRPr="00DB6CB3" w:rsidTr="001C48B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48B2" w:rsidRPr="001C48B2" w:rsidRDefault="001C48B2" w:rsidP="001C48B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396D4C8" wp14:editId="6C6DD16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48B2" w:rsidRPr="001C48B2" w:rsidRDefault="001C48B2" w:rsidP="001C48B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48B2" w:rsidRPr="001C48B2" w:rsidRDefault="001C48B2" w:rsidP="001C48B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C48B2" w:rsidRPr="00DB6CB3" w:rsidRDefault="001C48B2" w:rsidP="001C48B2">
          <w:pPr>
            <w:pStyle w:val="Distribution"/>
            <w:rPr>
              <w:color w:val="000000"/>
              <w:lang w:val="en-US"/>
            </w:rPr>
          </w:pPr>
          <w:r w:rsidRPr="00DB6CB3">
            <w:rPr>
              <w:color w:val="000000"/>
              <w:lang w:val="en-US"/>
            </w:rPr>
            <w:t>Distr.: General</w:t>
          </w:r>
        </w:p>
        <w:p w:rsidR="001C48B2" w:rsidRPr="00DB6CB3" w:rsidRDefault="001C48B2" w:rsidP="001C48B2">
          <w:pPr>
            <w:pStyle w:val="Publication"/>
            <w:rPr>
              <w:color w:val="000000"/>
              <w:lang w:val="en-US"/>
            </w:rPr>
          </w:pPr>
          <w:r w:rsidRPr="00DB6CB3">
            <w:rPr>
              <w:color w:val="000000"/>
              <w:lang w:val="en-US"/>
            </w:rPr>
            <w:t>26 October 2015</w:t>
          </w:r>
        </w:p>
        <w:p w:rsidR="001C48B2" w:rsidRPr="00DB6CB3" w:rsidRDefault="001C48B2" w:rsidP="001C48B2">
          <w:pPr>
            <w:rPr>
              <w:color w:val="000000"/>
              <w:lang w:val="en-US"/>
            </w:rPr>
          </w:pPr>
          <w:r w:rsidRPr="00DB6CB3">
            <w:rPr>
              <w:color w:val="000000"/>
              <w:lang w:val="en-US"/>
            </w:rPr>
            <w:t>Russian</w:t>
          </w:r>
        </w:p>
        <w:p w:rsidR="001C48B2" w:rsidRPr="00DB6CB3" w:rsidRDefault="001C48B2" w:rsidP="001C48B2">
          <w:pPr>
            <w:pStyle w:val="Original"/>
            <w:rPr>
              <w:color w:val="000000"/>
              <w:lang w:val="en-US"/>
            </w:rPr>
          </w:pPr>
          <w:r w:rsidRPr="00DB6CB3">
            <w:rPr>
              <w:color w:val="000000"/>
              <w:lang w:val="en-US"/>
            </w:rPr>
            <w:t>Original: English</w:t>
          </w:r>
        </w:p>
        <w:p w:rsidR="001C48B2" w:rsidRPr="00DB6CB3" w:rsidRDefault="001C48B2" w:rsidP="001C48B2">
          <w:pPr>
            <w:rPr>
              <w:lang w:val="en-US"/>
            </w:rPr>
          </w:pPr>
        </w:p>
      </w:tc>
    </w:tr>
  </w:tbl>
  <w:p w:rsidR="001C48B2" w:rsidRPr="00DB6CB3" w:rsidRDefault="001C48B2" w:rsidP="001C48B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B0FB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619*"/>
    <w:docVar w:name="CreationDt" w:val="11/12/2015 3:44: PM"/>
    <w:docVar w:name="DocCategory" w:val="Doc"/>
    <w:docVar w:name="DocType" w:val="Final"/>
    <w:docVar w:name="DutyStation" w:val="Geneva"/>
    <w:docVar w:name="FooterJN" w:val="GE.15-18619"/>
    <w:docVar w:name="jobn" w:val="GE.15-18619 (R)"/>
    <w:docVar w:name="jobnDT" w:val="GE.15-18619 (R)   121115"/>
    <w:docVar w:name="jobnDTDT" w:val="GE.15-18619 (R)   121115   121115"/>
    <w:docVar w:name="JobNo" w:val="GE.1518619R"/>
    <w:docVar w:name="JobNo2" w:val="1524507R"/>
    <w:docVar w:name="LocalDrive" w:val="0"/>
    <w:docVar w:name="OandT" w:val=" "/>
    <w:docVar w:name="PaperSize" w:val="A4"/>
    <w:docVar w:name="sss1" w:val="ECE/TRANS/WP.29/GRPE/2016/7"/>
    <w:docVar w:name="sss2" w:val="-"/>
    <w:docVar w:name="Symbol1" w:val="ECE/TRANS/WP.29/GRPE/2016/7"/>
    <w:docVar w:name="Symbol2" w:val="-"/>
  </w:docVars>
  <w:rsids>
    <w:rsidRoot w:val="00EC114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262A"/>
    <w:rsid w:val="000E30BA"/>
    <w:rsid w:val="000E35C6"/>
    <w:rsid w:val="000E3712"/>
    <w:rsid w:val="000E4411"/>
    <w:rsid w:val="000F1ACD"/>
    <w:rsid w:val="000F5D07"/>
    <w:rsid w:val="00105A36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48B2"/>
    <w:rsid w:val="001C54CE"/>
    <w:rsid w:val="001D15F8"/>
    <w:rsid w:val="001D1749"/>
    <w:rsid w:val="001D1BDA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59B2"/>
    <w:rsid w:val="002726BA"/>
    <w:rsid w:val="0027350A"/>
    <w:rsid w:val="00277697"/>
    <w:rsid w:val="002802AC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39CA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4F12"/>
    <w:rsid w:val="004B722C"/>
    <w:rsid w:val="004C1B79"/>
    <w:rsid w:val="004C27B4"/>
    <w:rsid w:val="004C6A2C"/>
    <w:rsid w:val="004D275F"/>
    <w:rsid w:val="004D474D"/>
    <w:rsid w:val="004D6276"/>
    <w:rsid w:val="004D656E"/>
    <w:rsid w:val="004E2C8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2756B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6F75B4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573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4D4E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083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6CB3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1140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C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8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8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8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DB6CB3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C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8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8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8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DB6CB3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8A32-ADEE-420B-AF8E-C20B8028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2015-11-12T15:29:00Z</cp:lastPrinted>
  <dcterms:created xsi:type="dcterms:W3CDTF">2015-12-01T13:16:00Z</dcterms:created>
  <dcterms:modified xsi:type="dcterms:W3CDTF">2015-12-01T13:16:00Z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1518619R</vt:lpwstr>
  </property>
  <property fmtid="{D5CDD505-2E9C-101B-9397-08002B2CF9AE}" pid="3" name="ODSRefJobNo">
    <vt:lpwstr>1524507R</vt:lpwstr>
  </property>
  <property fmtid="{D5CDD505-2E9C-101B-9397-08002B2CF9AE}" pid="4" name="Symbol1">
    <vt:lpwstr>ECE/TRANS/WP.29/GRPE/2016/7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October 2015</vt:lpwstr>
  </property>
  <property fmtid="{D5CDD505-2E9C-101B-9397-08002B2CF9AE}" pid="12" name="Original">
    <vt:lpwstr>English</vt:lpwstr>
  </property>
  <property fmtid="{D5CDD505-2E9C-101B-9397-08002B2CF9AE}" pid="13" name="Release Date">
    <vt:lpwstr>121115</vt:lpwstr>
  </property>
</Properties>
</file>