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44FE8" w:rsidTr="007F20FA">
        <w:trPr>
          <w:trHeight w:hRule="exact" w:val="851"/>
        </w:trPr>
        <w:tc>
          <w:tcPr>
            <w:tcW w:w="1276" w:type="dxa"/>
            <w:tcBorders>
              <w:bottom w:val="single" w:sz="4" w:space="0" w:color="auto"/>
            </w:tcBorders>
          </w:tcPr>
          <w:p w:rsidR="00F35BAF" w:rsidRPr="00844FE8" w:rsidRDefault="00F35BAF" w:rsidP="00A208E2">
            <w:bookmarkStart w:id="0" w:name="_GoBack"/>
            <w:bookmarkEnd w:id="0"/>
          </w:p>
        </w:tc>
        <w:tc>
          <w:tcPr>
            <w:tcW w:w="2268" w:type="dxa"/>
            <w:tcBorders>
              <w:bottom w:val="single" w:sz="4" w:space="0" w:color="auto"/>
            </w:tcBorders>
            <w:vAlign w:val="bottom"/>
          </w:tcPr>
          <w:p w:rsidR="00F35BAF" w:rsidRPr="00844FE8" w:rsidRDefault="00F35BAF" w:rsidP="00892A2F">
            <w:pPr>
              <w:spacing w:after="80" w:line="300" w:lineRule="exact"/>
              <w:rPr>
                <w:sz w:val="28"/>
              </w:rPr>
            </w:pPr>
            <w:r w:rsidRPr="00844FE8">
              <w:rPr>
                <w:sz w:val="28"/>
              </w:rPr>
              <w:t>Nations Unies</w:t>
            </w:r>
          </w:p>
        </w:tc>
        <w:tc>
          <w:tcPr>
            <w:tcW w:w="6095" w:type="dxa"/>
            <w:gridSpan w:val="2"/>
            <w:tcBorders>
              <w:bottom w:val="single" w:sz="4" w:space="0" w:color="auto"/>
            </w:tcBorders>
            <w:vAlign w:val="bottom"/>
          </w:tcPr>
          <w:p w:rsidR="00F35BAF" w:rsidRPr="00844FE8" w:rsidRDefault="00A208E2" w:rsidP="00A208E2">
            <w:pPr>
              <w:jc w:val="right"/>
            </w:pPr>
            <w:r w:rsidRPr="00844FE8">
              <w:rPr>
                <w:sz w:val="40"/>
              </w:rPr>
              <w:t>ECE</w:t>
            </w:r>
            <w:r w:rsidRPr="00844FE8">
              <w:t>/TRANS/WP.29/GRE/2016/30</w:t>
            </w:r>
          </w:p>
        </w:tc>
      </w:tr>
      <w:tr w:rsidR="00F35BAF" w:rsidRPr="00844FE8" w:rsidTr="00892A2F">
        <w:trPr>
          <w:trHeight w:hRule="exact" w:val="2835"/>
        </w:trPr>
        <w:tc>
          <w:tcPr>
            <w:tcW w:w="1276" w:type="dxa"/>
            <w:tcBorders>
              <w:top w:val="single" w:sz="4" w:space="0" w:color="auto"/>
              <w:bottom w:val="single" w:sz="12" w:space="0" w:color="auto"/>
            </w:tcBorders>
          </w:tcPr>
          <w:p w:rsidR="00F35BAF" w:rsidRPr="00844FE8" w:rsidRDefault="00F35BAF" w:rsidP="00892A2F">
            <w:pPr>
              <w:spacing w:before="120"/>
              <w:jc w:val="center"/>
            </w:pPr>
            <w:r w:rsidRPr="00844FE8">
              <w:rPr>
                <w:noProof/>
                <w:lang w:val="en-GB" w:eastAsia="en-GB"/>
              </w:rPr>
              <w:drawing>
                <wp:inline distT="0" distB="0" distL="0" distR="0" wp14:anchorId="67846781" wp14:editId="5D83AB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44FE8" w:rsidRDefault="00F35BAF" w:rsidP="00892A2F">
            <w:pPr>
              <w:spacing w:before="120" w:line="420" w:lineRule="exact"/>
              <w:rPr>
                <w:b/>
                <w:sz w:val="40"/>
                <w:szCs w:val="40"/>
              </w:rPr>
            </w:pPr>
            <w:r w:rsidRPr="00844FE8">
              <w:rPr>
                <w:b/>
                <w:sz w:val="40"/>
                <w:szCs w:val="40"/>
              </w:rPr>
              <w:t>Conseil économique et social</w:t>
            </w:r>
          </w:p>
        </w:tc>
        <w:tc>
          <w:tcPr>
            <w:tcW w:w="2835" w:type="dxa"/>
            <w:tcBorders>
              <w:top w:val="single" w:sz="4" w:space="0" w:color="auto"/>
              <w:bottom w:val="single" w:sz="12" w:space="0" w:color="auto"/>
            </w:tcBorders>
          </w:tcPr>
          <w:p w:rsidR="00F35BAF" w:rsidRPr="00844FE8" w:rsidRDefault="00A208E2" w:rsidP="00892A2F">
            <w:pPr>
              <w:spacing w:before="240"/>
            </w:pPr>
            <w:r w:rsidRPr="00844FE8">
              <w:t>Distr. générale</w:t>
            </w:r>
          </w:p>
          <w:p w:rsidR="00A208E2" w:rsidRPr="00844FE8" w:rsidRDefault="00A208E2" w:rsidP="00A208E2">
            <w:pPr>
              <w:spacing w:line="240" w:lineRule="exact"/>
            </w:pPr>
            <w:r w:rsidRPr="00844FE8">
              <w:t>11 août 2016</w:t>
            </w:r>
          </w:p>
          <w:p w:rsidR="00A208E2" w:rsidRPr="00844FE8" w:rsidRDefault="00A208E2" w:rsidP="00A208E2">
            <w:pPr>
              <w:spacing w:line="240" w:lineRule="exact"/>
            </w:pPr>
            <w:r w:rsidRPr="00844FE8">
              <w:t>Français</w:t>
            </w:r>
          </w:p>
          <w:p w:rsidR="00A208E2" w:rsidRPr="00844FE8" w:rsidRDefault="00A208E2" w:rsidP="00A208E2">
            <w:pPr>
              <w:spacing w:line="240" w:lineRule="exact"/>
            </w:pPr>
            <w:r w:rsidRPr="00844FE8">
              <w:t>Original</w:t>
            </w:r>
            <w:r w:rsidR="00844FE8" w:rsidRPr="00844FE8">
              <w:t> :</w:t>
            </w:r>
            <w:r w:rsidRPr="00844FE8">
              <w:t xml:space="preserve"> anglais</w:t>
            </w:r>
          </w:p>
        </w:tc>
      </w:tr>
    </w:tbl>
    <w:p w:rsidR="007F20FA" w:rsidRPr="00844FE8" w:rsidRDefault="007F20FA" w:rsidP="007F20FA">
      <w:pPr>
        <w:spacing w:before="120"/>
        <w:rPr>
          <w:b/>
          <w:sz w:val="28"/>
          <w:szCs w:val="28"/>
        </w:rPr>
      </w:pPr>
      <w:r w:rsidRPr="00844FE8">
        <w:rPr>
          <w:b/>
          <w:sz w:val="28"/>
          <w:szCs w:val="28"/>
        </w:rPr>
        <w:t>Commission économique pour l’Europe</w:t>
      </w:r>
    </w:p>
    <w:p w:rsidR="007F20FA" w:rsidRPr="00844FE8" w:rsidRDefault="007F20FA" w:rsidP="00A208E2">
      <w:pPr>
        <w:spacing w:before="120" w:after="120"/>
        <w:rPr>
          <w:sz w:val="28"/>
          <w:szCs w:val="28"/>
        </w:rPr>
      </w:pPr>
      <w:r w:rsidRPr="00844FE8">
        <w:rPr>
          <w:sz w:val="28"/>
          <w:szCs w:val="28"/>
        </w:rPr>
        <w:t>Comité des transports intérieurs</w:t>
      </w:r>
    </w:p>
    <w:p w:rsidR="00A208E2" w:rsidRPr="00844FE8" w:rsidRDefault="00A208E2" w:rsidP="00A208E2">
      <w:pPr>
        <w:spacing w:after="120"/>
        <w:rPr>
          <w:b/>
          <w:bCs/>
          <w:sz w:val="24"/>
          <w:szCs w:val="24"/>
        </w:rPr>
      </w:pPr>
      <w:r w:rsidRPr="00844FE8">
        <w:rPr>
          <w:b/>
          <w:bCs/>
          <w:sz w:val="24"/>
          <w:szCs w:val="24"/>
        </w:rPr>
        <w:t xml:space="preserve">Forum mondial de l’harmonisation </w:t>
      </w:r>
      <w:r w:rsidRPr="00844FE8">
        <w:rPr>
          <w:b/>
          <w:bCs/>
          <w:sz w:val="24"/>
          <w:szCs w:val="24"/>
        </w:rPr>
        <w:br/>
        <w:t>des Règlements concernant les véhicules</w:t>
      </w:r>
    </w:p>
    <w:p w:rsidR="00A208E2" w:rsidRPr="00844FE8" w:rsidRDefault="00A208E2" w:rsidP="00A208E2">
      <w:pPr>
        <w:spacing w:after="120"/>
        <w:rPr>
          <w:b/>
          <w:bCs/>
        </w:rPr>
      </w:pPr>
      <w:r w:rsidRPr="00844FE8">
        <w:rPr>
          <w:b/>
          <w:bCs/>
        </w:rPr>
        <w:t>Groupe de travail de l’éclairage et de la signalisation lumineuse</w:t>
      </w:r>
    </w:p>
    <w:p w:rsidR="00A208E2" w:rsidRPr="00844FE8" w:rsidRDefault="00A208E2" w:rsidP="00A208E2">
      <w:pPr>
        <w:rPr>
          <w:b/>
          <w:bCs/>
        </w:rPr>
      </w:pPr>
      <w:r w:rsidRPr="00844FE8">
        <w:rPr>
          <w:b/>
          <w:bCs/>
        </w:rPr>
        <w:t>Soixante-seizième session</w:t>
      </w:r>
    </w:p>
    <w:p w:rsidR="00A208E2" w:rsidRPr="00844FE8" w:rsidRDefault="00A208E2" w:rsidP="00A208E2">
      <w:pPr>
        <w:rPr>
          <w:bCs/>
        </w:rPr>
      </w:pPr>
      <w:r w:rsidRPr="00844FE8">
        <w:t>Genève</w:t>
      </w:r>
      <w:r w:rsidRPr="00844FE8">
        <w:rPr>
          <w:bCs/>
        </w:rPr>
        <w:t>, 25-28 octobre 2016</w:t>
      </w:r>
    </w:p>
    <w:p w:rsidR="00A208E2" w:rsidRPr="00844FE8" w:rsidRDefault="00A208E2" w:rsidP="00A208E2">
      <w:pPr>
        <w:rPr>
          <w:bCs/>
        </w:rPr>
      </w:pPr>
      <w:r w:rsidRPr="00844FE8">
        <w:rPr>
          <w:bCs/>
        </w:rPr>
        <w:t>Point 4 de l’ordre du jour provisoire</w:t>
      </w:r>
    </w:p>
    <w:p w:rsidR="00A208E2" w:rsidRPr="00844FE8" w:rsidRDefault="00A208E2" w:rsidP="00A208E2">
      <w:pPr>
        <w:rPr>
          <w:b/>
        </w:rPr>
      </w:pPr>
      <w:r w:rsidRPr="00844FE8">
        <w:rPr>
          <w:b/>
        </w:rPr>
        <w:t xml:space="preserve">Simplification des Règlements relatifs à l’éclairage </w:t>
      </w:r>
      <w:r w:rsidRPr="00844FE8">
        <w:rPr>
          <w:b/>
        </w:rPr>
        <w:br/>
      </w:r>
      <w:r w:rsidR="00844FE8">
        <w:rPr>
          <w:b/>
        </w:rPr>
        <w:t>et à la signalisation lumineuse</w:t>
      </w:r>
    </w:p>
    <w:p w:rsidR="00A208E2" w:rsidRPr="00844FE8" w:rsidRDefault="00A208E2" w:rsidP="00A208E2">
      <w:pPr>
        <w:pStyle w:val="HChG"/>
      </w:pPr>
      <w:r w:rsidRPr="00844FE8">
        <w:tab/>
      </w:r>
      <w:r w:rsidRPr="00844FE8">
        <w:tab/>
        <w:t>Proposition d’amendement collectif aux Règlements n</w:t>
      </w:r>
      <w:r w:rsidRPr="00844FE8">
        <w:rPr>
          <w:vertAlign w:val="superscript"/>
        </w:rPr>
        <w:t>os</w:t>
      </w:r>
      <w:r w:rsidRPr="00844FE8">
        <w:t> 4, 6, 7, 23, 38, 50, 77, 87, 91 et 119</w:t>
      </w:r>
    </w:p>
    <w:p w:rsidR="00A208E2" w:rsidRPr="00844FE8" w:rsidRDefault="00A208E2" w:rsidP="00A208E2">
      <w:pPr>
        <w:pStyle w:val="H1G"/>
      </w:pPr>
      <w:r w:rsidRPr="00844FE8">
        <w:tab/>
      </w:r>
      <w:r w:rsidRPr="00844FE8">
        <w:tab/>
        <w:t>Communication de l’expert du Groupe de travail « Bruxelles 1952 » (GTB)</w:t>
      </w:r>
      <w:r w:rsidRPr="00844FE8">
        <w:rPr>
          <w:b w:val="0"/>
          <w:bCs/>
          <w:sz w:val="20"/>
        </w:rPr>
        <w:footnoteReference w:customMarkFollows="1" w:id="2"/>
        <w:t>*</w:t>
      </w:r>
    </w:p>
    <w:p w:rsidR="00A208E2" w:rsidRPr="00844E54" w:rsidRDefault="00A208E2" w:rsidP="00A208E2">
      <w:pPr>
        <w:pStyle w:val="SingleTxtG"/>
        <w:ind w:firstLine="567"/>
      </w:pPr>
      <w:r w:rsidRPr="00844FE8">
        <w:rPr>
          <w:rFonts w:eastAsia="Calibri"/>
        </w:rPr>
        <w:t xml:space="preserve">Le texte ci-après, qui a été établi par l’expert du Groupe de travail « Bruxelles 1952 » (GTB), vise à harmoniser les prescriptions relatives à l’indication de la puissance pour les fonctions de signalisation lumineuse avec les prescriptions applicables aux fonctions d’éclairage. Les modifications apportées au texte actuel du Règlement sont </w:t>
      </w:r>
      <w:r w:rsidRPr="00844E54">
        <w:rPr>
          <w:rFonts w:eastAsia="Calibri"/>
        </w:rPr>
        <w:t>indiquées en caractères gras pour les ajouts ou biffés pour les suppressions.</w:t>
      </w:r>
    </w:p>
    <w:p w:rsidR="00A208E2" w:rsidRPr="00844FE8" w:rsidRDefault="00A208E2" w:rsidP="00A208E2">
      <w:pPr>
        <w:pStyle w:val="HChG"/>
      </w:pPr>
      <w:r w:rsidRPr="00844FE8">
        <w:rPr>
          <w:b w:val="0"/>
        </w:rPr>
        <w:br w:type="page"/>
      </w:r>
      <w:r w:rsidRPr="00844FE8">
        <w:lastRenderedPageBreak/>
        <w:tab/>
        <w:t>I.</w:t>
      </w:r>
      <w:r w:rsidRPr="00844FE8">
        <w:rPr>
          <w:b w:val="0"/>
        </w:rPr>
        <w:tab/>
      </w:r>
      <w:r w:rsidRPr="00844FE8">
        <w:t>Proposition</w:t>
      </w:r>
    </w:p>
    <w:p w:rsidR="00A208E2" w:rsidRPr="00844FE8" w:rsidRDefault="00A208E2" w:rsidP="00A208E2">
      <w:pPr>
        <w:pStyle w:val="H1G"/>
        <w:rPr>
          <w:rFonts w:eastAsia="MS Mincho"/>
        </w:rPr>
      </w:pPr>
      <w:r w:rsidRPr="00844FE8">
        <w:rPr>
          <w:rFonts w:eastAsia="MS Mincho"/>
        </w:rPr>
        <w:tab/>
        <w:t>A.</w:t>
      </w:r>
      <w:r w:rsidRPr="00844FE8">
        <w:rPr>
          <w:rFonts w:eastAsia="MS Mincho"/>
        </w:rPr>
        <w:tab/>
        <w:t>Complément 18 à la série 00 d’amendements au Règlement n</w:t>
      </w:r>
      <w:r w:rsidRPr="00844FE8">
        <w:rPr>
          <w:rFonts w:eastAsia="MS Mincho"/>
          <w:vertAlign w:val="superscript"/>
        </w:rPr>
        <w:t>o</w:t>
      </w:r>
      <w:r w:rsidRPr="00844FE8">
        <w:rPr>
          <w:rFonts w:eastAsia="MS Mincho"/>
        </w:rPr>
        <w:t> </w:t>
      </w:r>
      <w:r w:rsidRPr="00844FE8">
        <w:rPr>
          <w:lang w:eastAsia="it-IT"/>
        </w:rPr>
        <w:t>4 (Dispositifs d’éclairage des plaques d’immatriculation arrière)</w:t>
      </w:r>
    </w:p>
    <w:p w:rsidR="00A208E2" w:rsidRPr="00844FE8" w:rsidRDefault="00A208E2" w:rsidP="00A208E2">
      <w:pPr>
        <w:pStyle w:val="SingleTxtG"/>
        <w:rPr>
          <w:lang w:eastAsia="it-IT"/>
        </w:rPr>
      </w:pPr>
      <w:r w:rsidRPr="00844FE8">
        <w:rPr>
          <w:i/>
          <w:lang w:eastAsia="it-IT"/>
        </w:rPr>
        <w:t>Paragraphe 3.3</w:t>
      </w:r>
      <w:r w:rsidRPr="00844FE8">
        <w:rPr>
          <w:iCs/>
          <w:lang w:eastAsia="it-IT"/>
        </w:rPr>
        <w:t xml:space="preserve">, </w:t>
      </w:r>
      <w:r w:rsidRPr="00844FE8">
        <w:rPr>
          <w:lang w:eastAsia="it-IT"/>
        </w:rPr>
        <w:t>modifier comme suit</w:t>
      </w:r>
      <w:r w:rsidR="00844FE8" w:rsidRPr="00844FE8">
        <w:rPr>
          <w:lang w:eastAsia="it-IT"/>
        </w:rPr>
        <w:t> :</w:t>
      </w:r>
    </w:p>
    <w:p w:rsidR="00A208E2" w:rsidRPr="00844FE8" w:rsidRDefault="00A208E2" w:rsidP="00A208E2">
      <w:pPr>
        <w:pStyle w:val="SingleTxtG"/>
        <w:ind w:left="2268" w:hanging="1134"/>
      </w:pPr>
      <w:r w:rsidRPr="00844FE8">
        <w:t>« 3.3</w:t>
      </w:r>
      <w:r w:rsidRPr="00844FE8">
        <w:tab/>
        <w:t xml:space="preserve">Dans le cas de dispositifs d’éclairage équipés de sources lumineuses non remplaçables </w:t>
      </w:r>
      <w:r w:rsidRPr="00844FE8">
        <w:rPr>
          <w:bCs/>
        </w:rPr>
        <w:t>ou d’un ou plusieurs modules d’éclairage</w:t>
      </w:r>
      <w:r w:rsidRPr="00844FE8">
        <w:t xml:space="preserve">, l’indication de la tension nominale ou de la plage de tension </w:t>
      </w:r>
      <w:r w:rsidRPr="00844FE8">
        <w:rPr>
          <w:strike/>
        </w:rPr>
        <w:t>et de la puissance nominal en watts</w:t>
      </w:r>
      <w:r w:rsidRPr="00844FE8">
        <w:t>. ».</w:t>
      </w:r>
    </w:p>
    <w:p w:rsidR="00A208E2" w:rsidRPr="00844FE8" w:rsidRDefault="00A208E2" w:rsidP="00A208E2">
      <w:pPr>
        <w:pStyle w:val="SingleTxtG"/>
        <w:rPr>
          <w:lang w:eastAsia="it-IT"/>
        </w:rPr>
      </w:pPr>
      <w:r w:rsidRPr="00844FE8">
        <w:rPr>
          <w:i/>
          <w:lang w:eastAsia="it-IT"/>
        </w:rPr>
        <w:t>Paragraphe 3.5.3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w:t>
      </w:r>
      <w:r w:rsidR="00362FA4" w:rsidRPr="00844FE8">
        <w:t> </w:t>
      </w:r>
      <w:r w:rsidRPr="00844FE8">
        <w:t>3.5.3</w:t>
      </w:r>
      <w:r w:rsidRPr="00844FE8">
        <w:tab/>
      </w:r>
      <w:r w:rsidRPr="00844FE8">
        <w:rPr>
          <w:bCs/>
        </w:rPr>
        <w:t xml:space="preserve">L’indication de la </w:t>
      </w:r>
      <w:r w:rsidRPr="00844FE8">
        <w:t>tension</w:t>
      </w:r>
      <w:r w:rsidRPr="00844FE8">
        <w:rPr>
          <w:bCs/>
        </w:rPr>
        <w:t xml:space="preserve"> nominale </w:t>
      </w:r>
      <w:r w:rsidRPr="00844FE8">
        <w:rPr>
          <w:bCs/>
          <w:strike/>
        </w:rPr>
        <w:t>et de la consommation nominale en watts</w:t>
      </w:r>
      <w:r w:rsidRPr="00844FE8">
        <w:t>.</w:t>
      </w:r>
      <w:r w:rsidR="00362FA4" w:rsidRPr="00844FE8">
        <w:t> </w:t>
      </w:r>
      <w:r w:rsidRPr="00844FE8">
        <w:t>».</w:t>
      </w:r>
    </w:p>
    <w:p w:rsidR="00A208E2" w:rsidRPr="00844FE8" w:rsidRDefault="00362FA4" w:rsidP="00362FA4">
      <w:pPr>
        <w:pStyle w:val="H1G"/>
        <w:rPr>
          <w:rFonts w:eastAsia="MS Mincho"/>
        </w:rPr>
      </w:pPr>
      <w:r w:rsidRPr="00844FE8">
        <w:rPr>
          <w:rFonts w:eastAsia="MS Mincho"/>
        </w:rPr>
        <w:tab/>
        <w:t>B.</w:t>
      </w:r>
      <w:r w:rsidRPr="00844FE8">
        <w:rPr>
          <w:rFonts w:eastAsia="MS Mincho"/>
        </w:rPr>
        <w:tab/>
      </w:r>
      <w:r w:rsidR="00A208E2" w:rsidRPr="00844FE8">
        <w:rPr>
          <w:rFonts w:eastAsia="MS Mincho"/>
        </w:rPr>
        <w:t>Complément 27 à la série 01 d’amendements au Règlement n</w:t>
      </w:r>
      <w:r w:rsidR="00A208E2" w:rsidRPr="00844FE8">
        <w:rPr>
          <w:rFonts w:eastAsia="MS Mincho"/>
          <w:vertAlign w:val="superscript"/>
        </w:rPr>
        <w:t>o</w:t>
      </w:r>
      <w:r w:rsidR="00A208E2" w:rsidRPr="00844FE8">
        <w:rPr>
          <w:rFonts w:eastAsia="MS Mincho"/>
        </w:rPr>
        <w:t> </w:t>
      </w:r>
      <w:r w:rsidR="00A208E2" w:rsidRPr="00844FE8">
        <w:rPr>
          <w:lang w:eastAsia="it-IT"/>
        </w:rPr>
        <w:t>6 (Feux indicateurs de direction)</w:t>
      </w:r>
    </w:p>
    <w:p w:rsidR="00A208E2" w:rsidRPr="00844FE8" w:rsidRDefault="00A208E2" w:rsidP="00A208E2">
      <w:pPr>
        <w:pStyle w:val="SingleTxtG"/>
        <w:rPr>
          <w:lang w:eastAsia="it-IT"/>
        </w:rPr>
      </w:pPr>
      <w:r w:rsidRPr="00844FE8">
        <w:rPr>
          <w:i/>
          <w:lang w:eastAsia="it-IT"/>
        </w:rPr>
        <w:t>Paragraphe 3.4</w:t>
      </w:r>
      <w:r w:rsidRPr="00844FE8">
        <w:rPr>
          <w:iCs/>
          <w:lang w:eastAsia="it-IT"/>
        </w:rPr>
        <w:t xml:space="preserve">, </w:t>
      </w:r>
      <w:r w:rsidRPr="00844FE8">
        <w:rPr>
          <w:lang w:eastAsia="it-IT"/>
        </w:rPr>
        <w:t>modifier comme suit</w:t>
      </w:r>
      <w:r w:rsidR="00844FE8" w:rsidRPr="00844FE8">
        <w:rPr>
          <w:lang w:eastAsia="it-IT"/>
        </w:rPr>
        <w:t> :</w:t>
      </w:r>
    </w:p>
    <w:p w:rsidR="00A208E2" w:rsidRPr="00844FE8" w:rsidRDefault="00A208E2" w:rsidP="00A208E2">
      <w:pPr>
        <w:pStyle w:val="SingleTxtG"/>
        <w:ind w:left="2268" w:hanging="1134"/>
      </w:pPr>
      <w:r w:rsidRPr="00844FE8">
        <w:t>«</w:t>
      </w:r>
      <w:r w:rsidR="00362FA4" w:rsidRPr="00844FE8">
        <w:t> </w:t>
      </w:r>
      <w:r w:rsidRPr="00844FE8">
        <w:t>3.4</w:t>
      </w:r>
      <w:r w:rsidRPr="00844FE8">
        <w:tab/>
        <w:t xml:space="preserve">Dans le cas de feux équipés d’un dispositif de régulation électronique ou d’un régulateur d’intensité et/ou de sources lumineuses non remplaçables et/ou d’un ou plusieurs modules d’éclairage, une indication de la tension nominale ou de la plage de tension </w:t>
      </w:r>
      <w:r w:rsidRPr="00844FE8">
        <w:rPr>
          <w:strike/>
        </w:rPr>
        <w:t>et de la puissance maximale</w:t>
      </w:r>
      <w:r w:rsidR="00844FE8" w:rsidRPr="00844FE8">
        <w:t> ;</w:t>
      </w:r>
      <w:r w:rsidR="00362FA4" w:rsidRPr="00844FE8">
        <w:t> </w:t>
      </w:r>
      <w:r w:rsidRPr="00844FE8">
        <w:t>».</w:t>
      </w:r>
    </w:p>
    <w:p w:rsidR="00A208E2" w:rsidRPr="00844FE8" w:rsidRDefault="00A208E2" w:rsidP="00A208E2">
      <w:pPr>
        <w:pStyle w:val="SingleTxtG"/>
        <w:rPr>
          <w:lang w:eastAsia="it-IT"/>
        </w:rPr>
      </w:pPr>
      <w:r w:rsidRPr="00844FE8">
        <w:rPr>
          <w:i/>
          <w:lang w:eastAsia="it-IT"/>
        </w:rPr>
        <w:t>Paragraphe 3.5.3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rPr>
          <w:strike/>
        </w:rPr>
      </w:pPr>
      <w:r w:rsidRPr="00844FE8">
        <w:t>«</w:t>
      </w:r>
      <w:r w:rsidR="00362FA4" w:rsidRPr="00844FE8">
        <w:t> </w:t>
      </w:r>
      <w:r w:rsidRPr="00844FE8">
        <w:t>3.5.3</w:t>
      </w:r>
      <w:r w:rsidRPr="00844FE8">
        <w:tab/>
        <w:t xml:space="preserve">L’indication de la tension nominale ou de la plage de tension </w:t>
      </w:r>
      <w:r w:rsidRPr="00844FE8">
        <w:rPr>
          <w:strike/>
        </w:rPr>
        <w:t>et de la puissance maximale</w:t>
      </w:r>
      <w:r w:rsidRPr="00844FE8">
        <w:t>.</w:t>
      </w:r>
      <w:r w:rsidR="00362FA4" w:rsidRPr="00844FE8">
        <w:t> </w:t>
      </w:r>
      <w:r w:rsidRPr="00844FE8">
        <w:t>».</w:t>
      </w:r>
    </w:p>
    <w:p w:rsidR="00A208E2" w:rsidRPr="00844FE8" w:rsidRDefault="00362FA4" w:rsidP="00362FA4">
      <w:pPr>
        <w:pStyle w:val="H1G"/>
        <w:rPr>
          <w:rFonts w:eastAsia="MS Mincho"/>
        </w:rPr>
      </w:pPr>
      <w:r w:rsidRPr="00844FE8">
        <w:rPr>
          <w:rFonts w:eastAsia="MS Mincho"/>
        </w:rPr>
        <w:tab/>
        <w:t>C.</w:t>
      </w:r>
      <w:r w:rsidRPr="00844FE8">
        <w:rPr>
          <w:rFonts w:eastAsia="MS Mincho"/>
        </w:rPr>
        <w:tab/>
      </w:r>
      <w:r w:rsidR="00A208E2" w:rsidRPr="00844FE8">
        <w:rPr>
          <w:rFonts w:eastAsia="MS Mincho"/>
        </w:rPr>
        <w:t>Complément 26 à la série 02 d’amendements au Règlement n</w:t>
      </w:r>
      <w:r w:rsidR="00A208E2" w:rsidRPr="00844FE8">
        <w:rPr>
          <w:rFonts w:eastAsia="MS Mincho"/>
          <w:vertAlign w:val="superscript"/>
        </w:rPr>
        <w:t>o</w:t>
      </w:r>
      <w:r w:rsidR="00A208E2" w:rsidRPr="00844FE8">
        <w:rPr>
          <w:rFonts w:eastAsia="MS Mincho"/>
        </w:rPr>
        <w:t> </w:t>
      </w:r>
      <w:r w:rsidR="00A208E2" w:rsidRPr="00844FE8">
        <w:rPr>
          <w:lang w:eastAsia="it-IT"/>
        </w:rPr>
        <w:t xml:space="preserve">7 </w:t>
      </w:r>
      <w:r w:rsidR="00A208E2" w:rsidRPr="00844FE8">
        <w:rPr>
          <w:lang w:eastAsia="it-IT"/>
        </w:rPr>
        <w:br/>
        <w:t>(Feux de position avant et arrière, des feux-stop et des feux d’encombrement)</w:t>
      </w:r>
    </w:p>
    <w:p w:rsidR="00A208E2" w:rsidRPr="00844FE8" w:rsidRDefault="00A208E2" w:rsidP="00A208E2">
      <w:pPr>
        <w:pStyle w:val="SingleTxtG"/>
        <w:rPr>
          <w:lang w:eastAsia="it-IT"/>
        </w:rPr>
      </w:pPr>
      <w:r w:rsidRPr="00844FE8">
        <w:rPr>
          <w:i/>
          <w:lang w:eastAsia="it-IT"/>
        </w:rPr>
        <w:t>Paragraphe 3.4</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w:t>
      </w:r>
      <w:r w:rsidR="00362FA4" w:rsidRPr="00844FE8">
        <w:t> </w:t>
      </w:r>
      <w:r w:rsidRPr="00844FE8">
        <w:t>3.4</w:t>
      </w:r>
      <w:r w:rsidRPr="00844FE8">
        <w:tab/>
        <w:t xml:space="preserve">Dans le cas des feux équipés d’un dispositif de régulation électronique de la source lumineuse ou d’un régulateur d’intensité et/ou de sources lumineuses non remplaçables et/ou d’un ou plusieurs module(s) d’éclairage, portent une indication de la tension nominale ou de la plage de tension </w:t>
      </w:r>
      <w:r w:rsidRPr="00844FE8">
        <w:rPr>
          <w:strike/>
        </w:rPr>
        <w:t>et de la puissance nominale maximum</w:t>
      </w:r>
      <w:r w:rsidR="00844FE8" w:rsidRPr="00844FE8">
        <w:t> ;</w:t>
      </w:r>
      <w:r w:rsidR="00362FA4" w:rsidRPr="00844FE8">
        <w:t> </w:t>
      </w:r>
      <w:r w:rsidRPr="00844FE8">
        <w:t>».</w:t>
      </w:r>
    </w:p>
    <w:p w:rsidR="00A208E2" w:rsidRPr="00844FE8" w:rsidRDefault="00A208E2" w:rsidP="00A208E2">
      <w:pPr>
        <w:pStyle w:val="SingleTxtG"/>
        <w:rPr>
          <w:lang w:eastAsia="it-IT"/>
        </w:rPr>
      </w:pPr>
      <w:r w:rsidRPr="00844FE8">
        <w:rPr>
          <w:i/>
          <w:lang w:eastAsia="it-IT"/>
        </w:rPr>
        <w:t>Paragraphe 3.6.3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w:t>
      </w:r>
      <w:r w:rsidR="00362FA4" w:rsidRPr="00844FE8">
        <w:t> </w:t>
      </w:r>
      <w:r w:rsidRPr="00844FE8">
        <w:t>3.6.3</w:t>
      </w:r>
      <w:r w:rsidRPr="00844FE8">
        <w:tab/>
        <w:t xml:space="preserve">L’indication de la tension nominale ou de la plage de tension </w:t>
      </w:r>
      <w:r w:rsidRPr="00844FE8">
        <w:rPr>
          <w:strike/>
        </w:rPr>
        <w:t>et de la puissance nominale maximum</w:t>
      </w:r>
      <w:r w:rsidRPr="00844FE8">
        <w:t>.</w:t>
      </w:r>
      <w:r w:rsidR="00362FA4" w:rsidRPr="00844FE8">
        <w:t> </w:t>
      </w:r>
      <w:r w:rsidRPr="00844FE8">
        <w:t>».</w:t>
      </w:r>
    </w:p>
    <w:p w:rsidR="00A208E2" w:rsidRPr="00844FE8" w:rsidRDefault="00A208E2" w:rsidP="00362FA4">
      <w:pPr>
        <w:pStyle w:val="H1G"/>
        <w:rPr>
          <w:rFonts w:eastAsia="MS Mincho"/>
        </w:rPr>
      </w:pPr>
      <w:r w:rsidRPr="00844FE8">
        <w:rPr>
          <w:rFonts w:eastAsia="MS Mincho"/>
        </w:rPr>
        <w:lastRenderedPageBreak/>
        <w:tab/>
      </w:r>
      <w:r w:rsidR="00362FA4" w:rsidRPr="00844FE8">
        <w:rPr>
          <w:rFonts w:eastAsia="MS Mincho"/>
        </w:rPr>
        <w:t>D</w:t>
      </w:r>
      <w:r w:rsidRPr="00844FE8">
        <w:rPr>
          <w:rFonts w:eastAsia="MS Mincho"/>
        </w:rPr>
        <w:t>.</w:t>
      </w:r>
      <w:r w:rsidRPr="00844FE8">
        <w:rPr>
          <w:rFonts w:eastAsia="MS Mincho"/>
        </w:rPr>
        <w:tab/>
        <w:t>Complément 21 à la série 00 d’amendements au Règlement n</w:t>
      </w:r>
      <w:r w:rsidRPr="00844FE8">
        <w:rPr>
          <w:rFonts w:eastAsia="MS Mincho"/>
          <w:vertAlign w:val="superscript"/>
        </w:rPr>
        <w:t>o</w:t>
      </w:r>
      <w:r w:rsidRPr="00844FE8">
        <w:rPr>
          <w:rFonts w:eastAsia="MS Mincho"/>
        </w:rPr>
        <w:t> </w:t>
      </w:r>
      <w:r w:rsidRPr="00844FE8">
        <w:rPr>
          <w:lang w:eastAsia="it-IT"/>
        </w:rPr>
        <w:t>23 (Feux de marche arrière)</w:t>
      </w:r>
    </w:p>
    <w:p w:rsidR="00A208E2" w:rsidRPr="00844FE8" w:rsidRDefault="00A208E2" w:rsidP="00A208E2">
      <w:pPr>
        <w:pStyle w:val="SingleTxtG"/>
        <w:keepNext/>
        <w:rPr>
          <w:lang w:eastAsia="it-IT"/>
        </w:rPr>
      </w:pPr>
      <w:r w:rsidRPr="00844FE8">
        <w:rPr>
          <w:i/>
          <w:lang w:eastAsia="it-IT"/>
        </w:rPr>
        <w:t>Paragraphe 3.5</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3.5</w:t>
      </w:r>
      <w:r w:rsidRPr="00844FE8">
        <w:tab/>
        <w:t>Dans le cas de feux équipés de sources lumineuses non remplaçables ou d’un ou de module(s) d’éclairage, doivent comporter l’indication de la tension nominale ou de la plage de tension</w:t>
      </w:r>
      <w:r w:rsidRPr="00844FE8">
        <w:rPr>
          <w:strike/>
        </w:rPr>
        <w:t xml:space="preserve">, et de la consommation nominale </w:t>
      </w:r>
      <w:r w:rsidR="00362FA4" w:rsidRPr="00844FE8">
        <w:rPr>
          <w:strike/>
        </w:rPr>
        <w:t>en </w:t>
      </w:r>
      <w:r w:rsidRPr="00844FE8">
        <w:rPr>
          <w:strike/>
        </w:rPr>
        <w:t>watts</w:t>
      </w:r>
      <w:r w:rsidR="00844FE8" w:rsidRPr="00844FE8">
        <w:t> ;</w:t>
      </w:r>
      <w:r w:rsidRPr="00844FE8">
        <w:t> ».</w:t>
      </w:r>
    </w:p>
    <w:p w:rsidR="00A208E2" w:rsidRPr="00844FE8" w:rsidRDefault="00A208E2" w:rsidP="00A208E2">
      <w:pPr>
        <w:pStyle w:val="SingleTxtG"/>
        <w:rPr>
          <w:lang w:eastAsia="it-IT"/>
        </w:rPr>
      </w:pPr>
      <w:r w:rsidRPr="00844FE8">
        <w:rPr>
          <w:i/>
          <w:lang w:eastAsia="it-IT"/>
        </w:rPr>
        <w:t>Paragraphe 3.6.3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3.6.3</w:t>
      </w:r>
      <w:r w:rsidRPr="00844FE8">
        <w:tab/>
        <w:t xml:space="preserve">L’indication de la tension nominale </w:t>
      </w:r>
      <w:r w:rsidRPr="00844FE8">
        <w:rPr>
          <w:strike/>
        </w:rPr>
        <w:t>et de la consommation nominale en watts</w:t>
      </w:r>
      <w:r w:rsidRPr="00844FE8">
        <w:t>. ».</w:t>
      </w:r>
    </w:p>
    <w:p w:rsidR="00A208E2" w:rsidRPr="00844FE8" w:rsidRDefault="00A208E2" w:rsidP="00362FA4">
      <w:pPr>
        <w:pStyle w:val="H1G"/>
        <w:rPr>
          <w:rFonts w:eastAsia="MS Mincho"/>
        </w:rPr>
      </w:pPr>
      <w:r w:rsidRPr="00844FE8">
        <w:rPr>
          <w:rFonts w:eastAsia="MS Mincho"/>
        </w:rPr>
        <w:tab/>
      </w:r>
      <w:r w:rsidR="00362FA4" w:rsidRPr="00844FE8">
        <w:rPr>
          <w:rFonts w:eastAsia="MS Mincho"/>
        </w:rPr>
        <w:t>E</w:t>
      </w:r>
      <w:r w:rsidRPr="00844FE8">
        <w:rPr>
          <w:rFonts w:eastAsia="MS Mincho"/>
        </w:rPr>
        <w:t>.</w:t>
      </w:r>
      <w:r w:rsidRPr="00844FE8">
        <w:rPr>
          <w:rFonts w:eastAsia="MS Mincho"/>
        </w:rPr>
        <w:tab/>
        <w:t>Complément 18 à la série 00 d’amendements au Règlement n</w:t>
      </w:r>
      <w:r w:rsidRPr="00844FE8">
        <w:rPr>
          <w:rFonts w:eastAsia="MS Mincho"/>
          <w:vertAlign w:val="superscript"/>
        </w:rPr>
        <w:t>o</w:t>
      </w:r>
      <w:r w:rsidRPr="00844FE8">
        <w:rPr>
          <w:rFonts w:eastAsia="MS Mincho"/>
        </w:rPr>
        <w:t> </w:t>
      </w:r>
      <w:r w:rsidRPr="00844FE8">
        <w:rPr>
          <w:lang w:eastAsia="it-IT"/>
        </w:rPr>
        <w:t>38 (Feux de brouillard arrière)</w:t>
      </w:r>
    </w:p>
    <w:p w:rsidR="00A208E2" w:rsidRPr="00844FE8" w:rsidRDefault="00A208E2" w:rsidP="00A208E2">
      <w:pPr>
        <w:pStyle w:val="SingleTxtG"/>
        <w:rPr>
          <w:lang w:eastAsia="it-IT"/>
        </w:rPr>
      </w:pPr>
      <w:r w:rsidRPr="00844FE8">
        <w:rPr>
          <w:i/>
          <w:lang w:eastAsia="it-IT"/>
        </w:rPr>
        <w:t>Paragraphe 3.4</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3.4</w:t>
      </w:r>
      <w:r w:rsidRPr="00844FE8">
        <w:tab/>
        <w:t xml:space="preserve">Dans le cas de feux équipés d’un dispositif de régulation électronique de la source lumineuse ou d’un régulateur d’intensité et/ou de sources lumineuses non remplaçables et/ou d’un ou plusieurs modules d’éclairage, l’indication de la tension nominale ou de la plage de tension </w:t>
      </w:r>
      <w:r w:rsidRPr="00844FE8">
        <w:rPr>
          <w:strike/>
        </w:rPr>
        <w:t>et de la puissance nominale maximum</w:t>
      </w:r>
      <w:r w:rsidRPr="00844FE8">
        <w:t>. ».</w:t>
      </w:r>
    </w:p>
    <w:p w:rsidR="00A208E2" w:rsidRPr="00844FE8" w:rsidRDefault="00A208E2" w:rsidP="00A208E2">
      <w:pPr>
        <w:pStyle w:val="SingleTxtG"/>
        <w:rPr>
          <w:lang w:eastAsia="it-IT"/>
        </w:rPr>
      </w:pPr>
      <w:r w:rsidRPr="00844FE8">
        <w:rPr>
          <w:i/>
          <w:lang w:eastAsia="it-IT"/>
        </w:rPr>
        <w:t>Paragraphe 3.5.3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3.5.3</w:t>
      </w:r>
      <w:r w:rsidRPr="00844FE8">
        <w:tab/>
        <w:t xml:space="preserve">L’indication de la tension nominale ou de la plage de tension </w:t>
      </w:r>
      <w:r w:rsidRPr="00844FE8">
        <w:rPr>
          <w:strike/>
        </w:rPr>
        <w:t>et de la puissance nominale maximum</w:t>
      </w:r>
      <w:r w:rsidRPr="00844FE8">
        <w:t>. ».</w:t>
      </w:r>
    </w:p>
    <w:p w:rsidR="00A208E2" w:rsidRPr="00844FE8" w:rsidRDefault="00A208E2" w:rsidP="00362FA4">
      <w:pPr>
        <w:pStyle w:val="H1G"/>
        <w:rPr>
          <w:rFonts w:eastAsia="MS Mincho"/>
        </w:rPr>
      </w:pPr>
      <w:r w:rsidRPr="00844FE8">
        <w:rPr>
          <w:rFonts w:eastAsia="MS Mincho"/>
        </w:rPr>
        <w:tab/>
      </w:r>
      <w:r w:rsidR="00362FA4" w:rsidRPr="00844FE8">
        <w:rPr>
          <w:rFonts w:eastAsia="MS Mincho"/>
        </w:rPr>
        <w:t>F</w:t>
      </w:r>
      <w:r w:rsidRPr="00844FE8">
        <w:rPr>
          <w:rFonts w:eastAsia="MS Mincho"/>
        </w:rPr>
        <w:t>.</w:t>
      </w:r>
      <w:r w:rsidRPr="00844FE8">
        <w:rPr>
          <w:rFonts w:eastAsia="MS Mincho"/>
        </w:rPr>
        <w:tab/>
        <w:t>Complément 19 à la série 00 d’amendements au Règlement n</w:t>
      </w:r>
      <w:r w:rsidRPr="00844FE8">
        <w:rPr>
          <w:rFonts w:eastAsia="MS Mincho"/>
          <w:vertAlign w:val="superscript"/>
        </w:rPr>
        <w:t>o</w:t>
      </w:r>
      <w:r w:rsidRPr="00844FE8">
        <w:rPr>
          <w:rFonts w:eastAsia="MS Mincho"/>
        </w:rPr>
        <w:t> </w:t>
      </w:r>
      <w:r w:rsidRPr="00844FE8">
        <w:rPr>
          <w:lang w:eastAsia="it-IT"/>
        </w:rPr>
        <w:t>50 (Feux de position, feux stop, feux indicateurs de direction pour motocycles et cyclomoteurs)</w:t>
      </w:r>
    </w:p>
    <w:p w:rsidR="00A208E2" w:rsidRPr="00844FE8" w:rsidRDefault="00A208E2" w:rsidP="00A208E2">
      <w:pPr>
        <w:pStyle w:val="SingleTxtG"/>
        <w:rPr>
          <w:lang w:eastAsia="it-IT"/>
        </w:rPr>
      </w:pPr>
      <w:r w:rsidRPr="00844FE8">
        <w:rPr>
          <w:i/>
          <w:lang w:eastAsia="it-IT"/>
        </w:rPr>
        <w:t>Paragraphe 4.3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4.3</w:t>
      </w:r>
      <w:r w:rsidRPr="00844FE8">
        <w:tab/>
        <w:t xml:space="preserve">Les feux équipés de sources lumineuses non remplaçables ou d’un ou plusieurs modules d’éclairage doivent porter l’indication de la tension nominale ou de la plage de tension </w:t>
      </w:r>
      <w:r w:rsidRPr="00844FE8">
        <w:rPr>
          <w:strike/>
        </w:rPr>
        <w:t>et de la puissance nominale en watts</w:t>
      </w:r>
      <w:r w:rsidRPr="00844FE8">
        <w:t>. ».</w:t>
      </w:r>
    </w:p>
    <w:p w:rsidR="00A208E2" w:rsidRPr="00844FE8" w:rsidRDefault="00A208E2" w:rsidP="00A208E2">
      <w:pPr>
        <w:pStyle w:val="SingleTxtG"/>
        <w:rPr>
          <w:lang w:eastAsia="it-IT"/>
        </w:rPr>
      </w:pPr>
      <w:r w:rsidRPr="00844FE8">
        <w:rPr>
          <w:i/>
          <w:lang w:eastAsia="it-IT"/>
        </w:rPr>
        <w:t>Paragraphe 4.4.3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4.4.3</w:t>
      </w:r>
      <w:r w:rsidRPr="00844FE8">
        <w:tab/>
        <w:t xml:space="preserve">L’indication de la tension nominale </w:t>
      </w:r>
      <w:r w:rsidRPr="00844FE8">
        <w:rPr>
          <w:b/>
        </w:rPr>
        <w:t xml:space="preserve">ou de la plage de tension </w:t>
      </w:r>
      <w:r w:rsidRPr="00844FE8">
        <w:rPr>
          <w:strike/>
        </w:rPr>
        <w:t>et de la consommation nominale en watts</w:t>
      </w:r>
      <w:r w:rsidRPr="00844FE8">
        <w:t>. ».</w:t>
      </w:r>
    </w:p>
    <w:p w:rsidR="00A208E2" w:rsidRPr="00844FE8" w:rsidRDefault="00A208E2" w:rsidP="00362FA4">
      <w:pPr>
        <w:pStyle w:val="H1G"/>
        <w:rPr>
          <w:rFonts w:eastAsia="MS Mincho"/>
        </w:rPr>
      </w:pPr>
      <w:r w:rsidRPr="00844FE8">
        <w:rPr>
          <w:rFonts w:eastAsia="MS Mincho"/>
        </w:rPr>
        <w:tab/>
      </w:r>
      <w:r w:rsidR="00362FA4" w:rsidRPr="00844FE8">
        <w:rPr>
          <w:rFonts w:eastAsia="MS Mincho"/>
        </w:rPr>
        <w:t>G</w:t>
      </w:r>
      <w:r w:rsidRPr="00844FE8">
        <w:rPr>
          <w:rFonts w:eastAsia="MS Mincho"/>
        </w:rPr>
        <w:t>.</w:t>
      </w:r>
      <w:r w:rsidRPr="00844FE8">
        <w:rPr>
          <w:rFonts w:eastAsia="MS Mincho"/>
        </w:rPr>
        <w:tab/>
        <w:t>Complément 17 à la série 00 d’amendements au Règlement n</w:t>
      </w:r>
      <w:r w:rsidRPr="00844FE8">
        <w:rPr>
          <w:rFonts w:eastAsia="MS Mincho"/>
          <w:vertAlign w:val="superscript"/>
        </w:rPr>
        <w:t>o</w:t>
      </w:r>
      <w:r w:rsidRPr="00844FE8">
        <w:rPr>
          <w:rFonts w:eastAsia="MS Mincho"/>
        </w:rPr>
        <w:t> </w:t>
      </w:r>
      <w:r w:rsidRPr="00844FE8">
        <w:rPr>
          <w:lang w:eastAsia="it-IT"/>
        </w:rPr>
        <w:t>77 (Feux de stationnement)</w:t>
      </w:r>
    </w:p>
    <w:p w:rsidR="00A208E2" w:rsidRPr="00844FE8" w:rsidRDefault="00A208E2" w:rsidP="00A208E2">
      <w:pPr>
        <w:pStyle w:val="SingleTxtG"/>
        <w:rPr>
          <w:lang w:eastAsia="it-IT"/>
        </w:rPr>
      </w:pPr>
      <w:r w:rsidRPr="00844FE8">
        <w:rPr>
          <w:i/>
          <w:lang w:eastAsia="it-IT"/>
        </w:rPr>
        <w:t>Paragraphe 4.1.3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4.1.3</w:t>
      </w:r>
      <w:r w:rsidRPr="00844FE8">
        <w:tab/>
        <w:t xml:space="preserve">Dans le cas de feux équipés de sources lumineuses non remplaçables ou d’un ou de plusieurs modules d’éclairage, l’indication de la tension nominale ou de la plage de tension </w:t>
      </w:r>
      <w:r w:rsidRPr="00844FE8">
        <w:rPr>
          <w:strike/>
        </w:rPr>
        <w:t>et de la puissance nominale en watts</w:t>
      </w:r>
      <w:r w:rsidRPr="00844FE8">
        <w:t>. ».</w:t>
      </w:r>
    </w:p>
    <w:p w:rsidR="00A208E2" w:rsidRPr="00844FE8" w:rsidRDefault="00A208E2" w:rsidP="00362FA4">
      <w:pPr>
        <w:pStyle w:val="SingleTxtG"/>
        <w:keepNext/>
        <w:rPr>
          <w:lang w:eastAsia="it-IT"/>
        </w:rPr>
      </w:pPr>
      <w:r w:rsidRPr="00844FE8">
        <w:rPr>
          <w:i/>
          <w:lang w:eastAsia="it-IT"/>
        </w:rPr>
        <w:lastRenderedPageBreak/>
        <w:t>Paragraphe 4.3.3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362FA4">
      <w:pPr>
        <w:pStyle w:val="SingleTxtG"/>
        <w:ind w:left="2268" w:hanging="1134"/>
      </w:pPr>
      <w:r w:rsidRPr="00844FE8">
        <w:t>« 4.3.3</w:t>
      </w:r>
      <w:r w:rsidRPr="00844FE8">
        <w:tab/>
        <w:t xml:space="preserve">L’indication de la tension nominale </w:t>
      </w:r>
      <w:r w:rsidRPr="00844FE8">
        <w:rPr>
          <w:strike/>
        </w:rPr>
        <w:t>et de la consommation nominale en</w:t>
      </w:r>
      <w:r w:rsidR="00362FA4" w:rsidRPr="00844FE8">
        <w:rPr>
          <w:strike/>
        </w:rPr>
        <w:t> </w:t>
      </w:r>
      <w:r w:rsidRPr="00844FE8">
        <w:rPr>
          <w:strike/>
        </w:rPr>
        <w:t>watts</w:t>
      </w:r>
      <w:r w:rsidRPr="00844FE8">
        <w:t>. ».</w:t>
      </w:r>
    </w:p>
    <w:p w:rsidR="00A208E2" w:rsidRPr="00844FE8" w:rsidRDefault="00A208E2" w:rsidP="00362FA4">
      <w:pPr>
        <w:pStyle w:val="H1G"/>
        <w:rPr>
          <w:rFonts w:eastAsia="MS Mincho"/>
        </w:rPr>
      </w:pPr>
      <w:r w:rsidRPr="00844FE8">
        <w:rPr>
          <w:rFonts w:eastAsia="MS Mincho"/>
        </w:rPr>
        <w:tab/>
      </w:r>
      <w:r w:rsidR="00362FA4" w:rsidRPr="00844FE8">
        <w:rPr>
          <w:rFonts w:eastAsia="MS Mincho"/>
        </w:rPr>
        <w:t>H</w:t>
      </w:r>
      <w:r w:rsidRPr="00844FE8">
        <w:rPr>
          <w:rFonts w:eastAsia="MS Mincho"/>
        </w:rPr>
        <w:t>.</w:t>
      </w:r>
      <w:r w:rsidRPr="00844FE8">
        <w:rPr>
          <w:rFonts w:eastAsia="MS Mincho"/>
        </w:rPr>
        <w:tab/>
        <w:t>Complément 19 à la série 00 d’amendements au Règlement n</w:t>
      </w:r>
      <w:r w:rsidRPr="00844FE8">
        <w:rPr>
          <w:rFonts w:eastAsia="MS Mincho"/>
          <w:vertAlign w:val="superscript"/>
        </w:rPr>
        <w:t>o</w:t>
      </w:r>
      <w:r w:rsidRPr="00844FE8">
        <w:rPr>
          <w:rFonts w:eastAsia="MS Mincho"/>
        </w:rPr>
        <w:t> </w:t>
      </w:r>
      <w:r w:rsidRPr="00844FE8">
        <w:rPr>
          <w:lang w:eastAsia="it-IT"/>
        </w:rPr>
        <w:t>87 (Feux de circulation diurne)</w:t>
      </w:r>
    </w:p>
    <w:p w:rsidR="00A208E2" w:rsidRPr="00844FE8" w:rsidRDefault="00A208E2" w:rsidP="00A208E2">
      <w:pPr>
        <w:pStyle w:val="SingleTxtG"/>
        <w:rPr>
          <w:lang w:eastAsia="it-IT"/>
        </w:rPr>
      </w:pPr>
      <w:r w:rsidRPr="00844FE8">
        <w:rPr>
          <w:i/>
          <w:lang w:eastAsia="it-IT"/>
        </w:rPr>
        <w:t>Paragraphe 4.3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4.3</w:t>
      </w:r>
      <w:r w:rsidRPr="00844FE8">
        <w:tab/>
      </w:r>
      <w:r w:rsidRPr="00844FE8">
        <w:rPr>
          <w:strike/>
        </w:rPr>
        <w:t xml:space="preserve">Porter une inscription indiquant la tension ou plage de tension et la puissance maximale nominales, s’il s’agit </w:t>
      </w:r>
      <w:r w:rsidRPr="00844FE8">
        <w:t>Dans le cas de feux équipés d’un dispositif de régulation électronique des sources lumineuses et/ou de sources lumineuses ou de un ou plusieurs modules d’éclairage non remplaçables</w:t>
      </w:r>
      <w:r w:rsidRPr="00844FE8">
        <w:rPr>
          <w:b/>
        </w:rPr>
        <w:t>, porter une inscription indiquant la tension ou la plage de tension</w:t>
      </w:r>
      <w:r w:rsidRPr="00844FE8">
        <w:t>. ».</w:t>
      </w:r>
    </w:p>
    <w:p w:rsidR="00A208E2" w:rsidRPr="00844FE8" w:rsidRDefault="00A208E2" w:rsidP="00A208E2">
      <w:pPr>
        <w:pStyle w:val="SingleTxtG"/>
        <w:rPr>
          <w:lang w:eastAsia="it-IT"/>
        </w:rPr>
      </w:pPr>
      <w:r w:rsidRPr="00844FE8">
        <w:rPr>
          <w:i/>
          <w:lang w:eastAsia="it-IT"/>
        </w:rPr>
        <w:t>Paragraphe 4.5.3</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362FA4">
      <w:pPr>
        <w:pStyle w:val="SingleTxtG"/>
        <w:ind w:left="2268" w:hanging="1134"/>
      </w:pPr>
      <w:r w:rsidRPr="00844FE8">
        <w:t>« 4.5.3</w:t>
      </w:r>
      <w:r w:rsidRPr="00844FE8">
        <w:tab/>
        <w:t xml:space="preserve">L’indication de la tension nominale </w:t>
      </w:r>
      <w:r w:rsidRPr="00844FE8">
        <w:rPr>
          <w:strike/>
        </w:rPr>
        <w:t>et de la consommation nominale en</w:t>
      </w:r>
      <w:r w:rsidR="00362FA4" w:rsidRPr="00844FE8">
        <w:rPr>
          <w:strike/>
        </w:rPr>
        <w:t> </w:t>
      </w:r>
      <w:r w:rsidRPr="00844FE8">
        <w:rPr>
          <w:strike/>
        </w:rPr>
        <w:t>watts</w:t>
      </w:r>
      <w:r w:rsidRPr="00844FE8">
        <w:t>. ».</w:t>
      </w:r>
    </w:p>
    <w:p w:rsidR="00A208E2" w:rsidRPr="00844FE8" w:rsidRDefault="00A208E2" w:rsidP="00A208E2">
      <w:pPr>
        <w:pStyle w:val="H1G"/>
        <w:rPr>
          <w:rFonts w:eastAsia="MS Mincho"/>
        </w:rPr>
      </w:pPr>
      <w:r w:rsidRPr="00844FE8">
        <w:rPr>
          <w:rFonts w:eastAsia="MS Mincho"/>
        </w:rPr>
        <w:tab/>
        <w:t>I.</w:t>
      </w:r>
      <w:r w:rsidRPr="00844FE8">
        <w:rPr>
          <w:rFonts w:eastAsia="MS Mincho"/>
        </w:rPr>
        <w:tab/>
        <w:t>Complément 16 à la série 00 d’amendements au Règlement n</w:t>
      </w:r>
      <w:r w:rsidRPr="00844FE8">
        <w:rPr>
          <w:rFonts w:eastAsia="MS Mincho"/>
          <w:vertAlign w:val="superscript"/>
        </w:rPr>
        <w:t>o</w:t>
      </w:r>
      <w:r w:rsidRPr="00844FE8">
        <w:rPr>
          <w:rFonts w:eastAsia="MS Mincho"/>
        </w:rPr>
        <w:t> </w:t>
      </w:r>
      <w:r w:rsidRPr="00844FE8">
        <w:rPr>
          <w:lang w:eastAsia="it-IT"/>
        </w:rPr>
        <w:t xml:space="preserve">91 </w:t>
      </w:r>
      <w:r w:rsidRPr="00844FE8">
        <w:rPr>
          <w:lang w:eastAsia="it-IT"/>
        </w:rPr>
        <w:br/>
        <w:t>(Feux de position latéraux)</w:t>
      </w:r>
    </w:p>
    <w:p w:rsidR="00A208E2" w:rsidRPr="00844FE8" w:rsidRDefault="00A208E2" w:rsidP="00A208E2">
      <w:pPr>
        <w:pStyle w:val="SingleTxtG"/>
        <w:rPr>
          <w:lang w:eastAsia="it-IT"/>
        </w:rPr>
      </w:pPr>
      <w:r w:rsidRPr="00844FE8">
        <w:rPr>
          <w:i/>
          <w:lang w:eastAsia="it-IT"/>
        </w:rPr>
        <w:t>Paragraphe 4.5</w:t>
      </w:r>
      <w:r w:rsidRPr="00844FE8">
        <w:rPr>
          <w:iCs/>
          <w:lang w:eastAsia="it-IT"/>
        </w:rPr>
        <w:t>,</w:t>
      </w:r>
      <w:r w:rsidRPr="00844FE8">
        <w:rPr>
          <w:lang w:eastAsia="it-IT"/>
        </w:rPr>
        <w:t xml:space="preserve"> modifier comme suit</w:t>
      </w:r>
      <w:r w:rsidR="00844FE8" w:rsidRPr="00844FE8">
        <w:rPr>
          <w:lang w:eastAsia="it-IT"/>
        </w:rPr>
        <w:t> :</w:t>
      </w:r>
    </w:p>
    <w:p w:rsidR="00A208E2" w:rsidRPr="00844FE8" w:rsidRDefault="00A208E2" w:rsidP="00A208E2">
      <w:pPr>
        <w:pStyle w:val="SingleTxtG"/>
        <w:ind w:left="2268" w:hanging="1134"/>
      </w:pPr>
      <w:r w:rsidRPr="00844FE8">
        <w:t>« 4.5</w:t>
      </w:r>
      <w:r w:rsidRPr="00844FE8">
        <w:tab/>
        <w:t xml:space="preserve">Dans le cas des feux équipés de sources lumineuses non remplaçables ou d’un ou plusieurs modules d’éclairage, l’indication de la tension nominale ou de la plage de tension </w:t>
      </w:r>
      <w:r w:rsidRPr="00844FE8">
        <w:rPr>
          <w:strike/>
        </w:rPr>
        <w:t>et de la puissance nominale en watts</w:t>
      </w:r>
      <w:r w:rsidRPr="00844FE8">
        <w:t>. ».</w:t>
      </w:r>
    </w:p>
    <w:p w:rsidR="00A208E2" w:rsidRPr="00844FE8" w:rsidRDefault="00A208E2" w:rsidP="00A208E2">
      <w:pPr>
        <w:pStyle w:val="SingleTxtG"/>
        <w:rPr>
          <w:lang w:eastAsia="it-IT"/>
        </w:rPr>
      </w:pPr>
      <w:r w:rsidRPr="00844FE8">
        <w:rPr>
          <w:i/>
          <w:lang w:eastAsia="it-IT"/>
        </w:rPr>
        <w:t>Paragraphe 4.6.3</w:t>
      </w:r>
      <w:r w:rsidRPr="00844FE8">
        <w:rPr>
          <w:iCs/>
          <w:lang w:eastAsia="it-IT"/>
        </w:rPr>
        <w:t xml:space="preserve">, </w:t>
      </w:r>
      <w:r w:rsidRPr="00844FE8">
        <w:rPr>
          <w:lang w:eastAsia="it-IT"/>
        </w:rPr>
        <w:t>modifier comme suit</w:t>
      </w:r>
      <w:r w:rsidR="00844FE8" w:rsidRPr="00844FE8">
        <w:rPr>
          <w:lang w:eastAsia="it-IT"/>
        </w:rPr>
        <w:t> :</w:t>
      </w:r>
    </w:p>
    <w:p w:rsidR="00A208E2" w:rsidRPr="00844FE8" w:rsidRDefault="00A208E2" w:rsidP="00362FA4">
      <w:pPr>
        <w:pStyle w:val="SingleTxtG"/>
        <w:ind w:left="2268" w:hanging="1134"/>
      </w:pPr>
      <w:r w:rsidRPr="00844FE8">
        <w:t>« 4.6.3</w:t>
      </w:r>
      <w:r w:rsidRPr="00844FE8">
        <w:tab/>
      </w:r>
      <w:r w:rsidRPr="00844FE8">
        <w:tab/>
        <w:t xml:space="preserve">L’indication de la tension nominale </w:t>
      </w:r>
      <w:r w:rsidRPr="00844FE8">
        <w:rPr>
          <w:strike/>
        </w:rPr>
        <w:t>et de la consommation nominale en</w:t>
      </w:r>
      <w:r w:rsidR="00362FA4" w:rsidRPr="00844FE8">
        <w:rPr>
          <w:strike/>
        </w:rPr>
        <w:t> </w:t>
      </w:r>
      <w:r w:rsidRPr="00844FE8">
        <w:rPr>
          <w:strike/>
        </w:rPr>
        <w:t>watts</w:t>
      </w:r>
      <w:r w:rsidRPr="00844FE8">
        <w:t>. ».</w:t>
      </w:r>
    </w:p>
    <w:p w:rsidR="00A208E2" w:rsidRPr="00844FE8" w:rsidRDefault="00A208E2" w:rsidP="00A208E2">
      <w:pPr>
        <w:pStyle w:val="H1G"/>
        <w:rPr>
          <w:rFonts w:eastAsia="MS Mincho"/>
        </w:rPr>
      </w:pPr>
      <w:r w:rsidRPr="00844FE8">
        <w:rPr>
          <w:rFonts w:eastAsia="MS Mincho"/>
        </w:rPr>
        <w:tab/>
        <w:t>J.</w:t>
      </w:r>
      <w:r w:rsidRPr="00844FE8">
        <w:rPr>
          <w:rFonts w:eastAsia="MS Mincho"/>
        </w:rPr>
        <w:tab/>
        <w:t>Complément 5 à la série 01 d’amendements au Règlement n</w:t>
      </w:r>
      <w:r w:rsidRPr="00844FE8">
        <w:rPr>
          <w:rFonts w:eastAsia="MS Mincho"/>
          <w:vertAlign w:val="superscript"/>
        </w:rPr>
        <w:t>o</w:t>
      </w:r>
      <w:r w:rsidRPr="00844FE8">
        <w:rPr>
          <w:rFonts w:eastAsia="MS Mincho"/>
        </w:rPr>
        <w:t> </w:t>
      </w:r>
      <w:r w:rsidRPr="00844FE8">
        <w:rPr>
          <w:lang w:eastAsia="it-IT"/>
        </w:rPr>
        <w:t>119 (Feux d’angle)</w:t>
      </w:r>
    </w:p>
    <w:p w:rsidR="00A208E2" w:rsidRPr="00844FE8" w:rsidRDefault="00A208E2" w:rsidP="00A208E2">
      <w:pPr>
        <w:pStyle w:val="SingleTxtG"/>
        <w:rPr>
          <w:lang w:eastAsia="it-IT"/>
        </w:rPr>
      </w:pPr>
      <w:r w:rsidRPr="00844FE8">
        <w:rPr>
          <w:i/>
          <w:lang w:eastAsia="it-IT"/>
        </w:rPr>
        <w:t>Paragraphe 3.4</w:t>
      </w:r>
      <w:r w:rsidRPr="00844FE8">
        <w:rPr>
          <w:iCs/>
          <w:lang w:eastAsia="it-IT"/>
        </w:rPr>
        <w:t xml:space="preserve">, </w:t>
      </w:r>
      <w:r w:rsidRPr="00844FE8">
        <w:rPr>
          <w:lang w:eastAsia="it-IT"/>
        </w:rPr>
        <w:t>modifier comme suit</w:t>
      </w:r>
      <w:r w:rsidR="00844FE8" w:rsidRPr="00844FE8">
        <w:rPr>
          <w:lang w:eastAsia="it-IT"/>
        </w:rPr>
        <w:t> :</w:t>
      </w:r>
    </w:p>
    <w:p w:rsidR="00A208E2" w:rsidRPr="00844FE8" w:rsidRDefault="00A208E2" w:rsidP="00A208E2">
      <w:pPr>
        <w:pStyle w:val="SingleTxtG"/>
        <w:ind w:left="2268" w:hanging="1134"/>
      </w:pPr>
      <w:r w:rsidRPr="00844FE8">
        <w:t>« 3.4</w:t>
      </w:r>
      <w:r w:rsidRPr="00844FE8">
        <w:tab/>
        <w:t xml:space="preserve">Dans le cas de feux équipés d’un module électronique de régulation et/ou de sources lumineuses non remplaçables et/ou d’un ou de modules d’éclairage, l’indication de la tension nominale ou de la plage de tension </w:t>
      </w:r>
      <w:r w:rsidRPr="00844FE8">
        <w:rPr>
          <w:strike/>
        </w:rPr>
        <w:t>et de la puissance maximale nominale en watt</w:t>
      </w:r>
      <w:r w:rsidRPr="00844FE8">
        <w:t>. ».</w:t>
      </w:r>
    </w:p>
    <w:p w:rsidR="00A208E2" w:rsidRPr="00844FE8" w:rsidRDefault="00A208E2" w:rsidP="00A208E2">
      <w:pPr>
        <w:pStyle w:val="SingleTxtG"/>
        <w:rPr>
          <w:lang w:eastAsia="it-IT"/>
        </w:rPr>
      </w:pPr>
      <w:r w:rsidRPr="00844FE8">
        <w:rPr>
          <w:i/>
          <w:lang w:eastAsia="it-IT"/>
        </w:rPr>
        <w:t>Paragraphe 3.5.3</w:t>
      </w:r>
      <w:r w:rsidRPr="00844FE8">
        <w:rPr>
          <w:iCs/>
          <w:lang w:eastAsia="it-IT"/>
        </w:rPr>
        <w:t xml:space="preserve">, </w:t>
      </w:r>
      <w:r w:rsidRPr="00844FE8">
        <w:rPr>
          <w:lang w:eastAsia="it-IT"/>
        </w:rPr>
        <w:t>modifier comme suit</w:t>
      </w:r>
      <w:r w:rsidR="00844FE8" w:rsidRPr="00844FE8">
        <w:rPr>
          <w:lang w:eastAsia="it-IT"/>
        </w:rPr>
        <w:t> :</w:t>
      </w:r>
    </w:p>
    <w:p w:rsidR="00A208E2" w:rsidRPr="00844FE8" w:rsidRDefault="00A208E2" w:rsidP="00A208E2">
      <w:pPr>
        <w:pStyle w:val="SingleTxtG"/>
        <w:ind w:left="2268" w:hanging="1134"/>
      </w:pPr>
      <w:r w:rsidRPr="00844FE8">
        <w:t>« 3.5.3</w:t>
      </w:r>
      <w:r w:rsidRPr="00844FE8">
        <w:tab/>
      </w:r>
      <w:r w:rsidRPr="00844FE8">
        <w:tab/>
        <w:t xml:space="preserve">L’indication de la tension nominale </w:t>
      </w:r>
      <w:r w:rsidRPr="00844FE8">
        <w:rPr>
          <w:strike/>
        </w:rPr>
        <w:t>et de la consommation nominale en watts</w:t>
      </w:r>
      <w:r w:rsidRPr="00844FE8">
        <w:t>. ».</w:t>
      </w:r>
    </w:p>
    <w:p w:rsidR="00A208E2" w:rsidRPr="00844FE8" w:rsidRDefault="00A208E2" w:rsidP="00A208E2">
      <w:pPr>
        <w:pStyle w:val="HChG"/>
      </w:pPr>
      <w:r w:rsidRPr="00844FE8">
        <w:lastRenderedPageBreak/>
        <w:tab/>
        <w:t>II.</w:t>
      </w:r>
      <w:r w:rsidRPr="00844FE8">
        <w:tab/>
        <w:t>Justification</w:t>
      </w:r>
    </w:p>
    <w:p w:rsidR="00A208E2" w:rsidRPr="00844FE8" w:rsidRDefault="00A208E2" w:rsidP="00844FE8">
      <w:pPr>
        <w:pStyle w:val="SingleTxtG"/>
        <w:keepLines/>
        <w:ind w:firstLine="567"/>
      </w:pPr>
      <w:r w:rsidRPr="00844FE8">
        <w:t xml:space="preserve">La présente proposition supprime l’obligation d’indiquer la puissance nominale dans le marquage des feux équipés d’un dispositif de régulation électronique ou d’un régulateur d’intensité et/ou de sources lumineuses non remplaçables et/ou d’un ou plusieurs modules d’éclairage. D’un point de vue électronique, les renseignements concernant la puissance n’apportent aucun avantage et sont source de confusion si le même module est utilisé dans des systèmes différents et à différentes puissances. </w:t>
      </w:r>
    </w:p>
    <w:p w:rsidR="00F9573C" w:rsidRPr="00844FE8" w:rsidRDefault="00A208E2" w:rsidP="00A208E2">
      <w:pPr>
        <w:pStyle w:val="SingleTxtG"/>
        <w:spacing w:before="240" w:after="0"/>
        <w:jc w:val="center"/>
        <w:rPr>
          <w:u w:val="single"/>
        </w:rPr>
      </w:pPr>
      <w:r w:rsidRPr="00844FE8">
        <w:rPr>
          <w:u w:val="single"/>
        </w:rPr>
        <w:tab/>
      </w:r>
      <w:r w:rsidRPr="00844FE8">
        <w:rPr>
          <w:u w:val="single"/>
        </w:rPr>
        <w:tab/>
      </w:r>
      <w:r w:rsidRPr="00844FE8">
        <w:rPr>
          <w:u w:val="single"/>
        </w:rPr>
        <w:tab/>
      </w:r>
    </w:p>
    <w:sectPr w:rsidR="00F9573C" w:rsidRPr="00844FE8" w:rsidSect="00A208E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D2A" w:rsidRDefault="00747D2A" w:rsidP="00F95C08">
      <w:pPr>
        <w:spacing w:line="240" w:lineRule="auto"/>
      </w:pPr>
    </w:p>
  </w:endnote>
  <w:endnote w:type="continuationSeparator" w:id="0">
    <w:p w:rsidR="00747D2A" w:rsidRPr="00AC3823" w:rsidRDefault="00747D2A" w:rsidP="00AC3823">
      <w:pPr>
        <w:pStyle w:val="Footer"/>
      </w:pPr>
    </w:p>
  </w:endnote>
  <w:endnote w:type="continuationNotice" w:id="1">
    <w:p w:rsidR="00747D2A" w:rsidRDefault="00747D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E2" w:rsidRPr="00A208E2" w:rsidRDefault="00A208E2" w:rsidP="00A208E2">
    <w:pPr>
      <w:pStyle w:val="Footer"/>
      <w:tabs>
        <w:tab w:val="right" w:pos="9638"/>
      </w:tabs>
    </w:pPr>
    <w:r w:rsidRPr="00A208E2">
      <w:rPr>
        <w:b/>
        <w:sz w:val="18"/>
      </w:rPr>
      <w:fldChar w:fldCharType="begin"/>
    </w:r>
    <w:r w:rsidRPr="00A208E2">
      <w:rPr>
        <w:b/>
        <w:sz w:val="18"/>
      </w:rPr>
      <w:instrText xml:space="preserve"> PAGE  \* MERGEFORMAT </w:instrText>
    </w:r>
    <w:r w:rsidRPr="00A208E2">
      <w:rPr>
        <w:b/>
        <w:sz w:val="18"/>
      </w:rPr>
      <w:fldChar w:fldCharType="separate"/>
    </w:r>
    <w:r w:rsidR="00BC722A">
      <w:rPr>
        <w:b/>
        <w:noProof/>
        <w:sz w:val="18"/>
      </w:rPr>
      <w:t>4</w:t>
    </w:r>
    <w:r w:rsidRPr="00A208E2">
      <w:rPr>
        <w:b/>
        <w:sz w:val="18"/>
      </w:rPr>
      <w:fldChar w:fldCharType="end"/>
    </w:r>
    <w:r>
      <w:rPr>
        <w:b/>
        <w:sz w:val="18"/>
      </w:rPr>
      <w:tab/>
    </w:r>
    <w:r>
      <w:t>GE.16-13932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E2" w:rsidRPr="00A208E2" w:rsidRDefault="00A208E2" w:rsidP="00A208E2">
    <w:pPr>
      <w:pStyle w:val="Footer"/>
      <w:tabs>
        <w:tab w:val="right" w:pos="9638"/>
      </w:tabs>
      <w:rPr>
        <w:b/>
        <w:sz w:val="18"/>
      </w:rPr>
    </w:pPr>
    <w:r>
      <w:t>GE.16-13932</w:t>
    </w:r>
    <w:r>
      <w:tab/>
    </w:r>
    <w:r w:rsidRPr="00A208E2">
      <w:rPr>
        <w:b/>
        <w:sz w:val="18"/>
      </w:rPr>
      <w:fldChar w:fldCharType="begin"/>
    </w:r>
    <w:r w:rsidRPr="00A208E2">
      <w:rPr>
        <w:b/>
        <w:sz w:val="18"/>
      </w:rPr>
      <w:instrText xml:space="preserve"> PAGE  \* MERGEFORMAT </w:instrText>
    </w:r>
    <w:r w:rsidRPr="00A208E2">
      <w:rPr>
        <w:b/>
        <w:sz w:val="18"/>
      </w:rPr>
      <w:fldChar w:fldCharType="separate"/>
    </w:r>
    <w:r w:rsidR="00BC722A">
      <w:rPr>
        <w:b/>
        <w:noProof/>
        <w:sz w:val="18"/>
      </w:rPr>
      <w:t>5</w:t>
    </w:r>
    <w:r w:rsidRPr="00A208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A208E2" w:rsidRDefault="00A208E2" w:rsidP="00A208E2">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26E43C5" wp14:editId="0B2ACA4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16-13932  (F)    310816    060916</w:t>
    </w:r>
    <w:r>
      <w:rPr>
        <w:sz w:val="20"/>
      </w:rPr>
      <w:br/>
    </w:r>
    <w:r w:rsidRPr="00A208E2">
      <w:rPr>
        <w:rFonts w:ascii="C39T30Lfz" w:hAnsi="C39T30Lfz"/>
        <w:sz w:val="56"/>
      </w:rPr>
      <w:t></w:t>
    </w:r>
    <w:r w:rsidRPr="00A208E2">
      <w:rPr>
        <w:rFonts w:ascii="C39T30Lfz" w:hAnsi="C39T30Lfz"/>
        <w:sz w:val="56"/>
      </w:rPr>
      <w:t></w:t>
    </w:r>
    <w:r w:rsidRPr="00A208E2">
      <w:rPr>
        <w:rFonts w:ascii="C39T30Lfz" w:hAnsi="C39T30Lfz"/>
        <w:sz w:val="56"/>
      </w:rPr>
      <w:t></w:t>
    </w:r>
    <w:r w:rsidRPr="00A208E2">
      <w:rPr>
        <w:rFonts w:ascii="C39T30Lfz" w:hAnsi="C39T30Lfz"/>
        <w:sz w:val="56"/>
      </w:rPr>
      <w:t></w:t>
    </w:r>
    <w:r w:rsidRPr="00A208E2">
      <w:rPr>
        <w:rFonts w:ascii="C39T30Lfz" w:hAnsi="C39T30Lfz"/>
        <w:sz w:val="56"/>
      </w:rPr>
      <w:t></w:t>
    </w:r>
    <w:r w:rsidRPr="00A208E2">
      <w:rPr>
        <w:rFonts w:ascii="C39T30Lfz" w:hAnsi="C39T30Lfz"/>
        <w:sz w:val="56"/>
      </w:rPr>
      <w:t></w:t>
    </w:r>
    <w:r w:rsidRPr="00A208E2">
      <w:rPr>
        <w:rFonts w:ascii="C39T30Lfz" w:hAnsi="C39T30Lfz"/>
        <w:sz w:val="56"/>
      </w:rPr>
      <w:t></w:t>
    </w:r>
    <w:r w:rsidRPr="00A208E2">
      <w:rPr>
        <w:rFonts w:ascii="C39T30Lfz" w:hAnsi="C39T30Lfz"/>
        <w:sz w:val="56"/>
      </w:rPr>
      <w:t></w:t>
    </w:r>
    <w:r w:rsidRPr="00A208E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016/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D2A" w:rsidRPr="00AC3823" w:rsidRDefault="00747D2A" w:rsidP="00AC3823">
      <w:pPr>
        <w:pStyle w:val="Footer"/>
        <w:tabs>
          <w:tab w:val="right" w:pos="2155"/>
        </w:tabs>
        <w:spacing w:after="80" w:line="240" w:lineRule="atLeast"/>
        <w:ind w:left="680"/>
        <w:rPr>
          <w:u w:val="single"/>
        </w:rPr>
      </w:pPr>
      <w:r>
        <w:rPr>
          <w:u w:val="single"/>
        </w:rPr>
        <w:tab/>
      </w:r>
    </w:p>
  </w:footnote>
  <w:footnote w:type="continuationSeparator" w:id="0">
    <w:p w:rsidR="00747D2A" w:rsidRPr="00AC3823" w:rsidRDefault="00747D2A" w:rsidP="00AC3823">
      <w:pPr>
        <w:pStyle w:val="Footer"/>
        <w:tabs>
          <w:tab w:val="right" w:pos="2155"/>
        </w:tabs>
        <w:spacing w:after="80" w:line="240" w:lineRule="atLeast"/>
        <w:ind w:left="680"/>
        <w:rPr>
          <w:u w:val="single"/>
        </w:rPr>
      </w:pPr>
      <w:r>
        <w:rPr>
          <w:u w:val="single"/>
        </w:rPr>
        <w:tab/>
      </w:r>
    </w:p>
  </w:footnote>
  <w:footnote w:type="continuationNotice" w:id="1">
    <w:p w:rsidR="00747D2A" w:rsidRPr="00AC3823" w:rsidRDefault="00747D2A">
      <w:pPr>
        <w:spacing w:line="240" w:lineRule="auto"/>
        <w:rPr>
          <w:sz w:val="2"/>
          <w:szCs w:val="2"/>
        </w:rPr>
      </w:pPr>
    </w:p>
  </w:footnote>
  <w:footnote w:id="2">
    <w:p w:rsidR="00A208E2" w:rsidRPr="00844FE8" w:rsidRDefault="00A208E2" w:rsidP="00A208E2">
      <w:pPr>
        <w:pStyle w:val="FootnoteText"/>
        <w:rPr>
          <w:spacing w:val="-2"/>
        </w:rPr>
      </w:pPr>
      <w:r w:rsidRPr="00844FE8">
        <w:rPr>
          <w:sz w:val="20"/>
        </w:rPr>
        <w:tab/>
        <w:t>*</w:t>
      </w:r>
      <w:r w:rsidRPr="00844FE8">
        <w:rPr>
          <w:sz w:val="20"/>
        </w:rPr>
        <w:tab/>
      </w:r>
      <w:r w:rsidRPr="00844FE8">
        <w:rPr>
          <w:spacing w:val="-2"/>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E2" w:rsidRPr="00A208E2" w:rsidRDefault="00A208E2">
    <w:pPr>
      <w:pStyle w:val="Header"/>
    </w:pPr>
    <w:r>
      <w:t>ECE/TRANS/WP.29/GRE/2016/30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E2" w:rsidRPr="00A208E2" w:rsidRDefault="00A208E2" w:rsidP="00A208E2">
    <w:pPr>
      <w:pStyle w:val="Header"/>
      <w:jc w:val="right"/>
    </w:pPr>
    <w:r>
      <w:t>ECE/TRANS/WP.29/GRE/2016/30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6DB7EC5"/>
    <w:multiLevelType w:val="hybridMultilevel"/>
    <w:tmpl w:val="6610E2E4"/>
    <w:lvl w:ilvl="0" w:tplc="DC14A7A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2A"/>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62FA4"/>
    <w:rsid w:val="003916DE"/>
    <w:rsid w:val="00441C3B"/>
    <w:rsid w:val="00446FE5"/>
    <w:rsid w:val="00452396"/>
    <w:rsid w:val="004837D8"/>
    <w:rsid w:val="004E468C"/>
    <w:rsid w:val="005505B7"/>
    <w:rsid w:val="00573BE5"/>
    <w:rsid w:val="00586ED3"/>
    <w:rsid w:val="00596AA9"/>
    <w:rsid w:val="0071601D"/>
    <w:rsid w:val="00747D2A"/>
    <w:rsid w:val="007A62E6"/>
    <w:rsid w:val="007F20FA"/>
    <w:rsid w:val="0080684C"/>
    <w:rsid w:val="00844E54"/>
    <w:rsid w:val="00844FE8"/>
    <w:rsid w:val="00871C75"/>
    <w:rsid w:val="00873CC4"/>
    <w:rsid w:val="008776DC"/>
    <w:rsid w:val="009705C8"/>
    <w:rsid w:val="009C1CF4"/>
    <w:rsid w:val="009F6B74"/>
    <w:rsid w:val="00A208E2"/>
    <w:rsid w:val="00A30353"/>
    <w:rsid w:val="00AC3823"/>
    <w:rsid w:val="00AE323C"/>
    <w:rsid w:val="00AF0CB5"/>
    <w:rsid w:val="00B00181"/>
    <w:rsid w:val="00B00B0D"/>
    <w:rsid w:val="00B765F7"/>
    <w:rsid w:val="00BA0CA9"/>
    <w:rsid w:val="00BC722A"/>
    <w:rsid w:val="00C0289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208E2"/>
    <w:rPr>
      <w:rFonts w:ascii="Times New Roman" w:hAnsi="Times New Roman" w:cs="Times New Roman"/>
      <w:b/>
      <w:sz w:val="28"/>
      <w:szCs w:val="20"/>
      <w:lang w:eastAsia="en-US"/>
    </w:rPr>
  </w:style>
  <w:style w:type="character" w:customStyle="1" w:styleId="H1GChar">
    <w:name w:val="_ H_1_G Char"/>
    <w:link w:val="H1G"/>
    <w:rsid w:val="00A208E2"/>
    <w:rPr>
      <w:rFonts w:ascii="Times New Roman" w:hAnsi="Times New Roman" w:cs="Times New Roman"/>
      <w:b/>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208E2"/>
    <w:rPr>
      <w:rFonts w:ascii="Times New Roman" w:hAnsi="Times New Roman" w:cs="Times New Roman"/>
      <w:b/>
      <w:sz w:val="28"/>
      <w:szCs w:val="20"/>
      <w:lang w:eastAsia="en-US"/>
    </w:rPr>
  </w:style>
  <w:style w:type="character" w:customStyle="1" w:styleId="H1GChar">
    <w:name w:val="_ H_1_G Char"/>
    <w:link w:val="H1G"/>
    <w:rsid w:val="00A208E2"/>
    <w:rPr>
      <w:rFonts w:ascii="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6116</Characters>
  <Application>Microsoft Office Word</Application>
  <DocSecurity>4</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ECE/TRANS/WP.29/GRE/2016/30</vt:lpstr>
      <vt:lpstr>ECE/TRANS/WP.29/GRE/2016/30</vt:lpstr>
    </vt:vector>
  </TitlesOfParts>
  <Company>DCM</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ECE/TRANS/WP.29/GRE/2016/30</dc:title>
  <dc:creator>Morin</dc:creator>
  <cp:lastModifiedBy>Benedicte Boudol</cp:lastModifiedBy>
  <cp:revision>2</cp:revision>
  <cp:lastPrinted>2014-05-14T10:59:00Z</cp:lastPrinted>
  <dcterms:created xsi:type="dcterms:W3CDTF">2016-09-07T06:54:00Z</dcterms:created>
  <dcterms:modified xsi:type="dcterms:W3CDTF">2016-09-07T06:54:00Z</dcterms:modified>
</cp:coreProperties>
</file>