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8E748D">
            <w:pPr>
              <w:jc w:val="right"/>
              <w:rPr>
                <w:highlight w:val="yellow"/>
              </w:rPr>
            </w:pPr>
            <w:r w:rsidRPr="00370AD8">
              <w:rPr>
                <w:sz w:val="40"/>
              </w:rPr>
              <w:t>ECE</w:t>
            </w:r>
            <w:r w:rsidRPr="00370AD8">
              <w:t>/TRANS/WP.29/GRE/</w:t>
            </w:r>
            <w:r w:rsidR="00A91E4C" w:rsidRPr="00370AD8">
              <w:t>201</w:t>
            </w:r>
            <w:r w:rsidR="00A16D8C" w:rsidRPr="00370AD8">
              <w:t>6</w:t>
            </w:r>
            <w:r w:rsidRPr="00370AD8">
              <w:t>/</w:t>
            </w:r>
            <w:r w:rsidR="0065137A">
              <w:t>2</w:t>
            </w:r>
            <w:r w:rsidR="008E748D">
              <w:t>7</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8E748D" w:rsidP="006D66AF">
            <w:pPr>
              <w:spacing w:line="240" w:lineRule="exact"/>
            </w:pPr>
            <w:r>
              <w:t>9</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7 (</w:t>
      </w:r>
      <w:r w:rsidR="008E748D">
        <w:rPr>
          <w:bCs/>
        </w:rPr>
        <w:t>g</w:t>
      </w:r>
      <w:r>
        <w:rPr>
          <w:bCs/>
        </w:rPr>
        <w:t>)</w:t>
      </w:r>
      <w:r w:rsidR="00275800">
        <w:rPr>
          <w:bCs/>
        </w:rPr>
        <w:t xml:space="preserve"> of the provisional agenda</w:t>
      </w:r>
      <w:r w:rsidRPr="004D1FAA">
        <w:rPr>
          <w:bCs/>
        </w:rPr>
        <w:br/>
      </w:r>
      <w:r w:rsidR="00275800" w:rsidRPr="00275800">
        <w:rPr>
          <w:b/>
          <w:bCs/>
        </w:rPr>
        <w:t>Other Regulations</w:t>
      </w:r>
      <w:r w:rsidR="00275800">
        <w:rPr>
          <w:b/>
          <w:bCs/>
        </w:rPr>
        <w:t xml:space="preserve">: </w:t>
      </w:r>
      <w:r w:rsidR="00275800" w:rsidRPr="00275800">
        <w:rPr>
          <w:b/>
          <w:bCs/>
        </w:rPr>
        <w:t xml:space="preserve">Regulation No. </w:t>
      </w:r>
      <w:r w:rsidR="008E748D">
        <w:rPr>
          <w:b/>
          <w:bCs/>
        </w:rPr>
        <w:t>119</w:t>
      </w:r>
      <w:r w:rsidR="00275800" w:rsidRPr="00275800">
        <w:rPr>
          <w:b/>
          <w:bCs/>
        </w:rPr>
        <w:t xml:space="preserve"> (</w:t>
      </w:r>
      <w:r w:rsidR="008E748D">
        <w:rPr>
          <w:b/>
          <w:bCs/>
        </w:rPr>
        <w:t>Cornering lamps</w:t>
      </w:r>
      <w:r w:rsidR="00275800" w:rsidRPr="00275800">
        <w:rPr>
          <w:b/>
          <w:bCs/>
        </w:rPr>
        <w:t>)</w:t>
      </w:r>
    </w:p>
    <w:p w:rsidR="006D66AF" w:rsidRPr="00370AD8" w:rsidRDefault="006D66AF" w:rsidP="00FF2BE9">
      <w:pPr>
        <w:pStyle w:val="HChG"/>
        <w:rPr>
          <w:lang w:val="en-US"/>
        </w:rPr>
      </w:pPr>
      <w:r w:rsidRPr="00C970EE">
        <w:rPr>
          <w:lang w:val="en-US"/>
        </w:rPr>
        <w:tab/>
      </w:r>
      <w:r w:rsidRPr="00C970EE">
        <w:rPr>
          <w:lang w:val="en-US"/>
        </w:rPr>
        <w:tab/>
      </w:r>
      <w:r w:rsidR="008E748D" w:rsidRPr="008E748D">
        <w:rPr>
          <w:lang w:val="en-US"/>
        </w:rPr>
        <w:t xml:space="preserve">Proposal for Supplement 5 to the 01 series of amendments to Regulation No. 119 (Cornering </w:t>
      </w:r>
      <w:r w:rsidR="008E748D">
        <w:rPr>
          <w:lang w:val="en-US"/>
        </w:rPr>
        <w:t>l</w:t>
      </w:r>
      <w:r w:rsidR="008E748D" w:rsidRPr="008E748D">
        <w:rPr>
          <w:lang w:val="en-US"/>
        </w:rPr>
        <w:t>amps)</w:t>
      </w:r>
      <w:r w:rsidR="00275800">
        <w:rPr>
          <w:lang w:val="en-US"/>
        </w:rPr>
        <w:t xml:space="preserve"> </w:t>
      </w:r>
      <w:r w:rsidR="00003702" w:rsidRPr="00370AD8">
        <w:rPr>
          <w:lang w:val="en-US"/>
        </w:rPr>
        <w:t xml:space="preserve"> </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275800" w:rsidP="00FF2BE9">
      <w:pPr>
        <w:tabs>
          <w:tab w:val="left" w:pos="8505"/>
        </w:tabs>
        <w:spacing w:after="120"/>
        <w:ind w:left="1134" w:right="1134" w:firstLine="567"/>
        <w:jc w:val="both"/>
        <w:rPr>
          <w:lang w:val="en-US"/>
        </w:rPr>
      </w:pPr>
      <w:r w:rsidRPr="00275800">
        <w:rPr>
          <w:rFonts w:eastAsia="Calibri"/>
        </w:rPr>
        <w:t xml:space="preserve">The text reproduced below was prepared by the expert from GTB to </w:t>
      </w:r>
      <w:r w:rsidR="008E748D" w:rsidRPr="008E748D">
        <w:rPr>
          <w:rFonts w:eastAsia="Calibri"/>
        </w:rPr>
        <w:t>delete a redundant paragraph.</w:t>
      </w:r>
      <w:r w:rsidRPr="00275800">
        <w:rPr>
          <w:rFonts w:eastAsia="Calibri"/>
        </w:rPr>
        <w:t xml:space="preserve"> 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8E748D" w:rsidRPr="00AD1EEE" w:rsidRDefault="008E748D" w:rsidP="008E748D">
      <w:pPr>
        <w:spacing w:after="120"/>
        <w:ind w:left="2268" w:right="1134" w:hanging="1134"/>
        <w:jc w:val="both"/>
      </w:pPr>
      <w:r w:rsidRPr="00AD1EEE">
        <w:rPr>
          <w:i/>
        </w:rPr>
        <w:t>Paragraph 7.5.,</w:t>
      </w:r>
      <w:r w:rsidRPr="00AD1EEE">
        <w:t xml:space="preserve"> </w:t>
      </w:r>
      <w:r>
        <w:t>delete:</w:t>
      </w:r>
    </w:p>
    <w:p w:rsidR="008E748D" w:rsidRPr="00AD1EEE" w:rsidDel="00B9741C" w:rsidRDefault="008E748D" w:rsidP="008E748D">
      <w:pPr>
        <w:spacing w:after="120"/>
        <w:ind w:left="2268" w:right="1134" w:hanging="1134"/>
        <w:jc w:val="both"/>
        <w:rPr>
          <w:strike/>
        </w:rPr>
      </w:pPr>
      <w:r w:rsidRPr="00AD1EEE">
        <w:rPr>
          <w:strike/>
        </w:rPr>
        <w:t>“7.5.</w:t>
      </w:r>
      <w:r w:rsidRPr="00AD1EEE">
        <w:rPr>
          <w:strike/>
        </w:rPr>
        <w:tab/>
        <w:t>For any lamp except those equipped with filament lamps, the luminous intensities, measured after one minute and after 30 minutes of operation, shall comply with the minimum and maximum requirements. The luminous intensity distribution after one minute of operation can be calculated from the luminous intensity distribution after 30 minutes of operation by applying at each test point the ratio of luminous intensities measured at HV after one minute and after 30 minutes of operation.”</w:t>
      </w:r>
    </w:p>
    <w:p w:rsidR="00A5414C" w:rsidRPr="00FA7728" w:rsidRDefault="00A5414C" w:rsidP="00A5414C">
      <w:pPr>
        <w:pStyle w:val="HChG"/>
        <w:rPr>
          <w:lang w:val="en-US"/>
        </w:rPr>
      </w:pPr>
      <w:r w:rsidRPr="00FA7728">
        <w:rPr>
          <w:lang w:val="en-US"/>
        </w:rPr>
        <w:tab/>
        <w:t>II.</w:t>
      </w:r>
      <w:r w:rsidRPr="00FA7728">
        <w:rPr>
          <w:lang w:val="en-US"/>
        </w:rPr>
        <w:tab/>
        <w:t>Justification</w:t>
      </w:r>
    </w:p>
    <w:p w:rsidR="008E748D" w:rsidRPr="00AD1EEE" w:rsidRDefault="006211DE" w:rsidP="006211DE">
      <w:pPr>
        <w:spacing w:before="240"/>
        <w:ind w:left="1134" w:right="1134"/>
        <w:jc w:val="both"/>
      </w:pPr>
      <w:r>
        <w:t>1.</w:t>
      </w:r>
      <w:r>
        <w:tab/>
      </w:r>
      <w:r w:rsidR="008E748D" w:rsidRPr="00AD1EEE">
        <w:t>The content of paragraph 7.5</w:t>
      </w:r>
      <w:r>
        <w:t>.</w:t>
      </w:r>
      <w:r w:rsidR="008E748D" w:rsidRPr="00AD1EEE">
        <w:t xml:space="preserve"> was moved to Annex 3, paragraph 3.3</w:t>
      </w:r>
      <w:r>
        <w:t>.</w:t>
      </w:r>
      <w:r w:rsidR="008E748D" w:rsidRPr="00AD1EEE">
        <w:t xml:space="preserve"> by </w:t>
      </w:r>
      <w:r>
        <w:t>s</w:t>
      </w:r>
      <w:r w:rsidR="008E748D" w:rsidRPr="00AD1EEE">
        <w:t>upplement 4 to the 01 series of Regulation</w:t>
      </w:r>
      <w:r w:rsidR="00A209A2">
        <w:t xml:space="preserve"> No.</w:t>
      </w:r>
      <w:r w:rsidR="008E748D" w:rsidRPr="00AD1EEE">
        <w:t xml:space="preserve"> 119. The original content of </w:t>
      </w:r>
      <w:r>
        <w:t>p</w:t>
      </w:r>
      <w:r w:rsidR="008E748D" w:rsidRPr="00AD1EEE">
        <w:t>aragraph 7.5</w:t>
      </w:r>
      <w:r>
        <w:t>.</w:t>
      </w:r>
      <w:r w:rsidR="008E748D" w:rsidRPr="00AD1EEE">
        <w:t xml:space="preserve"> should have been deleted as part of the amendment</w:t>
      </w:r>
      <w:r>
        <w:t>,</w:t>
      </w:r>
      <w:r w:rsidR="008E748D" w:rsidRPr="00AD1EEE">
        <w:t xml:space="preserve"> but this was overlooked. Th</w:t>
      </w:r>
      <w:r>
        <w:t>is</w:t>
      </w:r>
      <w:r w:rsidR="008E748D" w:rsidRPr="00AD1EEE">
        <w:t xml:space="preserve"> amendment is necessary to remove the current conflict between the content of Annex 3, paragraph 3.3</w:t>
      </w:r>
      <w:r>
        <w:t>.</w:t>
      </w:r>
      <w:r w:rsidR="008E748D" w:rsidRPr="00AD1EEE">
        <w:t xml:space="preserve"> and paragraph 7.5 in the main text.</w:t>
      </w:r>
    </w:p>
    <w:p w:rsidR="00FF2BE9" w:rsidRDefault="006211DE" w:rsidP="006211DE">
      <w:pPr>
        <w:spacing w:before="120"/>
        <w:ind w:left="1134" w:right="1134"/>
        <w:jc w:val="both"/>
        <w:rPr>
          <w:lang w:val="en-US"/>
        </w:rPr>
      </w:pPr>
      <w:r>
        <w:t>2.</w:t>
      </w:r>
      <w:r>
        <w:tab/>
      </w:r>
      <w:r w:rsidR="008E748D" w:rsidRPr="00AD1EEE">
        <w:t>It should be noted that a similar amendment to Regulation</w:t>
      </w:r>
      <w:r w:rsidR="00A209A2">
        <w:t xml:space="preserve"> No.</w:t>
      </w:r>
      <w:r w:rsidR="008E748D" w:rsidRPr="00AD1EEE">
        <w:t xml:space="preserve"> 23 was introduced as Supplement 20</w:t>
      </w:r>
      <w:r w:rsidR="00A209A2">
        <w:t>,</w:t>
      </w:r>
      <w:r w:rsidR="008E748D" w:rsidRPr="00AD1EEE">
        <w:t xml:space="preserve"> but the structure of this </w:t>
      </w:r>
      <w:r w:rsidR="00A209A2">
        <w:t>R</w:t>
      </w:r>
      <w:r w:rsidR="008E748D" w:rsidRPr="00AD1EEE">
        <w:t>egulation maintains all requirements in paragraph 7.4</w:t>
      </w:r>
      <w:r w:rsidR="00A209A2">
        <w:t>.</w:t>
      </w:r>
      <w:r w:rsidR="008E748D" w:rsidRPr="00AD1EEE">
        <w:t xml:space="preserve"> of the main text and</w:t>
      </w:r>
      <w:r w:rsidR="00A209A2">
        <w:t>,</w:t>
      </w:r>
      <w:r w:rsidR="008E748D" w:rsidRPr="00AD1EEE">
        <w:t xml:space="preserve"> consequently</w:t>
      </w:r>
      <w:r w:rsidR="00A209A2">
        <w:t>,</w:t>
      </w:r>
      <w:r w:rsidR="008E748D" w:rsidRPr="00AD1EEE">
        <w:t xml:space="preserve"> there is no conflict in Regulation</w:t>
      </w:r>
      <w:r w:rsidR="00A209A2">
        <w:t xml:space="preserve"> No.</w:t>
      </w:r>
      <w:r w:rsidR="008E748D" w:rsidRPr="00AD1EEE">
        <w:t xml:space="preserve"> 23. However, the </w:t>
      </w:r>
      <w:r w:rsidR="00A209A2">
        <w:t xml:space="preserve">Informal </w:t>
      </w:r>
      <w:r w:rsidR="001F618D">
        <w:t xml:space="preserve">Working Group </w:t>
      </w:r>
      <w:r w:rsidR="00A209A2">
        <w:t>"Simplification of the Lighting and Light-Signalling Regulations" would</w:t>
      </w:r>
      <w:r w:rsidR="008E748D" w:rsidRPr="00AD1EEE">
        <w:t xml:space="preserve"> need to give attention to this difference in</w:t>
      </w:r>
      <w:r w:rsidR="00A209A2">
        <w:t xml:space="preserve"> the</w:t>
      </w:r>
      <w:r w:rsidR="008E748D" w:rsidRPr="00AD1EEE">
        <w:t xml:space="preserve"> approach when drafting </w:t>
      </w:r>
      <w:r w:rsidR="00A209A2">
        <w:t xml:space="preserve">the </w:t>
      </w:r>
      <w:r w:rsidR="008E748D" w:rsidRPr="00AD1EEE">
        <w:t>new Regulations and grouping the common provisions.</w:t>
      </w:r>
      <w:r w:rsidR="00FF2BE9" w:rsidRPr="00FF2BE9">
        <w:rPr>
          <w:lang w:val="en-US"/>
        </w:rPr>
        <w:t xml:space="preserve"> </w:t>
      </w:r>
    </w:p>
    <w:p w:rsidR="00FA7728" w:rsidRPr="00A238BB" w:rsidRDefault="00A369D1" w:rsidP="0002092A">
      <w:pPr>
        <w:pStyle w:val="SingleTxtG"/>
        <w:spacing w:before="240" w:after="0"/>
        <w:jc w:val="center"/>
      </w:pPr>
      <w:r>
        <w:t>___________________</w:t>
      </w:r>
    </w:p>
    <w:sectPr w:rsidR="00FA7728" w:rsidRPr="00A238BB"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50" w:rsidRDefault="00B20650"/>
  </w:endnote>
  <w:endnote w:type="continuationSeparator" w:id="0">
    <w:p w:rsidR="00B20650" w:rsidRDefault="00B20650"/>
  </w:endnote>
  <w:endnote w:type="continuationNotice" w:id="1">
    <w:p w:rsidR="00B20650" w:rsidRDefault="00B20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946445">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2608F3" w:rsidP="00370AD8">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275800">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B0" w:rsidRDefault="00875AB0" w:rsidP="00875AB0">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875AB0" w:rsidRDefault="00875AB0" w:rsidP="00875AB0">
    <w:pPr>
      <w:pStyle w:val="Footer"/>
      <w:ind w:right="1134"/>
      <w:rPr>
        <w:sz w:val="20"/>
      </w:rPr>
    </w:pPr>
    <w:r>
      <w:rPr>
        <w:sz w:val="20"/>
      </w:rPr>
      <w:t>GE.16-13793(E)</w:t>
    </w:r>
  </w:p>
  <w:p w:rsidR="00875AB0" w:rsidRPr="00875AB0" w:rsidRDefault="00875AB0" w:rsidP="00875A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E/2016/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50" w:rsidRPr="000B175B" w:rsidRDefault="00B20650" w:rsidP="000B175B">
      <w:pPr>
        <w:tabs>
          <w:tab w:val="right" w:pos="2155"/>
        </w:tabs>
        <w:spacing w:after="80"/>
        <w:ind w:left="680"/>
        <w:rPr>
          <w:u w:val="single"/>
        </w:rPr>
      </w:pPr>
      <w:r>
        <w:rPr>
          <w:u w:val="single"/>
        </w:rPr>
        <w:tab/>
      </w:r>
    </w:p>
  </w:footnote>
  <w:footnote w:type="continuationSeparator" w:id="0">
    <w:p w:rsidR="00B20650" w:rsidRPr="00FC68B7" w:rsidRDefault="00B20650" w:rsidP="00FC68B7">
      <w:pPr>
        <w:tabs>
          <w:tab w:val="left" w:pos="2155"/>
        </w:tabs>
        <w:spacing w:after="80"/>
        <w:ind w:left="680"/>
        <w:rPr>
          <w:u w:val="single"/>
        </w:rPr>
      </w:pPr>
      <w:r>
        <w:rPr>
          <w:u w:val="single"/>
        </w:rPr>
        <w:tab/>
      </w:r>
    </w:p>
  </w:footnote>
  <w:footnote w:type="continuationNotice" w:id="1">
    <w:p w:rsidR="00B20650" w:rsidRDefault="00B20650"/>
  </w:footnote>
  <w:footnote w:id="2">
    <w:p w:rsidR="00F91276" w:rsidRPr="00253584" w:rsidRDefault="00F91276"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A16D8C">
      <w:t>6</w:t>
    </w:r>
    <w:r w:rsidR="00802922">
      <w:t>/</w:t>
    </w:r>
    <w:r w:rsidR="0065137A">
      <w:t>2</w:t>
    </w:r>
    <w:r w:rsidR="008E748D">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370AD8">
    <w:pPr>
      <w:pStyle w:val="Header"/>
      <w:jc w:val="right"/>
    </w:pPr>
    <w:r w:rsidRPr="00370AD8">
      <w:t>ECE/TRANS/WP.29/GRE/</w:t>
    </w:r>
    <w:r w:rsidR="00802922">
      <w:t>2016/</w:t>
    </w:r>
    <w:r w:rsidR="0065137A">
      <w:t>2</w:t>
    </w:r>
    <w:r w:rsidR="0027580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8"/>
  </w:num>
  <w:num w:numId="19">
    <w:abstractNumId w:val="11"/>
  </w:num>
  <w:num w:numId="20">
    <w:abstractNumId w:val="16"/>
  </w:num>
  <w:num w:numId="21">
    <w:abstractNumId w:val="23"/>
  </w:num>
  <w:num w:numId="22">
    <w:abstractNumId w:val="14"/>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48D3"/>
    <w:rsid w:val="0003791F"/>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E0415"/>
    <w:rsid w:val="000F431B"/>
    <w:rsid w:val="001078D2"/>
    <w:rsid w:val="001103AA"/>
    <w:rsid w:val="0011666B"/>
    <w:rsid w:val="00124000"/>
    <w:rsid w:val="0013722F"/>
    <w:rsid w:val="0014380B"/>
    <w:rsid w:val="00150388"/>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E7B67"/>
    <w:rsid w:val="001F618D"/>
    <w:rsid w:val="00202DA8"/>
    <w:rsid w:val="00204AD6"/>
    <w:rsid w:val="00210A69"/>
    <w:rsid w:val="00211E0B"/>
    <w:rsid w:val="0024772E"/>
    <w:rsid w:val="00253714"/>
    <w:rsid w:val="002546AE"/>
    <w:rsid w:val="002608F3"/>
    <w:rsid w:val="00267F5F"/>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40057"/>
    <w:rsid w:val="00346D03"/>
    <w:rsid w:val="00352709"/>
    <w:rsid w:val="00354371"/>
    <w:rsid w:val="003619B5"/>
    <w:rsid w:val="00361AC3"/>
    <w:rsid w:val="00365763"/>
    <w:rsid w:val="0036599E"/>
    <w:rsid w:val="00370AD8"/>
    <w:rsid w:val="00371178"/>
    <w:rsid w:val="00371CD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53556"/>
    <w:rsid w:val="0045495B"/>
    <w:rsid w:val="004561E5"/>
    <w:rsid w:val="00462DC9"/>
    <w:rsid w:val="00467628"/>
    <w:rsid w:val="004833EE"/>
    <w:rsid w:val="0048397A"/>
    <w:rsid w:val="00485CBB"/>
    <w:rsid w:val="004866B7"/>
    <w:rsid w:val="004A1587"/>
    <w:rsid w:val="004C0081"/>
    <w:rsid w:val="004C2461"/>
    <w:rsid w:val="004C7462"/>
    <w:rsid w:val="004D127C"/>
    <w:rsid w:val="004E77B2"/>
    <w:rsid w:val="005000A9"/>
    <w:rsid w:val="00501DC3"/>
    <w:rsid w:val="0050237E"/>
    <w:rsid w:val="00504B2D"/>
    <w:rsid w:val="0052136D"/>
    <w:rsid w:val="0052775E"/>
    <w:rsid w:val="005369ED"/>
    <w:rsid w:val="005420F2"/>
    <w:rsid w:val="0056209A"/>
    <w:rsid w:val="005628B6"/>
    <w:rsid w:val="00585059"/>
    <w:rsid w:val="00590860"/>
    <w:rsid w:val="005908FB"/>
    <w:rsid w:val="005941EC"/>
    <w:rsid w:val="0059724D"/>
    <w:rsid w:val="005A4616"/>
    <w:rsid w:val="005B320C"/>
    <w:rsid w:val="005B3DB3"/>
    <w:rsid w:val="005B4E13"/>
    <w:rsid w:val="005C342F"/>
    <w:rsid w:val="005C7D1E"/>
    <w:rsid w:val="005D67C8"/>
    <w:rsid w:val="005E1BC9"/>
    <w:rsid w:val="005F1A80"/>
    <w:rsid w:val="005F5FE0"/>
    <w:rsid w:val="005F7B75"/>
    <w:rsid w:val="006001EE"/>
    <w:rsid w:val="00605042"/>
    <w:rsid w:val="00611FC4"/>
    <w:rsid w:val="00613812"/>
    <w:rsid w:val="006176FB"/>
    <w:rsid w:val="006211DE"/>
    <w:rsid w:val="0062385B"/>
    <w:rsid w:val="00640B26"/>
    <w:rsid w:val="0065137A"/>
    <w:rsid w:val="00652D0A"/>
    <w:rsid w:val="00662BB6"/>
    <w:rsid w:val="00671B51"/>
    <w:rsid w:val="00672A48"/>
    <w:rsid w:val="00672F8A"/>
    <w:rsid w:val="0067362F"/>
    <w:rsid w:val="0067398C"/>
    <w:rsid w:val="00676606"/>
    <w:rsid w:val="00677A28"/>
    <w:rsid w:val="0068000A"/>
    <w:rsid w:val="006810B6"/>
    <w:rsid w:val="00684C21"/>
    <w:rsid w:val="00695CEC"/>
    <w:rsid w:val="006A2530"/>
    <w:rsid w:val="006B1C59"/>
    <w:rsid w:val="006C3589"/>
    <w:rsid w:val="006C3888"/>
    <w:rsid w:val="006C79BC"/>
    <w:rsid w:val="006D37AF"/>
    <w:rsid w:val="006D51D0"/>
    <w:rsid w:val="006D5FB9"/>
    <w:rsid w:val="006D658E"/>
    <w:rsid w:val="006D66AF"/>
    <w:rsid w:val="006E564B"/>
    <w:rsid w:val="006E7191"/>
    <w:rsid w:val="00703577"/>
    <w:rsid w:val="00705894"/>
    <w:rsid w:val="007067AC"/>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E70"/>
    <w:rsid w:val="007A3977"/>
    <w:rsid w:val="007B6BA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595A"/>
    <w:rsid w:val="00864245"/>
    <w:rsid w:val="00864889"/>
    <w:rsid w:val="00865AB3"/>
    <w:rsid w:val="008679D9"/>
    <w:rsid w:val="00872E3B"/>
    <w:rsid w:val="00875AB0"/>
    <w:rsid w:val="008878DE"/>
    <w:rsid w:val="008928C6"/>
    <w:rsid w:val="00894E11"/>
    <w:rsid w:val="008979B1"/>
    <w:rsid w:val="008A1ED5"/>
    <w:rsid w:val="008A6B25"/>
    <w:rsid w:val="008A6C4F"/>
    <w:rsid w:val="008B0563"/>
    <w:rsid w:val="008B2335"/>
    <w:rsid w:val="008B2E36"/>
    <w:rsid w:val="008C2428"/>
    <w:rsid w:val="008C3247"/>
    <w:rsid w:val="008E0678"/>
    <w:rsid w:val="008E748D"/>
    <w:rsid w:val="008F31D2"/>
    <w:rsid w:val="008F3206"/>
    <w:rsid w:val="008F4D20"/>
    <w:rsid w:val="009130D3"/>
    <w:rsid w:val="00915EF6"/>
    <w:rsid w:val="00921D1C"/>
    <w:rsid w:val="009223CA"/>
    <w:rsid w:val="00930A10"/>
    <w:rsid w:val="00931395"/>
    <w:rsid w:val="00934631"/>
    <w:rsid w:val="00940F93"/>
    <w:rsid w:val="009448C3"/>
    <w:rsid w:val="00946445"/>
    <w:rsid w:val="00960F75"/>
    <w:rsid w:val="009760F3"/>
    <w:rsid w:val="00976CFB"/>
    <w:rsid w:val="00980087"/>
    <w:rsid w:val="009A0830"/>
    <w:rsid w:val="009A0E8D"/>
    <w:rsid w:val="009B26E7"/>
    <w:rsid w:val="009B2F79"/>
    <w:rsid w:val="009B3273"/>
    <w:rsid w:val="009B544C"/>
    <w:rsid w:val="009B6278"/>
    <w:rsid w:val="009B64BB"/>
    <w:rsid w:val="009E567A"/>
    <w:rsid w:val="009F5012"/>
    <w:rsid w:val="00A00697"/>
    <w:rsid w:val="00A00A3F"/>
    <w:rsid w:val="00A01205"/>
    <w:rsid w:val="00A01489"/>
    <w:rsid w:val="00A02FA2"/>
    <w:rsid w:val="00A14E80"/>
    <w:rsid w:val="00A16D8C"/>
    <w:rsid w:val="00A209A2"/>
    <w:rsid w:val="00A238BB"/>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C02C5"/>
    <w:rsid w:val="00AD74C4"/>
    <w:rsid w:val="00B049A8"/>
    <w:rsid w:val="00B1029C"/>
    <w:rsid w:val="00B20650"/>
    <w:rsid w:val="00B226AA"/>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B34B6"/>
    <w:rsid w:val="00BB578F"/>
    <w:rsid w:val="00BC3F3B"/>
    <w:rsid w:val="00BC3FA0"/>
    <w:rsid w:val="00BC74E9"/>
    <w:rsid w:val="00BE48EA"/>
    <w:rsid w:val="00BF1E2C"/>
    <w:rsid w:val="00BF30B3"/>
    <w:rsid w:val="00BF43C8"/>
    <w:rsid w:val="00BF68A8"/>
    <w:rsid w:val="00C11A03"/>
    <w:rsid w:val="00C22C0C"/>
    <w:rsid w:val="00C37074"/>
    <w:rsid w:val="00C4527F"/>
    <w:rsid w:val="00C463DD"/>
    <w:rsid w:val="00C4724C"/>
    <w:rsid w:val="00C60646"/>
    <w:rsid w:val="00C629A0"/>
    <w:rsid w:val="00C64629"/>
    <w:rsid w:val="00C71096"/>
    <w:rsid w:val="00C745C3"/>
    <w:rsid w:val="00C91C1C"/>
    <w:rsid w:val="00C94F10"/>
    <w:rsid w:val="00C96DF2"/>
    <w:rsid w:val="00CA1B34"/>
    <w:rsid w:val="00CA793D"/>
    <w:rsid w:val="00CB3E03"/>
    <w:rsid w:val="00CD4AA6"/>
    <w:rsid w:val="00CE4A8F"/>
    <w:rsid w:val="00D041DD"/>
    <w:rsid w:val="00D0711A"/>
    <w:rsid w:val="00D149F6"/>
    <w:rsid w:val="00D2031B"/>
    <w:rsid w:val="00D248B6"/>
    <w:rsid w:val="00D25FE2"/>
    <w:rsid w:val="00D26E07"/>
    <w:rsid w:val="00D43252"/>
    <w:rsid w:val="00D44783"/>
    <w:rsid w:val="00D452D8"/>
    <w:rsid w:val="00D47EEA"/>
    <w:rsid w:val="00D57C02"/>
    <w:rsid w:val="00D611E6"/>
    <w:rsid w:val="00D70480"/>
    <w:rsid w:val="00D773DF"/>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3469A"/>
    <w:rsid w:val="00E40A45"/>
    <w:rsid w:val="00E465DB"/>
    <w:rsid w:val="00E560CA"/>
    <w:rsid w:val="00E71BC8"/>
    <w:rsid w:val="00E7260F"/>
    <w:rsid w:val="00E73F5D"/>
    <w:rsid w:val="00E77E4E"/>
    <w:rsid w:val="00E96630"/>
    <w:rsid w:val="00EA2A77"/>
    <w:rsid w:val="00EA5A18"/>
    <w:rsid w:val="00ED7A2A"/>
    <w:rsid w:val="00EE16EC"/>
    <w:rsid w:val="00EF1D7F"/>
    <w:rsid w:val="00F0093F"/>
    <w:rsid w:val="00F12AF0"/>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0BC08-08DF-4866-8493-3FFE20D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344</Words>
  <Characters>1963</Characters>
  <Application>Microsoft Office Word</Application>
  <DocSecurity>4</DocSecurity>
  <Lines>16</Lines>
  <Paragraphs>4</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1613793</vt:lpstr>
      <vt:lpstr>United Nations</vt:lpstr>
      <vt:lpstr>United Nations</vt:lpstr>
    </vt:vector>
  </TitlesOfParts>
  <Company>CSD</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1613793</dc:title>
  <dc:subject>ECE/TRANS/WP.29/GRE/2016/27</dc:subject>
  <dc:creator>GTB;Francois Guichard</dc:creator>
  <cp:lastModifiedBy>Benedicte Boudol</cp:lastModifiedBy>
  <cp:revision>2</cp:revision>
  <cp:lastPrinted>2016-08-09T13:28:00Z</cp:lastPrinted>
  <dcterms:created xsi:type="dcterms:W3CDTF">2016-09-07T10:05:00Z</dcterms:created>
  <dcterms:modified xsi:type="dcterms:W3CDTF">2016-09-07T10:05:00Z</dcterms:modified>
</cp:coreProperties>
</file>