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62AA5">
                <w:t>TRANS/WP.29/GRE/2016/24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0674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A62AA5">
              <w:t xml:space="preserve">9 </w:t>
            </w:r>
            <w:proofErr w:type="spellStart"/>
            <w:r w:rsidR="00A62AA5">
              <w:t>August</w:t>
            </w:r>
            <w:proofErr w:type="spellEnd"/>
            <w:r w:rsidR="00A62AA5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0674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1109" w:rsidRPr="007D1109" w:rsidRDefault="007D1109" w:rsidP="007D1109">
      <w:pPr>
        <w:spacing w:before="120"/>
        <w:rPr>
          <w:sz w:val="28"/>
          <w:szCs w:val="28"/>
        </w:rPr>
      </w:pPr>
      <w:r w:rsidRPr="007D1109">
        <w:rPr>
          <w:sz w:val="28"/>
          <w:szCs w:val="28"/>
        </w:rPr>
        <w:t>Комитет по внутреннему транспорту</w:t>
      </w:r>
    </w:p>
    <w:p w:rsidR="007D1109" w:rsidRPr="007D1109" w:rsidRDefault="007D1109" w:rsidP="007D1109">
      <w:pPr>
        <w:spacing w:before="120"/>
        <w:rPr>
          <w:b/>
          <w:bCs/>
          <w:sz w:val="24"/>
          <w:szCs w:val="24"/>
        </w:rPr>
      </w:pPr>
      <w:r w:rsidRPr="007D110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D1109">
        <w:rPr>
          <w:b/>
          <w:bCs/>
          <w:sz w:val="24"/>
          <w:szCs w:val="24"/>
        </w:rPr>
        <w:br/>
        <w:t>в области транспортных средств</w:t>
      </w:r>
    </w:p>
    <w:p w:rsidR="007D1109" w:rsidRPr="00687FF6" w:rsidRDefault="007D1109" w:rsidP="00687FF6">
      <w:pPr>
        <w:spacing w:before="120"/>
        <w:rPr>
          <w:b/>
          <w:bCs/>
        </w:rPr>
      </w:pPr>
      <w:r w:rsidRPr="00687FF6">
        <w:rPr>
          <w:b/>
          <w:bCs/>
        </w:rPr>
        <w:t>Рабочая группа по вопросам освещения</w:t>
      </w:r>
      <w:r w:rsidR="00687FF6" w:rsidRPr="00F76521">
        <w:rPr>
          <w:b/>
          <w:bCs/>
        </w:rPr>
        <w:br/>
      </w:r>
      <w:r w:rsidRPr="00687FF6">
        <w:rPr>
          <w:b/>
          <w:bCs/>
        </w:rPr>
        <w:t>и световой сигнализации</w:t>
      </w:r>
    </w:p>
    <w:p w:rsidR="007D1109" w:rsidRPr="00687FF6" w:rsidRDefault="007D1109" w:rsidP="00687FF6">
      <w:pPr>
        <w:spacing w:before="120"/>
        <w:rPr>
          <w:b/>
          <w:bCs/>
        </w:rPr>
      </w:pPr>
      <w:r w:rsidRPr="00687FF6">
        <w:rPr>
          <w:b/>
          <w:bCs/>
        </w:rPr>
        <w:t>Семьдесят шестая сессия</w:t>
      </w:r>
    </w:p>
    <w:p w:rsidR="007D1109" w:rsidRPr="007D1109" w:rsidRDefault="007D1109" w:rsidP="007D1109">
      <w:r w:rsidRPr="007D1109">
        <w:t>Женева, 25–28 октября 2016 года</w:t>
      </w:r>
    </w:p>
    <w:p w:rsidR="007D1109" w:rsidRPr="00687FF6" w:rsidRDefault="007D1109" w:rsidP="00687FF6">
      <w:pPr>
        <w:rPr>
          <w:b/>
          <w:bCs/>
        </w:rPr>
      </w:pPr>
      <w:r w:rsidRPr="007D1109">
        <w:t>Пункт 6 a) предварительной повестки дня</w:t>
      </w:r>
      <w:r w:rsidRPr="007D1109">
        <w:br/>
      </w:r>
      <w:r w:rsidRPr="00687FF6">
        <w:rPr>
          <w:b/>
          <w:bCs/>
        </w:rPr>
        <w:t xml:space="preserve">Правила № 48 (установка устройств освещения </w:t>
      </w:r>
      <w:r w:rsidR="00687FF6" w:rsidRPr="00687FF6">
        <w:rPr>
          <w:b/>
          <w:bCs/>
        </w:rPr>
        <w:br/>
      </w:r>
      <w:r w:rsidRPr="00687FF6">
        <w:rPr>
          <w:b/>
          <w:bCs/>
        </w:rPr>
        <w:t xml:space="preserve">и световой сигнализации) – Предложения </w:t>
      </w:r>
      <w:r w:rsidR="00687FF6" w:rsidRPr="00687FF6">
        <w:rPr>
          <w:b/>
          <w:bCs/>
        </w:rPr>
        <w:br/>
      </w:r>
      <w:r w:rsidRPr="00687FF6">
        <w:rPr>
          <w:b/>
          <w:bCs/>
        </w:rPr>
        <w:t xml:space="preserve">по поправкам к поправкам серий 05 и 06 </w:t>
      </w:r>
    </w:p>
    <w:p w:rsidR="007D1109" w:rsidRPr="007D1109" w:rsidRDefault="007D1109" w:rsidP="00687FF6">
      <w:pPr>
        <w:pStyle w:val="HChGR"/>
      </w:pPr>
      <w:r w:rsidRPr="007D1109">
        <w:tab/>
      </w:r>
      <w:r w:rsidRPr="007D1109">
        <w:tab/>
        <w:t>Предложение по дополнению 11 к поправкам серии 05 и по дополнению 9 к поправкам серии 06 к</w:t>
      </w:r>
      <w:r w:rsidR="00687FF6">
        <w:rPr>
          <w:lang w:val="en-US"/>
        </w:rPr>
        <w:t> </w:t>
      </w:r>
      <w:r w:rsidRPr="007D1109">
        <w:t>Правилам</w:t>
      </w:r>
      <w:r w:rsidR="00687FF6">
        <w:rPr>
          <w:lang w:val="en-US"/>
        </w:rPr>
        <w:t> </w:t>
      </w:r>
      <w:r w:rsidRPr="007D1109">
        <w:t>№ 48 (у</w:t>
      </w:r>
      <w:r w:rsidR="00687FF6">
        <w:t>становка устройств освещения и</w:t>
      </w:r>
      <w:r w:rsidR="00687FF6">
        <w:rPr>
          <w:lang w:val="en-US"/>
        </w:rPr>
        <w:t> </w:t>
      </w:r>
      <w:r w:rsidRPr="007D1109">
        <w:t xml:space="preserve">световой сигнализации)  </w:t>
      </w:r>
    </w:p>
    <w:p w:rsidR="007D1109" w:rsidRPr="007D1109" w:rsidRDefault="00687FF6" w:rsidP="00687FF6">
      <w:pPr>
        <w:pStyle w:val="H1GR"/>
      </w:pPr>
      <w:r w:rsidRPr="00F76521">
        <w:tab/>
      </w:r>
      <w:r w:rsidRPr="00F76521">
        <w:tab/>
      </w:r>
      <w:r w:rsidR="007D1109" w:rsidRPr="007D1109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7D1109" w:rsidRPr="00241DE6">
        <w:rPr>
          <w:b w:val="0"/>
          <w:bCs/>
          <w:sz w:val="20"/>
        </w:rPr>
        <w:footnoteReference w:customMarkFollows="1" w:id="1"/>
        <w:t>*</w:t>
      </w:r>
    </w:p>
    <w:p w:rsidR="007D1109" w:rsidRPr="007D1109" w:rsidRDefault="00687FF6" w:rsidP="007D1109">
      <w:pPr>
        <w:pStyle w:val="SingleTxtGR"/>
      </w:pPr>
      <w:r w:rsidRPr="00F76521">
        <w:tab/>
      </w:r>
      <w:r w:rsidR="007D1109" w:rsidRPr="007D1109">
        <w:t>Воспроизведенный ниже текст был подготовлен экспертом от БРГ для уточнения несоответствий или нечетких формулировок либо для исправления терминов в Правилах № 48. Изменения к существующему тексту Правил выд</w:t>
      </w:r>
      <w:r w:rsidR="007D1109" w:rsidRPr="007D1109">
        <w:t>е</w:t>
      </w:r>
      <w:r w:rsidR="007D1109" w:rsidRPr="007D1109">
        <w:t>лены жирным шрифтом в случае новых положений или зачеркиванием в случае исключенных элементов.</w:t>
      </w:r>
    </w:p>
    <w:p w:rsidR="007D1109" w:rsidRPr="007D1109" w:rsidRDefault="007D1109" w:rsidP="00763E31">
      <w:pPr>
        <w:pStyle w:val="HChGR"/>
      </w:pPr>
      <w:r w:rsidRPr="007D1109">
        <w:br w:type="page"/>
      </w:r>
      <w:r w:rsidRPr="007D1109">
        <w:lastRenderedPageBreak/>
        <w:tab/>
      </w:r>
      <w:r w:rsidRPr="007D1109">
        <w:rPr>
          <w:lang w:val="en-US"/>
        </w:rPr>
        <w:t>I</w:t>
      </w:r>
      <w:r w:rsidRPr="007D1109">
        <w:t>.</w:t>
      </w:r>
      <w:r w:rsidRPr="007D1109">
        <w:tab/>
        <w:t>Предложение</w:t>
      </w:r>
    </w:p>
    <w:p w:rsidR="007D1109" w:rsidRPr="007D1109" w:rsidRDefault="007D1109" w:rsidP="007D1109">
      <w:pPr>
        <w:pStyle w:val="SingleTxtGR"/>
      </w:pPr>
      <w:r w:rsidRPr="007D1109">
        <w:rPr>
          <w:i/>
        </w:rPr>
        <w:t>Пункт 5.7.2.1</w:t>
      </w:r>
      <w:r w:rsidRPr="007D1109">
        <w:t xml:space="preserve"> изменить следующим образом:</w:t>
      </w:r>
    </w:p>
    <w:p w:rsidR="007D1109" w:rsidRPr="007D1109" w:rsidRDefault="0015618D" w:rsidP="0015618D">
      <w:pPr>
        <w:pStyle w:val="SingleTxtGR"/>
        <w:ind w:left="2268" w:hanging="1134"/>
        <w:rPr>
          <w:iCs/>
        </w:rPr>
      </w:pPr>
      <w:r>
        <w:t>«</w:t>
      </w:r>
      <w:r w:rsidR="007D1109" w:rsidRPr="007D1109">
        <w:t>5.7.2.1</w:t>
      </w:r>
      <w:r w:rsidR="007D1109" w:rsidRPr="007D1109">
        <w:tab/>
        <w:t xml:space="preserve">Единые огни, определенные в подпункте а) пункта 2.16.1, </w:t>
      </w:r>
      <w:r w:rsidR="007D1109" w:rsidRPr="007D1109">
        <w:rPr>
          <w:b/>
          <w:bCs/>
        </w:rPr>
        <w:t>видимая поверхность которых</w:t>
      </w:r>
      <w:r w:rsidR="007D1109" w:rsidRPr="007D1109">
        <w:t xml:space="preserve"> состоит из двух или более отдельных ч</w:t>
      </w:r>
      <w:r w:rsidR="007D1109" w:rsidRPr="007D1109">
        <w:t>а</w:t>
      </w:r>
      <w:r w:rsidR="007D1109" w:rsidRPr="007D1109">
        <w:t>стей, устанавливают таким образом, чтобы:</w:t>
      </w:r>
      <w:r w:rsidR="007D1109" w:rsidRPr="007D1109">
        <w:tab/>
      </w:r>
    </w:p>
    <w:p w:rsidR="007D1109" w:rsidRPr="007D1109" w:rsidRDefault="007D1109" w:rsidP="00156EE8">
      <w:pPr>
        <w:pStyle w:val="SingleTxtGR"/>
        <w:ind w:left="2268" w:hanging="1134"/>
        <w:rPr>
          <w:iCs/>
        </w:rPr>
      </w:pPr>
      <w:r w:rsidRPr="007D1109">
        <w:rPr>
          <w:iCs/>
        </w:rPr>
        <w:tab/>
      </w:r>
      <w:r w:rsidR="0015618D">
        <w:rPr>
          <w:iCs/>
        </w:rPr>
        <w:tab/>
      </w:r>
      <w:r w:rsidRPr="007D1109">
        <w:rPr>
          <w:iCs/>
          <w:lang w:val="en-US"/>
        </w:rPr>
        <w:t>a</w:t>
      </w:r>
      <w:r w:rsidR="0015618D">
        <w:rPr>
          <w:iCs/>
        </w:rPr>
        <w:t>)</w:t>
      </w:r>
      <w:r w:rsidR="0015618D">
        <w:rPr>
          <w:iCs/>
        </w:rPr>
        <w:tab/>
      </w:r>
      <w:r w:rsidRPr="007D1109">
        <w:rPr>
          <w:iCs/>
        </w:rPr>
        <w:t xml:space="preserve">либо общая площадь проекции отдельных частей </w:t>
      </w:r>
      <w:r w:rsidRPr="007D1109">
        <w:rPr>
          <w:b/>
          <w:bCs/>
        </w:rPr>
        <w:t>видимой поверхности в направлении исходной оси</w:t>
      </w:r>
      <w:r w:rsidRPr="007D1109">
        <w:rPr>
          <w:iCs/>
        </w:rPr>
        <w:t xml:space="preserve"> на плоскость, прох</w:t>
      </w:r>
      <w:r w:rsidRPr="007D1109">
        <w:rPr>
          <w:iCs/>
        </w:rPr>
        <w:t>о</w:t>
      </w:r>
      <w:r w:rsidRPr="007D1109">
        <w:rPr>
          <w:iCs/>
        </w:rPr>
        <w:t xml:space="preserve">дящую по касательной к внешним </w:t>
      </w:r>
      <w:proofErr w:type="spellStart"/>
      <w:r w:rsidRPr="007D1109">
        <w:rPr>
          <w:iCs/>
        </w:rPr>
        <w:t>рассеивателям</w:t>
      </w:r>
      <w:proofErr w:type="spellEnd"/>
      <w:r w:rsidRPr="007D1109">
        <w:rPr>
          <w:iCs/>
        </w:rPr>
        <w:t xml:space="preserve"> и перпендикуля</w:t>
      </w:r>
      <w:r w:rsidRPr="007D1109">
        <w:rPr>
          <w:iCs/>
        </w:rPr>
        <w:t>р</w:t>
      </w:r>
      <w:r w:rsidRPr="007D1109">
        <w:rPr>
          <w:iCs/>
        </w:rPr>
        <w:t>ную исходной оси, занимала не менее 60% наименьшего прям</w:t>
      </w:r>
      <w:r w:rsidRPr="007D1109">
        <w:rPr>
          <w:iCs/>
        </w:rPr>
        <w:t>о</w:t>
      </w:r>
      <w:r w:rsidRPr="007D1109">
        <w:rPr>
          <w:iCs/>
        </w:rPr>
        <w:t xml:space="preserve">угольника, описанного вокруг проекции </w:t>
      </w:r>
      <w:r w:rsidRPr="007D1109">
        <w:rPr>
          <w:b/>
          <w:bCs/>
          <w:iCs/>
        </w:rPr>
        <w:t>упомянутой</w:t>
      </w:r>
      <w:r w:rsidRPr="007D1109">
        <w:rPr>
          <w:iCs/>
        </w:rPr>
        <w:t xml:space="preserve"> </w:t>
      </w:r>
      <w:r w:rsidRPr="007D1109">
        <w:rPr>
          <w:b/>
          <w:bCs/>
        </w:rPr>
        <w:t>видимой п</w:t>
      </w:r>
      <w:r w:rsidRPr="007D1109">
        <w:rPr>
          <w:b/>
          <w:bCs/>
        </w:rPr>
        <w:t>о</w:t>
      </w:r>
      <w:r w:rsidRPr="007D1109">
        <w:rPr>
          <w:b/>
          <w:bCs/>
        </w:rPr>
        <w:t>верхности в направлении исходной оси</w:t>
      </w:r>
      <w:r w:rsidRPr="00156EE8">
        <w:rPr>
          <w:iCs/>
        </w:rPr>
        <w:t>;</w:t>
      </w:r>
      <w:r w:rsidRPr="007D1109">
        <w:rPr>
          <w:iCs/>
        </w:rPr>
        <w:t xml:space="preserve"> </w:t>
      </w:r>
    </w:p>
    <w:p w:rsidR="007D1109" w:rsidRPr="007D1109" w:rsidRDefault="007D1109" w:rsidP="0015618D">
      <w:pPr>
        <w:pStyle w:val="SingleTxtGR"/>
        <w:ind w:left="2268" w:hanging="1134"/>
        <w:rPr>
          <w:iCs/>
        </w:rPr>
      </w:pPr>
      <w:r w:rsidRPr="007D1109">
        <w:rPr>
          <w:iCs/>
        </w:rPr>
        <w:tab/>
      </w:r>
      <w:r w:rsidR="0015618D" w:rsidRPr="00F76521">
        <w:rPr>
          <w:iCs/>
        </w:rPr>
        <w:tab/>
      </w:r>
      <w:r w:rsidR="0015618D">
        <w:rPr>
          <w:iCs/>
          <w:lang w:val="en-US"/>
        </w:rPr>
        <w:t>b</w:t>
      </w:r>
      <w:r w:rsidR="0015618D">
        <w:rPr>
          <w:iCs/>
        </w:rPr>
        <w:t>)</w:t>
      </w:r>
      <w:r w:rsidR="0015618D">
        <w:rPr>
          <w:iCs/>
        </w:rPr>
        <w:tab/>
      </w:r>
      <w:proofErr w:type="gramStart"/>
      <w:r w:rsidRPr="007D1109">
        <w:rPr>
          <w:iCs/>
        </w:rPr>
        <w:t>либо</w:t>
      </w:r>
      <w:proofErr w:type="gramEnd"/>
      <w:r w:rsidRPr="007D1109">
        <w:rPr>
          <w:iCs/>
        </w:rPr>
        <w:t xml:space="preserve"> минимальное расстояние между обращенными друг к другу кромками двух смежных/прилегающих друг к другу отдел</w:t>
      </w:r>
      <w:r w:rsidRPr="007D1109">
        <w:rPr>
          <w:iCs/>
        </w:rPr>
        <w:t>ь</w:t>
      </w:r>
      <w:r w:rsidRPr="007D1109">
        <w:rPr>
          <w:iCs/>
        </w:rPr>
        <w:t xml:space="preserve">ных частей </w:t>
      </w:r>
      <w:r w:rsidRPr="007D1109">
        <w:rPr>
          <w:b/>
          <w:bCs/>
        </w:rPr>
        <w:t>видимой поверхности в направлении исходной оси</w:t>
      </w:r>
      <w:r w:rsidRPr="007D1109">
        <w:rPr>
          <w:iCs/>
        </w:rPr>
        <w:t>, измеренное перпендикулярно исход</w:t>
      </w:r>
      <w:r w:rsidR="0015618D">
        <w:rPr>
          <w:iCs/>
        </w:rPr>
        <w:t>ной оси, составляло не более 75</w:t>
      </w:r>
      <w:r w:rsidR="0015618D">
        <w:rPr>
          <w:iCs/>
          <w:lang w:val="en-US"/>
        </w:rPr>
        <w:t> </w:t>
      </w:r>
      <w:r w:rsidRPr="007D1109">
        <w:rPr>
          <w:iCs/>
        </w:rPr>
        <w:t xml:space="preserve">мм. </w:t>
      </w:r>
    </w:p>
    <w:p w:rsidR="007D1109" w:rsidRPr="007D1109" w:rsidRDefault="007D1109" w:rsidP="0015618D">
      <w:pPr>
        <w:pStyle w:val="SingleTxtGR"/>
        <w:ind w:left="2268" w:hanging="1134"/>
        <w:rPr>
          <w:iCs/>
        </w:rPr>
      </w:pPr>
      <w:r w:rsidRPr="007D1109">
        <w:rPr>
          <w:iCs/>
        </w:rPr>
        <w:tab/>
      </w:r>
      <w:r w:rsidR="0015618D" w:rsidRPr="00F76521">
        <w:rPr>
          <w:iCs/>
        </w:rPr>
        <w:tab/>
      </w:r>
      <w:r w:rsidRPr="007D1109">
        <w:rPr>
          <w:iCs/>
        </w:rPr>
        <w:t>Эти требования не применяются к единому светоотражающему устрой</w:t>
      </w:r>
      <w:r w:rsidR="0015618D">
        <w:rPr>
          <w:iCs/>
        </w:rPr>
        <w:t>ству»</w:t>
      </w:r>
      <w:r w:rsidRPr="007D1109">
        <w:rPr>
          <w:iCs/>
        </w:rPr>
        <w:t>.</w:t>
      </w:r>
    </w:p>
    <w:p w:rsidR="007D1109" w:rsidRPr="007D1109" w:rsidRDefault="007D1109" w:rsidP="007D1109">
      <w:pPr>
        <w:pStyle w:val="SingleTxtGR"/>
      </w:pPr>
      <w:r w:rsidRPr="007D1109">
        <w:rPr>
          <w:i/>
        </w:rPr>
        <w:t>Пункт 6.2.9</w:t>
      </w:r>
      <w:r w:rsidRPr="007D1109">
        <w:t xml:space="preserve"> изменить следующим образом:</w:t>
      </w:r>
    </w:p>
    <w:p w:rsidR="007D1109" w:rsidRPr="007D1109" w:rsidRDefault="0015618D" w:rsidP="007D1109">
      <w:pPr>
        <w:pStyle w:val="SingleTxtGR"/>
      </w:pPr>
      <w:r>
        <w:t>«</w:t>
      </w:r>
      <w:r w:rsidR="007D1109" w:rsidRPr="007D1109">
        <w:t>6.2.9</w:t>
      </w:r>
      <w:proofErr w:type="gramStart"/>
      <w:r w:rsidR="007D1109" w:rsidRPr="007D1109">
        <w:tab/>
      </w:r>
      <w:r>
        <w:tab/>
      </w:r>
      <w:r w:rsidR="007D1109" w:rsidRPr="007D1109">
        <w:t>П</w:t>
      </w:r>
      <w:proofErr w:type="gramEnd"/>
      <w:r w:rsidR="007D1109" w:rsidRPr="007D1109">
        <w:t xml:space="preserve">рочие требования 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rPr>
          <w:b/>
        </w:rPr>
        <w:t>6.2.9.1</w:t>
      </w:r>
      <w:r w:rsidRPr="007D1109">
        <w:rPr>
          <w:b/>
        </w:rPr>
        <w:tab/>
      </w:r>
      <w:r w:rsidRPr="007D1109">
        <w:t>Требования, содержащиеся в пункте 5.5.2, не применяются к фарам ближнего света.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rPr>
          <w:b/>
        </w:rPr>
        <w:t>6.2.9.2</w:t>
      </w:r>
      <w:r w:rsidRPr="007D1109">
        <w:tab/>
        <w:t>Фары ближнего света с источником света или модуле</w:t>
      </w:r>
      <w:proofErr w:type="gramStart"/>
      <w:r w:rsidRPr="007D1109">
        <w:t>м(</w:t>
      </w:r>
      <w:proofErr w:type="spellStart"/>
      <w:proofErr w:type="gramEnd"/>
      <w:r w:rsidRPr="007D1109">
        <w:t>ями</w:t>
      </w:r>
      <w:proofErr w:type="spellEnd"/>
      <w:r w:rsidRPr="007D1109">
        <w:t>) СИД, создающим(и) основной луч ближнего света, имеющий номинал</w:t>
      </w:r>
      <w:r w:rsidRPr="007D1109">
        <w:t>ь</w:t>
      </w:r>
      <w:r w:rsidRPr="007D1109">
        <w:t xml:space="preserve">ный световой поток </w:t>
      </w:r>
      <w:r w:rsidRPr="007D1109">
        <w:rPr>
          <w:b/>
          <w:bCs/>
        </w:rPr>
        <w:t>для каждой фары</w:t>
      </w:r>
      <w:r w:rsidRPr="007D1109">
        <w:t xml:space="preserve"> </w:t>
      </w:r>
      <w:r w:rsidR="0015618D">
        <w:t>более 2 </w:t>
      </w:r>
      <w:r w:rsidRPr="007D1109">
        <w:t>000 люмен, уст</w:t>
      </w:r>
      <w:r w:rsidRPr="007D1109">
        <w:t>а</w:t>
      </w:r>
      <w:r w:rsidRPr="007D1109">
        <w:t>навливаются только совместно с устройством(</w:t>
      </w:r>
      <w:proofErr w:type="spellStart"/>
      <w:r w:rsidRPr="007D1109">
        <w:t>ами</w:t>
      </w:r>
      <w:proofErr w:type="spellEnd"/>
      <w:r w:rsidRPr="007D1109">
        <w:t>) для очистки фар в соответствии с Правилами № 45.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rPr>
          <w:b/>
        </w:rPr>
        <w:t>6.2.9.3</w:t>
      </w:r>
      <w:r w:rsidRPr="007D1109">
        <w:tab/>
        <w:t>В отношении вертикального наклона положения пункта 6.2.6.2.2 выше не применяются к фарам ближнего света с источником света или модуле</w:t>
      </w:r>
      <w:proofErr w:type="gramStart"/>
      <w:r w:rsidRPr="007D1109">
        <w:t>м(</w:t>
      </w:r>
      <w:proofErr w:type="spellStart"/>
      <w:proofErr w:type="gramEnd"/>
      <w:r w:rsidRPr="007D1109">
        <w:t>ями</w:t>
      </w:r>
      <w:proofErr w:type="spellEnd"/>
      <w:r w:rsidRPr="007D1109">
        <w:t xml:space="preserve">) СИД, создающим(и) основной луч ближнего света и имеющим(и) номинальный световой поток </w:t>
      </w:r>
      <w:r w:rsidRPr="007D1109">
        <w:rPr>
          <w:b/>
          <w:bCs/>
        </w:rPr>
        <w:t>для каждой ф</w:t>
      </w:r>
      <w:r w:rsidRPr="007D1109">
        <w:rPr>
          <w:b/>
          <w:bCs/>
        </w:rPr>
        <w:t>а</w:t>
      </w:r>
      <w:r w:rsidRPr="007D1109">
        <w:rPr>
          <w:b/>
          <w:bCs/>
        </w:rPr>
        <w:t>ры</w:t>
      </w:r>
      <w:r w:rsidRPr="007D1109">
        <w:t xml:space="preserve"> более 2 000 люмен. 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tab/>
      </w:r>
      <w:r w:rsidR="0015618D">
        <w:tab/>
      </w:r>
      <w:r w:rsidRPr="007D1109">
        <w:t>В случае ламп накаливания, в отношении которых указано более одного испытательного напряжения, применяют значение ном</w:t>
      </w:r>
      <w:r w:rsidRPr="007D1109">
        <w:t>и</w:t>
      </w:r>
      <w:r w:rsidRPr="007D1109">
        <w:t>нального светового потока, создающего основной луч ближнего света, как указано в карточке сообщения для официального утве</w:t>
      </w:r>
      <w:r w:rsidRPr="007D1109">
        <w:t>р</w:t>
      </w:r>
      <w:r w:rsidRPr="007D1109">
        <w:t>ждения типа устройства.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tab/>
      </w:r>
      <w:r w:rsidR="0015618D">
        <w:tab/>
      </w:r>
      <w:r w:rsidRPr="007D1109">
        <w:t>В случае фар ближнего света, оснащенных официально утвержде</w:t>
      </w:r>
      <w:r w:rsidRPr="007D1109">
        <w:t>н</w:t>
      </w:r>
      <w:r w:rsidRPr="007D1109">
        <w:t>ным источником света, применимым номинальным световым пот</w:t>
      </w:r>
      <w:r w:rsidRPr="007D1109">
        <w:t>о</w:t>
      </w:r>
      <w:r w:rsidRPr="007D1109">
        <w:t>ком является значение при соответствующем испытательном напряжении, которое указано в соответствующих технических сп</w:t>
      </w:r>
      <w:r w:rsidRPr="007D1109">
        <w:t>е</w:t>
      </w:r>
      <w:r w:rsidRPr="007D1109">
        <w:t>цификациях правил, на основании которых был утвержден прим</w:t>
      </w:r>
      <w:r w:rsidRPr="007D1109">
        <w:t>е</w:t>
      </w:r>
      <w:r w:rsidRPr="007D1109">
        <w:t>няемый источник света, без учета допусков по номинальному св</w:t>
      </w:r>
      <w:r w:rsidRPr="007D1109">
        <w:t>е</w:t>
      </w:r>
      <w:r w:rsidRPr="007D1109">
        <w:t>товому потоку, указанных в этих технических спецификациях.</w:t>
      </w:r>
    </w:p>
    <w:p w:rsidR="007D1109" w:rsidRPr="007D1109" w:rsidRDefault="007D1109" w:rsidP="0015618D">
      <w:pPr>
        <w:pStyle w:val="SingleTxtGR"/>
        <w:ind w:left="2268" w:hanging="1134"/>
      </w:pPr>
      <w:r w:rsidRPr="007D1109">
        <w:rPr>
          <w:b/>
        </w:rPr>
        <w:lastRenderedPageBreak/>
        <w:t>6.2.9.4</w:t>
      </w:r>
      <w:proofErr w:type="gramStart"/>
      <w:r w:rsidRPr="007D1109">
        <w:rPr>
          <w:b/>
        </w:rPr>
        <w:tab/>
      </w:r>
      <w:r w:rsidRPr="007D1109">
        <w:rPr>
          <w:bCs/>
        </w:rPr>
        <w:t>Д</w:t>
      </w:r>
      <w:proofErr w:type="gramEnd"/>
      <w:r w:rsidRPr="007D1109">
        <w:rPr>
          <w:bCs/>
        </w:rPr>
        <w:t>ля целей поворотного освещения могут использоваться только фары ближнего света, отвечаю</w:t>
      </w:r>
      <w:r w:rsidR="0015618D">
        <w:rPr>
          <w:bCs/>
        </w:rPr>
        <w:t>щие требованиям Правил № 98 или </w:t>
      </w:r>
      <w:r w:rsidRPr="007D1109">
        <w:rPr>
          <w:bCs/>
        </w:rPr>
        <w:t>112.</w:t>
      </w:r>
      <w:r w:rsidRPr="007D1109">
        <w:tab/>
      </w:r>
    </w:p>
    <w:p w:rsidR="007D1109" w:rsidRPr="007D1109" w:rsidRDefault="007D1109" w:rsidP="00F76521">
      <w:pPr>
        <w:pStyle w:val="SingleTxtGR"/>
        <w:ind w:left="2268" w:hanging="1134"/>
      </w:pPr>
      <w:r w:rsidRPr="007D1109">
        <w:tab/>
      </w:r>
      <w:r w:rsidR="0015618D">
        <w:tab/>
      </w:r>
      <w:proofErr w:type="gramStart"/>
      <w:r w:rsidRPr="007D1109">
        <w:t>Если поворотное освещение обеспечивается за счет горизонтальн</w:t>
      </w:r>
      <w:r w:rsidRPr="007D1109">
        <w:t>о</w:t>
      </w:r>
      <w:r w:rsidRPr="007D1109">
        <w:t>го перемещения всего светового луча или угла перелома светотен</w:t>
      </w:r>
      <w:r w:rsidRPr="007D1109">
        <w:t>е</w:t>
      </w:r>
      <w:r w:rsidRPr="007D1109">
        <w:t>вой границы, то данная функция приводится в действие только при движении транспортного средства по прямой; это условие не пр</w:t>
      </w:r>
      <w:r w:rsidRPr="007D1109">
        <w:t>и</w:t>
      </w:r>
      <w:r w:rsidRPr="007D1109">
        <w:t>меняют, если поворотное освещение используют для поворота направо при правостороннем движении (для поворота налево при левостороннем движении)</w:t>
      </w:r>
      <w:r w:rsidR="00F76521">
        <w:t>»</w:t>
      </w:r>
      <w:r w:rsidRPr="007D1109">
        <w:t>.</w:t>
      </w:r>
      <w:proofErr w:type="gramEnd"/>
    </w:p>
    <w:p w:rsidR="007D1109" w:rsidRPr="007D1109" w:rsidRDefault="007D1109" w:rsidP="007D1109">
      <w:pPr>
        <w:pStyle w:val="SingleTxtGR"/>
      </w:pPr>
      <w:r w:rsidRPr="007D1109">
        <w:rPr>
          <w:i/>
        </w:rPr>
        <w:t>Пункт 6.3.6.1.2.1</w:t>
      </w:r>
      <w:r w:rsidRPr="007D1109">
        <w:t xml:space="preserve"> изменить следующим образом:</w:t>
      </w:r>
    </w:p>
    <w:p w:rsidR="007D1109" w:rsidRPr="007D1109" w:rsidRDefault="0015618D" w:rsidP="00C51C6C">
      <w:pPr>
        <w:pStyle w:val="SingleTxtGR"/>
        <w:ind w:left="2268" w:hanging="1134"/>
      </w:pPr>
      <w:r>
        <w:t>«</w:t>
      </w:r>
      <w:r w:rsidR="007D1109" w:rsidRPr="007D1109">
        <w:t>6.3.6.1.2.1</w:t>
      </w:r>
      <w:r w:rsidR="007D1109" w:rsidRPr="007D1109">
        <w:tab/>
        <w:t xml:space="preserve">когда общий номинальный световой поток источника света </w:t>
      </w:r>
      <w:r w:rsidR="007D1109" w:rsidRPr="007D1109">
        <w:rPr>
          <w:b/>
          <w:bCs/>
        </w:rPr>
        <w:t>для каждой передней противотуманной фары</w:t>
      </w:r>
      <w:r w:rsidR="007D1109" w:rsidRPr="007D1109">
        <w:t xml:space="preserve"> </w:t>
      </w:r>
      <w:r w:rsidR="00C51C6C">
        <w:t>не превышает 2 000 люмен</w:t>
      </w:r>
      <w:proofErr w:type="gramStart"/>
      <w:r w:rsidR="00C51C6C">
        <w:t>:»</w:t>
      </w:r>
      <w:proofErr w:type="gramEnd"/>
    </w:p>
    <w:p w:rsidR="007D1109" w:rsidRPr="007D1109" w:rsidRDefault="007D1109" w:rsidP="007D1109">
      <w:pPr>
        <w:pStyle w:val="SingleTxtGR"/>
      </w:pPr>
      <w:r w:rsidRPr="007D1109">
        <w:rPr>
          <w:i/>
        </w:rPr>
        <w:t>Пункт 6.3.6.1.2.2</w:t>
      </w:r>
      <w:r w:rsidRPr="007D1109">
        <w:t xml:space="preserve"> изменить следующим образом:</w:t>
      </w:r>
    </w:p>
    <w:p w:rsidR="007D1109" w:rsidRPr="007D1109" w:rsidRDefault="00C51C6C" w:rsidP="00C51C6C">
      <w:pPr>
        <w:pStyle w:val="SingleTxtGR"/>
        <w:ind w:left="2268" w:hanging="1134"/>
      </w:pPr>
      <w:r>
        <w:t>«</w:t>
      </w:r>
      <w:r w:rsidR="007D1109" w:rsidRPr="007D1109">
        <w:t>6.3.6.1.2.2</w:t>
      </w:r>
      <w:r w:rsidR="007D1109" w:rsidRPr="007D1109">
        <w:tab/>
        <w:t xml:space="preserve">когда общий номинальный световой поток источника света </w:t>
      </w:r>
      <w:r w:rsidR="007D1109" w:rsidRPr="007D1109">
        <w:rPr>
          <w:b/>
          <w:bCs/>
        </w:rPr>
        <w:t>для каждой передней противотуманной фары</w:t>
      </w:r>
      <w:r w:rsidR="007D1109" w:rsidRPr="007D1109">
        <w:t xml:space="preserve"> </w:t>
      </w:r>
      <w:r>
        <w:t>превышает 2 </w:t>
      </w:r>
      <w:r w:rsidR="007D1109" w:rsidRPr="007D1109">
        <w:t>000 л</w:t>
      </w:r>
      <w:r w:rsidR="007D1109" w:rsidRPr="007D1109">
        <w:t>ю</w:t>
      </w:r>
      <w:r w:rsidR="007D1109" w:rsidRPr="007D1109">
        <w:t>мен</w:t>
      </w:r>
      <w:proofErr w:type="gramStart"/>
      <w:r w:rsidR="007D1109" w:rsidRPr="007D1109">
        <w:t>:</w:t>
      </w:r>
      <w:r>
        <w:t>»</w:t>
      </w:r>
      <w:proofErr w:type="gramEnd"/>
    </w:p>
    <w:p w:rsidR="007D1109" w:rsidRPr="007D1109" w:rsidRDefault="007D1109" w:rsidP="00C51C6C">
      <w:pPr>
        <w:pStyle w:val="HChGR"/>
      </w:pPr>
      <w:r w:rsidRPr="007D1109">
        <w:tab/>
      </w:r>
      <w:r w:rsidRPr="007D1109">
        <w:rPr>
          <w:lang w:val="en-US"/>
        </w:rPr>
        <w:t>II</w:t>
      </w:r>
      <w:r w:rsidRPr="007D1109">
        <w:t>.</w:t>
      </w:r>
      <w:r w:rsidRPr="007D1109">
        <w:tab/>
        <w:t>Обоснование</w:t>
      </w:r>
    </w:p>
    <w:p w:rsidR="007D1109" w:rsidRPr="007D1109" w:rsidRDefault="007D1109" w:rsidP="00C51C6C">
      <w:pPr>
        <w:pStyle w:val="SingleTxtGR"/>
      </w:pPr>
      <w:r w:rsidRPr="007D1109">
        <w:t>1.</w:t>
      </w:r>
      <w:r w:rsidRPr="007D1109">
        <w:tab/>
        <w:t>Цель настоящего предложения состоит в уточнении несоответствий или нечетких формулировок либо в исправлении терминов в Правилах № 48. В</w:t>
      </w:r>
      <w:r w:rsidR="00C51C6C">
        <w:t> </w:t>
      </w:r>
      <w:r w:rsidRPr="007D1109">
        <w:t>принципе предлагается внести эти уточнения во все серии поправок, прим</w:t>
      </w:r>
      <w:r w:rsidRPr="007D1109">
        <w:t>е</w:t>
      </w:r>
      <w:r w:rsidRPr="007D1109">
        <w:t>нимых в настоящее время к официальным утверждениям нового типа (серии 05 и 06), во избежание сколь-либо различающегося применения пунктов в завис</w:t>
      </w:r>
      <w:r w:rsidRPr="007D1109">
        <w:t>и</w:t>
      </w:r>
      <w:r w:rsidRPr="007D1109">
        <w:t xml:space="preserve">мости от используемой серии поправок. </w:t>
      </w:r>
    </w:p>
    <w:p w:rsidR="007D1109" w:rsidRPr="007D1109" w:rsidRDefault="007D1109" w:rsidP="007D1109">
      <w:pPr>
        <w:pStyle w:val="SingleTxtGR"/>
        <w:rPr>
          <w:i/>
        </w:rPr>
      </w:pPr>
      <w:r w:rsidRPr="007D1109">
        <w:rPr>
          <w:i/>
        </w:rPr>
        <w:t xml:space="preserve">Пункт 5.7.2.1 </w:t>
      </w:r>
      <w:r w:rsidRPr="007D1109">
        <w:rPr>
          <w:i/>
        </w:rPr>
        <w:tab/>
      </w:r>
    </w:p>
    <w:p w:rsidR="007D1109" w:rsidRPr="007D1109" w:rsidRDefault="007D1109" w:rsidP="007D1109">
      <w:pPr>
        <w:pStyle w:val="SingleTxtGR"/>
      </w:pPr>
      <w:r w:rsidRPr="007D1109">
        <w:t xml:space="preserve">2. </w:t>
      </w:r>
      <w:r w:rsidRPr="007D1109">
        <w:tab/>
        <w:t>Редакционное исправление для согласования терминологии с нынешним определением и другими требованиями</w:t>
      </w:r>
    </w:p>
    <w:p w:rsidR="007D1109" w:rsidRPr="007D1109" w:rsidRDefault="007D1109" w:rsidP="007D1109">
      <w:pPr>
        <w:pStyle w:val="SingleTxtGR"/>
        <w:rPr>
          <w:i/>
        </w:rPr>
      </w:pPr>
      <w:r w:rsidRPr="007D1109">
        <w:rPr>
          <w:i/>
        </w:rPr>
        <w:t xml:space="preserve">Пункт 6.2.9 </w:t>
      </w:r>
      <w:r w:rsidRPr="007D1109">
        <w:rPr>
          <w:i/>
        </w:rPr>
        <w:tab/>
      </w:r>
    </w:p>
    <w:p w:rsidR="007D1109" w:rsidRPr="007D1109" w:rsidRDefault="007D1109" w:rsidP="007D1109">
      <w:pPr>
        <w:pStyle w:val="SingleTxtGR"/>
      </w:pPr>
      <w:r w:rsidRPr="007D1109">
        <w:t>3.</w:t>
      </w:r>
      <w:r w:rsidRPr="007D1109">
        <w:tab/>
        <w:t>Предложены изменения для обеспечения безусловного толкования данн</w:t>
      </w:r>
      <w:r w:rsidRPr="007D1109">
        <w:t>о</w:t>
      </w:r>
      <w:r w:rsidRPr="007D1109">
        <w:t>го пункта с точки зрения применения предела в 2 000 люмен. Кроме того, пре</w:t>
      </w:r>
      <w:r w:rsidRPr="007D1109">
        <w:t>д</w:t>
      </w:r>
      <w:r w:rsidRPr="007D1109">
        <w:t>лагается отредактировать текст этого пункта с целью разделения его нынешних формулировок на четыре подпункта для их лучшего понимания.</w:t>
      </w:r>
    </w:p>
    <w:p w:rsidR="007D1109" w:rsidRPr="007D1109" w:rsidRDefault="007D1109" w:rsidP="007D1109">
      <w:pPr>
        <w:pStyle w:val="SingleTxtGR"/>
      </w:pPr>
      <w:r w:rsidRPr="007D1109">
        <w:rPr>
          <w:i/>
        </w:rPr>
        <w:t>Пункты</w:t>
      </w:r>
      <w:r w:rsidRPr="007D1109">
        <w:t xml:space="preserve"> </w:t>
      </w:r>
      <w:r w:rsidRPr="00A64CFE">
        <w:rPr>
          <w:i/>
          <w:iCs/>
        </w:rPr>
        <w:t>6.3.6.1.2.1 и 6.3.6.1.2.2</w:t>
      </w:r>
      <w:r w:rsidRPr="007D1109">
        <w:tab/>
      </w:r>
      <w:r w:rsidRPr="007D1109">
        <w:tab/>
      </w:r>
    </w:p>
    <w:p w:rsidR="00A658DB" w:rsidRDefault="007D1109" w:rsidP="007D1109">
      <w:pPr>
        <w:pStyle w:val="SingleTxtGR"/>
      </w:pPr>
      <w:r w:rsidRPr="007D1109">
        <w:t>4.</w:t>
      </w:r>
      <w:r w:rsidRPr="007D1109">
        <w:tab/>
        <w:t>Как и в случае указанного выше пункта 6.2.9, предложены изменения для обеспечения безусловного толкования данных пунктов с точки зрения примен</w:t>
      </w:r>
      <w:r w:rsidRPr="007D1109">
        <w:t>е</w:t>
      </w:r>
      <w:r w:rsidRPr="007D1109">
        <w:t>ния предела в 2 000 люмен.</w:t>
      </w:r>
    </w:p>
    <w:p w:rsidR="00A60092" w:rsidRPr="00F76521" w:rsidRDefault="00F76521" w:rsidP="00F765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0092" w:rsidRPr="00F76521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A5" w:rsidRDefault="00A62AA5" w:rsidP="00B471C5">
      <w:r>
        <w:separator/>
      </w:r>
    </w:p>
  </w:endnote>
  <w:endnote w:type="continuationSeparator" w:id="0">
    <w:p w:rsidR="00A62AA5" w:rsidRDefault="00A62AA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674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87FF6">
      <w:rPr>
        <w:lang w:val="en-US"/>
      </w:rPr>
      <w:t>13773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87FF6">
      <w:rPr>
        <w:lang w:val="en-US"/>
      </w:rPr>
      <w:t>13773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0674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62AA5">
            <w:rPr>
              <w:lang w:val="en-US"/>
            </w:rPr>
            <w:t>13773</w:t>
          </w:r>
          <w:r w:rsidRPr="001C3ABC">
            <w:rPr>
              <w:lang w:val="en-US"/>
            </w:rPr>
            <w:t xml:space="preserve"> (R)</w:t>
          </w:r>
          <w:r w:rsidR="00A62AA5">
            <w:rPr>
              <w:lang w:val="en-US"/>
            </w:rPr>
            <w:t xml:space="preserve">  300816  300816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5E33F8D" wp14:editId="3A09CD2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F76521" w:rsidRDefault="00F76521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581025" cy="581025"/>
                <wp:effectExtent l="0" t="0" r="9525" b="9525"/>
                <wp:docPr id="3" name="Рисунок 3" descr="http://undocs.org/m2/QRCode.ashx?DS=ECE/TRANS/WP.29/GRE/2016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62AA5" w:rsidRDefault="00A62AA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62AA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A5" w:rsidRPr="009141DC" w:rsidRDefault="00A62AA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62AA5" w:rsidRPr="00D1261C" w:rsidRDefault="00A62AA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D1109" w:rsidRPr="00687FF6" w:rsidRDefault="007D1109" w:rsidP="007D1109">
      <w:pPr>
        <w:pStyle w:val="FootnoteText"/>
        <w:rPr>
          <w:rStyle w:val="FootnoteReference"/>
          <w:szCs w:val="18"/>
          <w:lang w:val="ru-RU"/>
        </w:rPr>
      </w:pPr>
      <w:r w:rsidRPr="00CC477C">
        <w:rPr>
          <w:rStyle w:val="FootnoteReference"/>
          <w:szCs w:val="18"/>
          <w:lang w:val="ru-RU"/>
        </w:rPr>
        <w:tab/>
      </w:r>
      <w:r w:rsidRPr="00687FF6">
        <w:rPr>
          <w:rStyle w:val="FootnoteReference"/>
          <w:sz w:val="20"/>
          <w:vertAlign w:val="baseline"/>
          <w:lang w:val="ru-RU"/>
        </w:rPr>
        <w:t>*</w:t>
      </w:r>
      <w:r w:rsidRPr="00CC477C">
        <w:rPr>
          <w:rStyle w:val="FootnoteReference"/>
          <w:szCs w:val="18"/>
          <w:lang w:val="ru-RU"/>
        </w:rPr>
        <w:tab/>
      </w:r>
      <w:r w:rsidRPr="009D6D87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687FF6" w:rsidRPr="00687FF6">
        <w:rPr>
          <w:szCs w:val="18"/>
          <w:lang w:val="ru-RU"/>
        </w:rPr>
        <w:br/>
      </w:r>
      <w:r w:rsidRPr="009D6D87">
        <w:rPr>
          <w:szCs w:val="18"/>
          <w:lang w:val="ru-RU"/>
        </w:rPr>
        <w:t>на 2014–2018 годы (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/240, пункт 105, и </w:t>
      </w:r>
      <w:r w:rsidRPr="009D6D87">
        <w:rPr>
          <w:szCs w:val="18"/>
          <w:lang w:val="en-US"/>
        </w:rPr>
        <w:t>ECE</w:t>
      </w:r>
      <w:r w:rsidRPr="009D6D87">
        <w:rPr>
          <w:szCs w:val="18"/>
          <w:lang w:val="ru-RU"/>
        </w:rPr>
        <w:t>/</w:t>
      </w:r>
      <w:r w:rsidRPr="009D6D87">
        <w:rPr>
          <w:szCs w:val="18"/>
          <w:lang w:val="en-US"/>
        </w:rPr>
        <w:t>TRANS</w:t>
      </w:r>
      <w:r w:rsidRPr="009D6D87">
        <w:rPr>
          <w:szCs w:val="18"/>
          <w:lang w:val="ru-RU"/>
        </w:rPr>
        <w:t xml:space="preserve">/2014/26, подпрограмма 02.4) Всемирный форум будет разрабатывать, согласовывать </w:t>
      </w:r>
      <w:r w:rsidR="00687FF6" w:rsidRPr="00687FF6">
        <w:rPr>
          <w:szCs w:val="18"/>
          <w:lang w:val="ru-RU"/>
        </w:rPr>
        <w:br/>
      </w:r>
      <w:r w:rsidRPr="009D6D87">
        <w:rPr>
          <w:szCs w:val="18"/>
          <w:lang w:val="ru-RU"/>
        </w:rPr>
        <w:t>и обновлять правила в целях улучшения характеристик транспортных средств.</w:t>
      </w:r>
      <w:r>
        <w:rPr>
          <w:szCs w:val="18"/>
          <w:lang w:val="ru-RU"/>
        </w:rPr>
        <w:t xml:space="preserve"> </w:t>
      </w:r>
      <w:r w:rsidRPr="009D6D87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87FF6">
      <w:rPr>
        <w:lang w:val="en-US"/>
      </w:rPr>
      <w:t>TRANS/WP.29/GRE/2016/24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87FF6">
      <w:rPr>
        <w:lang w:val="en-US"/>
      </w:rPr>
      <w:t>TRANS/WP.29/GRE/2016/24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A5"/>
    <w:rsid w:val="000450D1"/>
    <w:rsid w:val="0006703F"/>
    <w:rsid w:val="000B1FD5"/>
    <w:rsid w:val="000F2A4F"/>
    <w:rsid w:val="0015618D"/>
    <w:rsid w:val="00156EE8"/>
    <w:rsid w:val="00174C66"/>
    <w:rsid w:val="00203F84"/>
    <w:rsid w:val="00241DE6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06745"/>
    <w:rsid w:val="0062027E"/>
    <w:rsid w:val="00643644"/>
    <w:rsid w:val="00665D8D"/>
    <w:rsid w:val="00687FF6"/>
    <w:rsid w:val="006A7A3B"/>
    <w:rsid w:val="006B6B57"/>
    <w:rsid w:val="006F49F1"/>
    <w:rsid w:val="007005EE"/>
    <w:rsid w:val="00705394"/>
    <w:rsid w:val="00743F62"/>
    <w:rsid w:val="00760D3A"/>
    <w:rsid w:val="00763E31"/>
    <w:rsid w:val="00773BA8"/>
    <w:rsid w:val="007A1F42"/>
    <w:rsid w:val="007D1109"/>
    <w:rsid w:val="007D76DD"/>
    <w:rsid w:val="00813D56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0092"/>
    <w:rsid w:val="00A62AA5"/>
    <w:rsid w:val="00A64CFE"/>
    <w:rsid w:val="00A658DB"/>
    <w:rsid w:val="00A75A11"/>
    <w:rsid w:val="00A9606E"/>
    <w:rsid w:val="00AD7EAD"/>
    <w:rsid w:val="00B35A32"/>
    <w:rsid w:val="00B432C6"/>
    <w:rsid w:val="00B471C5"/>
    <w:rsid w:val="00B6474A"/>
    <w:rsid w:val="00B771B8"/>
    <w:rsid w:val="00BE1742"/>
    <w:rsid w:val="00C51C6C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76521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A5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10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A5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10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2ED-886B-43D5-A6AE-A1DBF357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Benedicte Boudol</cp:lastModifiedBy>
  <cp:revision>2</cp:revision>
  <cp:lastPrinted>2016-08-30T07:53:00Z</cp:lastPrinted>
  <dcterms:created xsi:type="dcterms:W3CDTF">2016-09-07T13:00:00Z</dcterms:created>
  <dcterms:modified xsi:type="dcterms:W3CDTF">2016-09-07T13:00:00Z</dcterms:modified>
</cp:coreProperties>
</file>