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C32940">
            <w:pPr>
              <w:jc w:val="right"/>
              <w:rPr>
                <w:highlight w:val="yellow"/>
              </w:rPr>
            </w:pPr>
            <w:r w:rsidRPr="00370AD8">
              <w:rPr>
                <w:sz w:val="40"/>
              </w:rPr>
              <w:t>ECE</w:t>
            </w:r>
            <w:r w:rsidRPr="00370AD8">
              <w:t>/TRANS/WP.29/GRE/</w:t>
            </w:r>
            <w:r w:rsidR="00A91E4C" w:rsidRPr="00370AD8">
              <w:t>201</w:t>
            </w:r>
            <w:r w:rsidR="00A16D8C" w:rsidRPr="00370AD8">
              <w:t>6</w:t>
            </w:r>
            <w:r w:rsidRPr="00370AD8">
              <w:t>/</w:t>
            </w:r>
            <w:r w:rsidR="0065137A">
              <w:t>2</w:t>
            </w:r>
            <w:r w:rsidR="00C32940">
              <w:t>4</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C32940" w:rsidP="006D66AF">
            <w:pPr>
              <w:spacing w:line="240" w:lineRule="exact"/>
            </w:pPr>
            <w:r>
              <w:t>9</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w:t>
      </w:r>
      <w:proofErr w:type="gramStart"/>
      <w:r w:rsidRPr="004D1FAA">
        <w:rPr>
          <w:b/>
        </w:rPr>
        <w:t>session</w:t>
      </w:r>
      <w:proofErr w:type="gramEnd"/>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C32940" w:rsidRDefault="0036599E" w:rsidP="0036599E">
      <w:pPr>
        <w:ind w:right="1134"/>
        <w:rPr>
          <w:b/>
          <w:bCs/>
        </w:rPr>
      </w:pPr>
      <w:r w:rsidRPr="004D1FAA">
        <w:rPr>
          <w:bCs/>
        </w:rPr>
        <w:t>Item</w:t>
      </w:r>
      <w:r>
        <w:rPr>
          <w:bCs/>
        </w:rPr>
        <w:t xml:space="preserve"> </w:t>
      </w:r>
      <w:r w:rsidR="00C32940">
        <w:rPr>
          <w:bCs/>
        </w:rPr>
        <w:t>6</w:t>
      </w:r>
      <w:r>
        <w:rPr>
          <w:bCs/>
        </w:rPr>
        <w:t xml:space="preserve"> (</w:t>
      </w:r>
      <w:r w:rsidR="00C32940">
        <w:rPr>
          <w:bCs/>
        </w:rPr>
        <w:t>a</w:t>
      </w:r>
      <w:r>
        <w:rPr>
          <w:bCs/>
        </w:rPr>
        <w:t>)</w:t>
      </w:r>
      <w:r w:rsidR="00275800">
        <w:rPr>
          <w:bCs/>
        </w:rPr>
        <w:t xml:space="preserve"> of the provisional agenda</w:t>
      </w:r>
      <w:r w:rsidRPr="004D1FAA">
        <w:rPr>
          <w:bCs/>
        </w:rPr>
        <w:br/>
      </w:r>
      <w:r w:rsidR="00C32940" w:rsidRPr="00C32940">
        <w:rPr>
          <w:b/>
          <w:bCs/>
        </w:rPr>
        <w:t>Regulation No. 48 (Installation of lighting and light-signalling devices)</w:t>
      </w:r>
      <w:r w:rsidR="00C32940">
        <w:rPr>
          <w:b/>
          <w:bCs/>
        </w:rPr>
        <w:t xml:space="preserve"> – </w:t>
      </w:r>
    </w:p>
    <w:p w:rsidR="0036599E" w:rsidRDefault="00C32940" w:rsidP="0036599E">
      <w:pPr>
        <w:ind w:right="1134"/>
        <w:rPr>
          <w:b/>
          <w:bCs/>
        </w:rPr>
      </w:pPr>
      <w:r w:rsidRPr="00C32940">
        <w:rPr>
          <w:b/>
          <w:bCs/>
        </w:rPr>
        <w:t>Proposals for amendments to the 05 and 06 series of amendments</w:t>
      </w:r>
    </w:p>
    <w:p w:rsidR="006D66AF" w:rsidRPr="00370AD8" w:rsidRDefault="006D66AF" w:rsidP="00FF2BE9">
      <w:pPr>
        <w:pStyle w:val="HChG"/>
        <w:rPr>
          <w:lang w:val="en-US"/>
        </w:rPr>
      </w:pPr>
      <w:r w:rsidRPr="00C970EE">
        <w:rPr>
          <w:lang w:val="en-US"/>
        </w:rPr>
        <w:tab/>
      </w:r>
      <w:r w:rsidRPr="00C970EE">
        <w:rPr>
          <w:lang w:val="en-US"/>
        </w:rPr>
        <w:tab/>
      </w:r>
      <w:r w:rsidR="00C32940" w:rsidRPr="00C32940">
        <w:rPr>
          <w:lang w:val="en-US"/>
        </w:rPr>
        <w:t xml:space="preserve">Proposal for Supplement </w:t>
      </w:r>
      <w:r w:rsidR="00C32940">
        <w:rPr>
          <w:lang w:val="en-US"/>
        </w:rPr>
        <w:t>11</w:t>
      </w:r>
      <w:r w:rsidR="00C32940" w:rsidRPr="00C32940">
        <w:rPr>
          <w:lang w:val="en-US"/>
        </w:rPr>
        <w:t xml:space="preserve"> to the 05 series of amendments and Supplement </w:t>
      </w:r>
      <w:r w:rsidR="00C32940">
        <w:rPr>
          <w:lang w:val="en-US"/>
        </w:rPr>
        <w:t>9</w:t>
      </w:r>
      <w:r w:rsidR="00C32940" w:rsidRPr="00C32940">
        <w:rPr>
          <w:lang w:val="en-US"/>
        </w:rPr>
        <w:t xml:space="preserve"> to the 06 series of amendments to Regulation No. 48 (Installation of lighting and light-signalling devices)</w:t>
      </w:r>
      <w:r w:rsidR="00275800">
        <w:rPr>
          <w:lang w:val="en-US"/>
        </w:rPr>
        <w:t xml:space="preserve"> </w:t>
      </w:r>
      <w:r w:rsidR="00003702" w:rsidRPr="00370AD8">
        <w:rPr>
          <w:lang w:val="en-US"/>
        </w:rPr>
        <w:t xml:space="preserve"> </w:t>
      </w:r>
    </w:p>
    <w:p w:rsidR="00F91276" w:rsidRPr="004D1FAA" w:rsidRDefault="00F91276" w:rsidP="00FF2BE9">
      <w:pPr>
        <w:pStyle w:val="H1G"/>
        <w:ind w:firstLine="0"/>
      </w:pPr>
      <w:r w:rsidRPr="004D1FAA">
        <w:t>Submitted by the expert from the International Automotive Lighting and Light Signalling Expert Group (GTB)</w:t>
      </w:r>
      <w:r w:rsidRPr="00A54AF8">
        <w:rPr>
          <w:szCs w:val="24"/>
          <w:vertAlign w:val="superscript"/>
        </w:rPr>
        <w:footnoteReference w:customMarkFollows="1" w:id="2"/>
        <w:t>*</w:t>
      </w:r>
    </w:p>
    <w:p w:rsidR="006D66AF" w:rsidRPr="00C970EE" w:rsidRDefault="00275800" w:rsidP="00FF2BE9">
      <w:pPr>
        <w:tabs>
          <w:tab w:val="left" w:pos="8505"/>
        </w:tabs>
        <w:spacing w:after="120"/>
        <w:ind w:left="1134" w:right="1134" w:firstLine="567"/>
        <w:jc w:val="both"/>
        <w:rPr>
          <w:lang w:val="en-US"/>
        </w:rPr>
      </w:pPr>
      <w:r w:rsidRPr="00275800">
        <w:rPr>
          <w:rFonts w:eastAsia="Calibri"/>
        </w:rPr>
        <w:t xml:space="preserve">The text reproduced below was prepared by the expert from GTB to </w:t>
      </w:r>
      <w:r w:rsidR="00C32940" w:rsidRPr="00C32940">
        <w:rPr>
          <w:rFonts w:eastAsia="Calibri"/>
        </w:rPr>
        <w:t xml:space="preserve">clarify inconsistencies or unclear texts or </w:t>
      </w:r>
      <w:r w:rsidR="00C32940">
        <w:rPr>
          <w:rFonts w:eastAsia="Calibri"/>
        </w:rPr>
        <w:t xml:space="preserve">to </w:t>
      </w:r>
      <w:r w:rsidR="00C32940" w:rsidRPr="00C32940">
        <w:rPr>
          <w:rFonts w:eastAsia="Calibri"/>
        </w:rPr>
        <w:t xml:space="preserve">correct </w:t>
      </w:r>
      <w:r w:rsidR="00C32940">
        <w:rPr>
          <w:rFonts w:eastAsia="Calibri"/>
        </w:rPr>
        <w:t xml:space="preserve">the </w:t>
      </w:r>
      <w:r w:rsidR="00C32940" w:rsidRPr="00C32940">
        <w:rPr>
          <w:rFonts w:eastAsia="Calibri"/>
        </w:rPr>
        <w:t>terminolog</w:t>
      </w:r>
      <w:r w:rsidR="00C32940">
        <w:rPr>
          <w:rFonts w:eastAsia="Calibri"/>
        </w:rPr>
        <w:t xml:space="preserve">y </w:t>
      </w:r>
      <w:r w:rsidR="00C32940" w:rsidRPr="00C32940">
        <w:rPr>
          <w:rFonts w:eastAsia="Calibri"/>
        </w:rPr>
        <w:t>in Regulation</w:t>
      </w:r>
      <w:r w:rsidR="00C32940">
        <w:rPr>
          <w:rFonts w:eastAsia="Calibri"/>
        </w:rPr>
        <w:t xml:space="preserve"> No.</w:t>
      </w:r>
      <w:r w:rsidR="00C32940" w:rsidRPr="00C32940">
        <w:rPr>
          <w:rFonts w:eastAsia="Calibri"/>
        </w:rPr>
        <w:t xml:space="preserve"> 48. </w:t>
      </w:r>
      <w:r w:rsidRPr="00275800">
        <w:rPr>
          <w:rFonts w:eastAsia="Calibri"/>
        </w:rPr>
        <w:t>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C32940" w:rsidRDefault="00C32940" w:rsidP="00C32940">
      <w:pPr>
        <w:spacing w:after="120" w:line="240" w:lineRule="exact"/>
        <w:ind w:left="2268" w:right="1537" w:hanging="1134"/>
        <w:jc w:val="both"/>
        <w:rPr>
          <w:rFonts w:eastAsia="Calibri"/>
          <w:lang w:val="en-US"/>
        </w:rPr>
      </w:pPr>
      <w:r w:rsidRPr="00C32940">
        <w:rPr>
          <w:rFonts w:eastAsia="Calibri"/>
          <w:i/>
          <w:lang w:val="en-US"/>
        </w:rPr>
        <w:t>Paragraph 5.7.2.1.</w:t>
      </w:r>
      <w:r>
        <w:rPr>
          <w:rFonts w:eastAsia="Calibri"/>
          <w:lang w:val="en-US"/>
        </w:rPr>
        <w:t>, amend to read:</w:t>
      </w:r>
    </w:p>
    <w:p w:rsidR="00C32940" w:rsidRPr="00605B22" w:rsidRDefault="00C32940" w:rsidP="00C32940">
      <w:pPr>
        <w:spacing w:after="120" w:line="240" w:lineRule="exact"/>
        <w:ind w:left="2268" w:right="1537" w:hanging="1134"/>
        <w:jc w:val="both"/>
        <w:rPr>
          <w:iCs/>
          <w:lang w:val="en-US"/>
        </w:rPr>
      </w:pPr>
      <w:r>
        <w:t>“</w:t>
      </w:r>
      <w:r w:rsidRPr="00605B22">
        <w:t>5.7.2.1.</w:t>
      </w:r>
      <w:r w:rsidRPr="00605B22">
        <w:tab/>
      </w:r>
      <w:r w:rsidRPr="00315ABE">
        <w:rPr>
          <w:iCs/>
          <w:lang w:val="en-US"/>
        </w:rPr>
        <w:t xml:space="preserve">Single lamps as defined in paragraph 2.16.1., subparagraph (a), </w:t>
      </w:r>
      <w:r w:rsidRPr="00605B22">
        <w:rPr>
          <w:b/>
          <w:iCs/>
          <w:lang w:val="en-US"/>
        </w:rPr>
        <w:t xml:space="preserve">the apparent surface of which is </w:t>
      </w:r>
      <w:r w:rsidRPr="00605B22">
        <w:rPr>
          <w:iCs/>
          <w:lang w:val="en-US"/>
        </w:rPr>
        <w:t>composed of two or more distinct parts, shall be installed in such a way that:</w:t>
      </w:r>
    </w:p>
    <w:p w:rsidR="00C32940" w:rsidRPr="00605B22" w:rsidRDefault="00C32940" w:rsidP="00C32940">
      <w:pPr>
        <w:tabs>
          <w:tab w:val="left" w:pos="1134"/>
        </w:tabs>
        <w:spacing w:after="120" w:line="240" w:lineRule="exact"/>
        <w:ind w:left="2268" w:right="1537" w:hanging="1134"/>
        <w:jc w:val="both"/>
        <w:rPr>
          <w:iCs/>
          <w:lang w:val="en-US"/>
        </w:rPr>
      </w:pPr>
      <w:r w:rsidRPr="00605B22">
        <w:rPr>
          <w:iCs/>
          <w:lang w:val="en-US"/>
        </w:rPr>
        <w:tab/>
        <w:t>(a)</w:t>
      </w:r>
      <w:r w:rsidRPr="00605B22">
        <w:rPr>
          <w:iCs/>
          <w:lang w:val="en-US"/>
        </w:rPr>
        <w:tab/>
        <w:t>either the total area of the projection of the distinct parts</w:t>
      </w:r>
      <w:r w:rsidRPr="00605B22">
        <w:rPr>
          <w:b/>
          <w:iCs/>
          <w:lang w:val="en-US"/>
        </w:rPr>
        <w:t xml:space="preserve"> of the apparent surface in the direction of the reference axis </w:t>
      </w:r>
      <w:r w:rsidRPr="00605B22">
        <w:rPr>
          <w:iCs/>
          <w:lang w:val="en-US"/>
        </w:rPr>
        <w:t>on a plane tangent to the exterior surface of the outer lens and perpendicular to the reference axis shall occupy not less than 60 per cent of the smallest quadrilateral circumscribing the projection</w:t>
      </w:r>
      <w:r w:rsidRPr="00605B22">
        <w:rPr>
          <w:b/>
        </w:rPr>
        <w:t xml:space="preserve"> of the said apparent</w:t>
      </w:r>
      <w:r w:rsidRPr="00605B22">
        <w:rPr>
          <w:b/>
          <w:iCs/>
          <w:lang w:val="en-US"/>
        </w:rPr>
        <w:t xml:space="preserve"> surface in the </w:t>
      </w:r>
      <w:r>
        <w:rPr>
          <w:b/>
          <w:iCs/>
          <w:lang w:val="en-US"/>
        </w:rPr>
        <w:t>direction of the reference axis</w:t>
      </w:r>
      <w:r w:rsidRPr="00605B22">
        <w:rPr>
          <w:b/>
          <w:iCs/>
          <w:lang w:val="en-US"/>
        </w:rPr>
        <w:t xml:space="preserve">; </w:t>
      </w:r>
      <w:r w:rsidRPr="00605B22">
        <w:rPr>
          <w:iCs/>
          <w:lang w:val="en-US"/>
        </w:rPr>
        <w:t>or</w:t>
      </w:r>
    </w:p>
    <w:p w:rsidR="00C32940" w:rsidRPr="00605B22" w:rsidRDefault="00C32940" w:rsidP="00C32940">
      <w:pPr>
        <w:tabs>
          <w:tab w:val="left" w:pos="1134"/>
        </w:tabs>
        <w:spacing w:after="120" w:line="240" w:lineRule="exact"/>
        <w:ind w:left="2268" w:right="1537" w:hanging="1134"/>
        <w:jc w:val="both"/>
        <w:rPr>
          <w:iCs/>
          <w:lang w:val="en-US"/>
        </w:rPr>
      </w:pPr>
      <w:r w:rsidRPr="00605B22">
        <w:rPr>
          <w:iCs/>
          <w:lang w:val="en-US"/>
        </w:rPr>
        <w:tab/>
        <w:t>(b)</w:t>
      </w:r>
      <w:r w:rsidRPr="00605B22">
        <w:rPr>
          <w:iCs/>
          <w:lang w:val="en-US"/>
        </w:rPr>
        <w:tab/>
        <w:t>the minimum distance between the facing edges</w:t>
      </w:r>
      <w:r w:rsidRPr="00605B22">
        <w:rPr>
          <w:iCs/>
          <w:color w:val="000000"/>
          <w:lang w:val="en-US"/>
        </w:rPr>
        <w:t xml:space="preserve"> </w:t>
      </w:r>
      <w:r w:rsidRPr="00605B22">
        <w:rPr>
          <w:iCs/>
          <w:lang w:val="en-US"/>
        </w:rPr>
        <w:t>of two adjacent/tangential distinct parts</w:t>
      </w:r>
      <w:r w:rsidRPr="00605B22">
        <w:rPr>
          <w:b/>
          <w:iCs/>
          <w:lang w:val="en-US"/>
        </w:rPr>
        <w:t xml:space="preserve"> of the apparent surface in the </w:t>
      </w:r>
      <w:r>
        <w:rPr>
          <w:b/>
          <w:iCs/>
          <w:lang w:val="en-US"/>
        </w:rPr>
        <w:t>direction of the reference axis</w:t>
      </w:r>
      <w:r w:rsidRPr="00605B22">
        <w:rPr>
          <w:b/>
          <w:iCs/>
          <w:lang w:val="en-US"/>
        </w:rPr>
        <w:t xml:space="preserve"> </w:t>
      </w:r>
      <w:r w:rsidRPr="00605B22">
        <w:rPr>
          <w:iCs/>
          <w:lang w:val="en-US"/>
        </w:rPr>
        <w:t>shall not exceed 75 mm when measured perpendicularly to the reference axis.</w:t>
      </w:r>
    </w:p>
    <w:p w:rsidR="00C32940" w:rsidRPr="00605B22" w:rsidRDefault="00C32940" w:rsidP="00C32940">
      <w:pPr>
        <w:tabs>
          <w:tab w:val="left" w:pos="1134"/>
        </w:tabs>
        <w:spacing w:after="120" w:line="240" w:lineRule="exact"/>
        <w:ind w:left="2268" w:right="1537" w:hanging="1134"/>
        <w:jc w:val="both"/>
        <w:rPr>
          <w:iCs/>
          <w:lang w:val="en-US"/>
        </w:rPr>
      </w:pPr>
      <w:r w:rsidRPr="00605B22">
        <w:rPr>
          <w:iCs/>
          <w:lang w:val="en-US"/>
        </w:rPr>
        <w:tab/>
        <w:t>Th</w:t>
      </w:r>
      <w:r w:rsidRPr="00605B22">
        <w:rPr>
          <w:bCs/>
          <w:iCs/>
          <w:lang w:val="en-US"/>
        </w:rPr>
        <w:t xml:space="preserve">ese </w:t>
      </w:r>
      <w:r w:rsidRPr="00605B22">
        <w:rPr>
          <w:iCs/>
          <w:lang w:val="en-US"/>
        </w:rPr>
        <w:t>requirement</w:t>
      </w:r>
      <w:r w:rsidRPr="00605B22">
        <w:rPr>
          <w:bCs/>
          <w:iCs/>
          <w:lang w:val="en-US"/>
        </w:rPr>
        <w:t xml:space="preserve">s </w:t>
      </w:r>
      <w:r w:rsidRPr="00605B22">
        <w:rPr>
          <w:iCs/>
          <w:lang w:val="en-US"/>
        </w:rPr>
        <w:t>shall not apply to a single retro-reflector.</w:t>
      </w:r>
      <w:r>
        <w:rPr>
          <w:iCs/>
          <w:lang w:val="en-US"/>
        </w:rPr>
        <w:t>”</w:t>
      </w:r>
    </w:p>
    <w:p w:rsidR="00C32940" w:rsidRDefault="00C32940" w:rsidP="00C32940">
      <w:pPr>
        <w:spacing w:after="120" w:line="240" w:lineRule="exact"/>
        <w:ind w:left="2268" w:right="1537" w:hanging="1134"/>
        <w:jc w:val="both"/>
        <w:rPr>
          <w:rFonts w:eastAsia="Calibri"/>
          <w:lang w:val="en-US"/>
        </w:rPr>
      </w:pPr>
      <w:r w:rsidRPr="00C32940">
        <w:rPr>
          <w:rFonts w:eastAsia="Calibri"/>
          <w:i/>
          <w:lang w:val="en-US"/>
        </w:rPr>
        <w:t>Paragraph 6.2.9.</w:t>
      </w:r>
      <w:r w:rsidRPr="00C32940">
        <w:rPr>
          <w:rFonts w:eastAsia="Calibri"/>
          <w:lang w:val="en-US"/>
        </w:rPr>
        <w:t>,</w:t>
      </w:r>
      <w:r>
        <w:rPr>
          <w:rFonts w:eastAsia="Calibri"/>
          <w:lang w:val="en-US"/>
        </w:rPr>
        <w:t xml:space="preserve"> amend to read:</w:t>
      </w:r>
    </w:p>
    <w:p w:rsidR="00C32940" w:rsidRPr="00605B22" w:rsidRDefault="00C32940" w:rsidP="00C32940">
      <w:pPr>
        <w:spacing w:after="120" w:line="240" w:lineRule="exact"/>
        <w:ind w:left="2268" w:right="1537" w:hanging="1134"/>
        <w:jc w:val="both"/>
        <w:rPr>
          <w:rFonts w:eastAsia="Calibri"/>
          <w:lang w:val="en-US"/>
        </w:rPr>
      </w:pPr>
      <w:r>
        <w:rPr>
          <w:rFonts w:eastAsia="Calibri"/>
          <w:lang w:val="en-US"/>
        </w:rPr>
        <w:t>“</w:t>
      </w:r>
      <w:r w:rsidRPr="00605B22">
        <w:rPr>
          <w:rFonts w:eastAsia="Calibri"/>
          <w:lang w:val="en-US"/>
        </w:rPr>
        <w:t>6.2.9.</w:t>
      </w:r>
      <w:r w:rsidRPr="00605B22">
        <w:rPr>
          <w:rFonts w:eastAsia="Calibri"/>
          <w:lang w:val="en-US"/>
        </w:rPr>
        <w:tab/>
        <w:t xml:space="preserve">Other requirements </w:t>
      </w:r>
    </w:p>
    <w:p w:rsidR="00C32940" w:rsidRPr="00605B22" w:rsidRDefault="00C32940" w:rsidP="00C32940">
      <w:pPr>
        <w:spacing w:after="120" w:line="240" w:lineRule="exact"/>
        <w:ind w:left="2268" w:right="1537" w:hanging="1134"/>
        <w:jc w:val="both"/>
        <w:rPr>
          <w:rFonts w:eastAsia="Calibri"/>
          <w:lang w:val="en-US"/>
        </w:rPr>
      </w:pPr>
      <w:r w:rsidRPr="00605B22">
        <w:rPr>
          <w:rFonts w:eastAsia="Calibri"/>
          <w:b/>
          <w:lang w:val="en-US"/>
        </w:rPr>
        <w:t>6.2.9.1.</w:t>
      </w:r>
      <w:r w:rsidRPr="00605B22">
        <w:rPr>
          <w:rFonts w:eastAsia="Calibri"/>
          <w:lang w:val="en-US"/>
        </w:rPr>
        <w:tab/>
        <w:t>The requirements of paragraph 5.5.2. shall not apply to dipped-beam headlamps.</w:t>
      </w:r>
    </w:p>
    <w:p w:rsidR="00C32940" w:rsidRPr="00605B22" w:rsidRDefault="00C32940" w:rsidP="00C32940">
      <w:pPr>
        <w:spacing w:after="120" w:line="240" w:lineRule="exact"/>
        <w:ind w:left="2268" w:right="1537" w:hanging="1134"/>
        <w:jc w:val="both"/>
        <w:rPr>
          <w:rFonts w:eastAsia="Calibri"/>
          <w:lang w:val="en-US"/>
        </w:rPr>
      </w:pPr>
      <w:r w:rsidRPr="00605B22">
        <w:rPr>
          <w:rFonts w:eastAsia="Calibri"/>
          <w:b/>
          <w:lang w:val="en-US"/>
        </w:rPr>
        <w:t>6.2.9.2.</w:t>
      </w:r>
      <w:r w:rsidRPr="00605B22">
        <w:rPr>
          <w:rFonts w:eastAsia="Calibri"/>
          <w:lang w:val="en-US"/>
        </w:rPr>
        <w:tab/>
        <w:t xml:space="preserve">Dipped-beam headlamps with a light source or LED module(s) producing the principal dipped-beam </w:t>
      </w:r>
      <w:r w:rsidRPr="00605B22">
        <w:rPr>
          <w:rFonts w:eastAsia="Calibri"/>
          <w:strike/>
          <w:lang w:val="en-US"/>
        </w:rPr>
        <w:t>and</w:t>
      </w:r>
      <w:r w:rsidRPr="00605B22">
        <w:rPr>
          <w:rFonts w:eastAsia="Calibri"/>
          <w:lang w:val="en-US"/>
        </w:rPr>
        <w:t xml:space="preserve"> having a total objective luminous flux </w:t>
      </w:r>
      <w:r w:rsidRPr="00605B22">
        <w:rPr>
          <w:rFonts w:eastAsia="Calibri"/>
          <w:b/>
          <w:lang w:val="en-US"/>
        </w:rPr>
        <w:t>for each headlamp</w:t>
      </w:r>
      <w:r w:rsidRPr="00605B22">
        <w:rPr>
          <w:rFonts w:eastAsia="Calibri"/>
          <w:lang w:val="en-US"/>
        </w:rPr>
        <w:t xml:space="preserve"> which exceeds 2,000 lumen shall only be installed in conjunction with the installation of headlamp cleaning device( s) according to Regulation No. 45 .</w:t>
      </w:r>
    </w:p>
    <w:p w:rsidR="00C32940" w:rsidRPr="00605B22" w:rsidRDefault="00C32940" w:rsidP="001E6888">
      <w:pPr>
        <w:spacing w:after="120" w:line="240" w:lineRule="exact"/>
        <w:ind w:left="2268" w:right="1537" w:hanging="1134"/>
        <w:jc w:val="both"/>
        <w:rPr>
          <w:rFonts w:eastAsia="Calibri"/>
          <w:lang w:val="en-US"/>
        </w:rPr>
      </w:pPr>
      <w:r w:rsidRPr="00605B22">
        <w:rPr>
          <w:rFonts w:eastAsia="Calibri"/>
          <w:b/>
          <w:lang w:val="en-US"/>
        </w:rPr>
        <w:t>6.2.9.3.</w:t>
      </w:r>
      <w:r w:rsidRPr="00605B22">
        <w:rPr>
          <w:rFonts w:eastAsia="Calibri"/>
          <w:lang w:val="en-US"/>
        </w:rPr>
        <w:tab/>
        <w:t>With respect to vertical inclination the provisions of paragraph 6.2.6.2.2. above shall not be applied for dipped-beam headlamps</w:t>
      </w:r>
      <w:r w:rsidR="001E6888">
        <w:rPr>
          <w:rFonts w:eastAsia="Calibri"/>
          <w:lang w:val="en-US"/>
        </w:rPr>
        <w:t xml:space="preserve"> w</w:t>
      </w:r>
      <w:r w:rsidRPr="00605B22">
        <w:rPr>
          <w:rFonts w:eastAsia="Calibri"/>
          <w:lang w:val="en-US"/>
        </w:rPr>
        <w:t>ith a light source</w:t>
      </w:r>
      <w:r w:rsidR="001E6888">
        <w:rPr>
          <w:rFonts w:eastAsia="Calibri"/>
          <w:lang w:val="en-US"/>
        </w:rPr>
        <w:t xml:space="preserve"> or LED module(s)</w:t>
      </w:r>
      <w:r w:rsidRPr="00605B22">
        <w:rPr>
          <w:rFonts w:eastAsia="Calibri"/>
          <w:lang w:val="en-US"/>
        </w:rPr>
        <w:t xml:space="preserve"> producing the principal dipped-beam and having an objective luminous flux </w:t>
      </w:r>
      <w:r w:rsidRPr="00605B22">
        <w:rPr>
          <w:rFonts w:eastAsia="Calibri"/>
          <w:b/>
          <w:lang w:val="en-US"/>
        </w:rPr>
        <w:t>for each headlamp</w:t>
      </w:r>
      <w:r w:rsidRPr="00605B22">
        <w:rPr>
          <w:rFonts w:eastAsia="Calibri"/>
          <w:lang w:val="en-US"/>
        </w:rPr>
        <w:t xml:space="preserve"> which exceeds 2,000 lumens.</w:t>
      </w:r>
    </w:p>
    <w:p w:rsidR="00C32940" w:rsidRPr="00605B22" w:rsidRDefault="00C32940" w:rsidP="00C32940">
      <w:pPr>
        <w:spacing w:after="120" w:line="240" w:lineRule="exact"/>
        <w:ind w:left="2268" w:right="1537" w:hanging="1134"/>
        <w:jc w:val="both"/>
        <w:rPr>
          <w:rFonts w:eastAsia="Calibri"/>
          <w:lang w:val="en-US"/>
        </w:rPr>
      </w:pPr>
      <w:r w:rsidRPr="00605B22">
        <w:rPr>
          <w:rFonts w:eastAsia="Calibri"/>
          <w:lang w:val="en-US"/>
        </w:rPr>
        <w:tab/>
        <w:t>In the case of filament lamps for which more than one test voltage is specified, the objective luminous flux which produces the principal dipped-beam, as indicated in the communication form for the type approval of the device, is applied.</w:t>
      </w:r>
    </w:p>
    <w:p w:rsidR="00C32940" w:rsidRPr="00605B22" w:rsidRDefault="00C32940" w:rsidP="00C32940">
      <w:pPr>
        <w:spacing w:after="120" w:line="240" w:lineRule="exact"/>
        <w:ind w:left="2268" w:right="1537" w:hanging="1134"/>
        <w:jc w:val="both"/>
        <w:rPr>
          <w:rFonts w:eastAsia="Calibri"/>
          <w:lang w:val="en-US"/>
        </w:rPr>
      </w:pPr>
      <w:r w:rsidRPr="00605B22">
        <w:rPr>
          <w:rFonts w:eastAsia="Calibri"/>
          <w:lang w:val="en-U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C32940" w:rsidRPr="00605B22" w:rsidRDefault="00C32940" w:rsidP="00C32940">
      <w:pPr>
        <w:spacing w:after="120" w:line="240" w:lineRule="exact"/>
        <w:ind w:left="2268" w:right="1537" w:hanging="1134"/>
        <w:jc w:val="both"/>
        <w:rPr>
          <w:rFonts w:eastAsia="Calibri"/>
          <w:lang w:val="en-US"/>
        </w:rPr>
      </w:pPr>
      <w:r w:rsidRPr="00605B22">
        <w:rPr>
          <w:rFonts w:eastAsia="Calibri"/>
          <w:b/>
          <w:lang w:val="en-US"/>
        </w:rPr>
        <w:t>6.2.9.4.</w:t>
      </w:r>
      <w:r w:rsidRPr="00605B22">
        <w:rPr>
          <w:rFonts w:eastAsia="Calibri"/>
          <w:lang w:val="en-US"/>
        </w:rPr>
        <w:tab/>
        <w:t>Only dipped-beam headlamps according to Regulation Nos. 98 or 112 may be used to produce bend lighting.</w:t>
      </w:r>
    </w:p>
    <w:p w:rsidR="00C32940" w:rsidRPr="00605B22" w:rsidRDefault="00C32940" w:rsidP="00C32940">
      <w:pPr>
        <w:spacing w:after="120" w:line="240" w:lineRule="exact"/>
        <w:ind w:left="2268" w:right="1537" w:hanging="1134"/>
        <w:jc w:val="both"/>
        <w:rPr>
          <w:rFonts w:eastAsia="Calibri"/>
          <w:lang w:val="en-US"/>
        </w:rPr>
      </w:pPr>
      <w:r w:rsidRPr="00605B22">
        <w:rPr>
          <w:rFonts w:eastAsia="Calibri"/>
          <w:lang w:val="en-US"/>
        </w:rPr>
        <w:tab/>
        <w:t xml:space="preserve">If bend lighting is produced by a horizontal movement of the whole beam or the kink of the elbow of the cut-off, it shall be activated only if </w:t>
      </w:r>
      <w:r w:rsidRPr="00605B22">
        <w:rPr>
          <w:rFonts w:eastAsia="Calibri"/>
          <w:lang w:val="en-US"/>
        </w:rPr>
        <w:lastRenderedPageBreak/>
        <w:t>the vehicle is in forward motion; this shall not apply if bend lighting is produced for a right turn in right hand traffic (left turn in left hand traffic).</w:t>
      </w:r>
      <w:r>
        <w:rPr>
          <w:rFonts w:eastAsia="Calibri"/>
          <w:lang w:val="en-US"/>
        </w:rPr>
        <w:t>”</w:t>
      </w:r>
    </w:p>
    <w:p w:rsidR="00C32940" w:rsidRDefault="00C32940" w:rsidP="00C32940">
      <w:pPr>
        <w:spacing w:after="120" w:line="240" w:lineRule="exact"/>
        <w:ind w:left="2268" w:right="1537" w:hanging="1134"/>
        <w:jc w:val="both"/>
        <w:rPr>
          <w:rFonts w:eastAsia="Calibri"/>
          <w:lang w:val="en-US"/>
        </w:rPr>
      </w:pPr>
      <w:r w:rsidRPr="00C32940">
        <w:rPr>
          <w:rFonts w:eastAsia="Calibri"/>
          <w:i/>
          <w:lang w:val="en-US"/>
        </w:rPr>
        <w:t>Paragraph 6.3.6.1.2.1.</w:t>
      </w:r>
      <w:r w:rsidRPr="00C32940">
        <w:rPr>
          <w:rFonts w:eastAsia="Calibri"/>
          <w:lang w:val="en-US"/>
        </w:rPr>
        <w:t>,</w:t>
      </w:r>
      <w:r>
        <w:rPr>
          <w:rFonts w:eastAsia="Calibri"/>
          <w:lang w:val="en-US"/>
        </w:rPr>
        <w:t xml:space="preserve"> amend to read:</w:t>
      </w:r>
    </w:p>
    <w:p w:rsidR="00C32940" w:rsidRPr="00605B22" w:rsidRDefault="00C32940" w:rsidP="00C32940">
      <w:pPr>
        <w:spacing w:after="120" w:line="240" w:lineRule="exact"/>
        <w:ind w:left="2268" w:right="1537" w:hanging="1134"/>
        <w:jc w:val="both"/>
        <w:rPr>
          <w:rFonts w:eastAsia="Calibri"/>
        </w:rPr>
      </w:pPr>
      <w:r>
        <w:rPr>
          <w:rFonts w:eastAsia="Calibri"/>
        </w:rPr>
        <w:t>“</w:t>
      </w:r>
      <w:r w:rsidRPr="00605B22">
        <w:rPr>
          <w:rFonts w:eastAsia="Calibri"/>
        </w:rPr>
        <w:t>6.3.6.1.2.1.</w:t>
      </w:r>
      <w:r w:rsidRPr="00605B22">
        <w:rPr>
          <w:rFonts w:eastAsia="Calibri"/>
        </w:rPr>
        <w:tab/>
        <w:t xml:space="preserve">When the total objective luminous flux of the light source </w:t>
      </w:r>
      <w:r w:rsidRPr="00605B22">
        <w:rPr>
          <w:rFonts w:eastAsia="Calibri"/>
          <w:b/>
        </w:rPr>
        <w:t>for each front fog lamp</w:t>
      </w:r>
      <w:r w:rsidRPr="00605B22">
        <w:rPr>
          <w:rFonts w:eastAsia="Calibri"/>
        </w:rPr>
        <w:t xml:space="preserve"> does not exceed 2,000 lumens:</w:t>
      </w:r>
      <w:r>
        <w:rPr>
          <w:rFonts w:eastAsia="Calibri"/>
        </w:rPr>
        <w:t>”</w:t>
      </w:r>
    </w:p>
    <w:p w:rsidR="00C32940" w:rsidRDefault="00C32940" w:rsidP="00C32940">
      <w:pPr>
        <w:spacing w:after="120" w:line="240" w:lineRule="exact"/>
        <w:ind w:left="2268" w:right="1537" w:hanging="1134"/>
        <w:jc w:val="both"/>
        <w:rPr>
          <w:rFonts w:eastAsia="Calibri"/>
          <w:lang w:val="en-US"/>
        </w:rPr>
      </w:pPr>
      <w:r w:rsidRPr="00C32940">
        <w:rPr>
          <w:rFonts w:eastAsia="Calibri"/>
          <w:i/>
          <w:lang w:val="en-US"/>
        </w:rPr>
        <w:t>Paragraph 6.3.6.1.2.2.</w:t>
      </w:r>
      <w:r w:rsidRPr="00C32940">
        <w:rPr>
          <w:rFonts w:eastAsia="Calibri"/>
          <w:lang w:val="en-US"/>
        </w:rPr>
        <w:t>,</w:t>
      </w:r>
      <w:r>
        <w:rPr>
          <w:rFonts w:eastAsia="Calibri"/>
          <w:lang w:val="en-US"/>
        </w:rPr>
        <w:t xml:space="preserve"> amend to read:</w:t>
      </w:r>
    </w:p>
    <w:p w:rsidR="00C32940" w:rsidRDefault="00C32940" w:rsidP="00C32940">
      <w:pPr>
        <w:spacing w:after="120" w:line="240" w:lineRule="exact"/>
        <w:ind w:left="2268" w:right="1537" w:hanging="1134"/>
        <w:jc w:val="both"/>
        <w:rPr>
          <w:lang w:val="en-US"/>
        </w:rPr>
      </w:pPr>
      <w:r>
        <w:rPr>
          <w:rFonts w:eastAsia="Calibri"/>
        </w:rPr>
        <w:t>“</w:t>
      </w:r>
      <w:r w:rsidRPr="00605B22">
        <w:rPr>
          <w:rFonts w:eastAsia="Calibri"/>
        </w:rPr>
        <w:t>6.3.6.1.2.2.</w:t>
      </w:r>
      <w:r w:rsidRPr="00605B22">
        <w:rPr>
          <w:rFonts w:eastAsia="Calibri"/>
        </w:rPr>
        <w:tab/>
        <w:t xml:space="preserve">When the total objective luminous flux of the light source </w:t>
      </w:r>
      <w:r w:rsidRPr="00605B22">
        <w:rPr>
          <w:rFonts w:eastAsia="Calibri"/>
          <w:b/>
        </w:rPr>
        <w:t>for each front fog lamp</w:t>
      </w:r>
      <w:r w:rsidRPr="00605B22">
        <w:rPr>
          <w:rFonts w:eastAsia="Calibri"/>
        </w:rPr>
        <w:t xml:space="preserve"> exceeds 2,000 lumens:</w:t>
      </w:r>
      <w:r>
        <w:rPr>
          <w:rFonts w:eastAsia="Calibri"/>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450720" w:rsidRDefault="00450720" w:rsidP="00C32940">
      <w:pPr>
        <w:spacing w:after="120"/>
        <w:ind w:left="1134" w:right="1134"/>
        <w:jc w:val="both"/>
      </w:pPr>
      <w:r>
        <w:t>1.</w:t>
      </w:r>
      <w:r>
        <w:tab/>
      </w:r>
      <w:r w:rsidR="00C32940">
        <w:t>Th</w:t>
      </w:r>
      <w:r>
        <w:t xml:space="preserve">e aim of this </w:t>
      </w:r>
      <w:r w:rsidR="00C32940">
        <w:t>proposal</w:t>
      </w:r>
      <w:r>
        <w:t xml:space="preserve"> is</w:t>
      </w:r>
      <w:r w:rsidR="00C32940" w:rsidRPr="005C5CB2">
        <w:t xml:space="preserve"> to clarify inconsistencies or unclear texts or </w:t>
      </w:r>
      <w:r>
        <w:t xml:space="preserve">to </w:t>
      </w:r>
      <w:r w:rsidR="00C32940" w:rsidRPr="005C5CB2">
        <w:t xml:space="preserve">correct </w:t>
      </w:r>
      <w:r>
        <w:t xml:space="preserve">the </w:t>
      </w:r>
      <w:r w:rsidR="00C32940" w:rsidRPr="005C5CB2">
        <w:t>terminolog</w:t>
      </w:r>
      <w:r>
        <w:t>y</w:t>
      </w:r>
      <w:r w:rsidR="00C32940" w:rsidRPr="005C5CB2">
        <w:t xml:space="preserve"> in Regulation</w:t>
      </w:r>
      <w:r>
        <w:t xml:space="preserve"> No.</w:t>
      </w:r>
      <w:r w:rsidR="00C32940" w:rsidRPr="005C5CB2">
        <w:t xml:space="preserve"> 48.</w:t>
      </w:r>
      <w:r>
        <w:t xml:space="preserve"> </w:t>
      </w:r>
      <w:r w:rsidR="00C32940" w:rsidRPr="005C5CB2">
        <w:t xml:space="preserve">In principle, it is </w:t>
      </w:r>
      <w:r w:rsidR="00C32940">
        <w:t>proposed</w:t>
      </w:r>
      <w:r w:rsidR="00C32940" w:rsidRPr="005C5CB2">
        <w:t xml:space="preserve"> to in</w:t>
      </w:r>
      <w:r w:rsidR="00C32940">
        <w:t>troduce</w:t>
      </w:r>
      <w:r w:rsidR="00C32940" w:rsidRPr="005C5CB2">
        <w:t xml:space="preserve"> the</w:t>
      </w:r>
      <w:r>
        <w:t>se</w:t>
      </w:r>
      <w:r w:rsidR="00C32940" w:rsidRPr="005C5CB2">
        <w:t xml:space="preserve"> </w:t>
      </w:r>
      <w:r w:rsidR="00C32940">
        <w:t>clarifications</w:t>
      </w:r>
      <w:r w:rsidR="00C32940" w:rsidRPr="005C5CB2">
        <w:t xml:space="preserve"> in</w:t>
      </w:r>
      <w:r w:rsidR="00C32940">
        <w:t>to</w:t>
      </w:r>
      <w:r w:rsidR="00C32940" w:rsidRPr="005C5CB2">
        <w:t xml:space="preserve"> </w:t>
      </w:r>
      <w:r>
        <w:t>all the</w:t>
      </w:r>
      <w:r w:rsidR="00C32940" w:rsidRPr="005C5CB2">
        <w:t xml:space="preserve"> series of amendment</w:t>
      </w:r>
      <w:r w:rsidR="00C32940">
        <w:t>s</w:t>
      </w:r>
      <w:r w:rsidR="00C32940" w:rsidRPr="005C5CB2">
        <w:t xml:space="preserve"> presently applicable </w:t>
      </w:r>
      <w:r w:rsidR="00C32940" w:rsidRPr="007579F7">
        <w:t>to new type approvals</w:t>
      </w:r>
      <w:r w:rsidR="00C32940" w:rsidRPr="007579F7" w:rsidDel="007579F7">
        <w:t xml:space="preserve"> </w:t>
      </w:r>
      <w:r w:rsidR="00C32940">
        <w:t>(</w:t>
      </w:r>
      <w:r w:rsidR="00C32940" w:rsidRPr="005C5CB2">
        <w:t>05 and 06</w:t>
      </w:r>
      <w:r>
        <w:t xml:space="preserve"> series</w:t>
      </w:r>
      <w:r w:rsidR="00C32940" w:rsidRPr="005C5CB2">
        <w:t xml:space="preserve">), </w:t>
      </w:r>
      <w:r>
        <w:t xml:space="preserve">with a view </w:t>
      </w:r>
      <w:r w:rsidR="00C32940" w:rsidRPr="005C5CB2">
        <w:t>to avoid</w:t>
      </w:r>
      <w:r>
        <w:t>ing</w:t>
      </w:r>
      <w:r w:rsidR="00C32940" w:rsidRPr="005C5CB2">
        <w:t xml:space="preserve"> any different application of the paragraphs </w:t>
      </w:r>
      <w:r>
        <w:t>depending on</w:t>
      </w:r>
      <w:r w:rsidR="00C32940" w:rsidRPr="005C5CB2">
        <w:t xml:space="preserve"> the series of amendments used.</w:t>
      </w:r>
      <w:r w:rsidR="00C32940">
        <w:t xml:space="preserve"> </w:t>
      </w:r>
    </w:p>
    <w:p w:rsidR="00450720" w:rsidRPr="00450720" w:rsidRDefault="00C32940" w:rsidP="00C32940">
      <w:pPr>
        <w:tabs>
          <w:tab w:val="left" w:pos="3119"/>
        </w:tabs>
        <w:spacing w:after="120"/>
        <w:ind w:left="3119" w:right="1134" w:hanging="1985"/>
        <w:jc w:val="both"/>
        <w:rPr>
          <w:i/>
        </w:rPr>
      </w:pPr>
      <w:proofErr w:type="gramStart"/>
      <w:r w:rsidRPr="00450720">
        <w:rPr>
          <w:i/>
        </w:rPr>
        <w:t>Paragraph 5.7.2.1</w:t>
      </w:r>
      <w:r w:rsidR="00450720" w:rsidRPr="00450720">
        <w:rPr>
          <w:i/>
        </w:rPr>
        <w:t>.</w:t>
      </w:r>
      <w:proofErr w:type="gramEnd"/>
      <w:r w:rsidRPr="00450720">
        <w:rPr>
          <w:i/>
        </w:rPr>
        <w:t xml:space="preserve"> </w:t>
      </w:r>
      <w:r w:rsidRPr="00450720">
        <w:rPr>
          <w:i/>
        </w:rPr>
        <w:tab/>
      </w:r>
    </w:p>
    <w:p w:rsidR="00C32940" w:rsidRPr="005C5CB2" w:rsidRDefault="00450720" w:rsidP="00450720">
      <w:pPr>
        <w:spacing w:after="120"/>
        <w:ind w:left="1134" w:right="1134"/>
        <w:jc w:val="both"/>
      </w:pPr>
      <w:proofErr w:type="gramStart"/>
      <w:r>
        <w:t xml:space="preserve">2. </w:t>
      </w:r>
      <w:r w:rsidR="0021235A">
        <w:tab/>
      </w:r>
      <w:r>
        <w:t>An e</w:t>
      </w:r>
      <w:r w:rsidR="00C32940" w:rsidRPr="005C5CB2">
        <w:t>ditorial</w:t>
      </w:r>
      <w:r>
        <w:t xml:space="preserve"> correction to </w:t>
      </w:r>
      <w:r w:rsidR="00C32940" w:rsidRPr="005C5CB2">
        <w:t xml:space="preserve">align </w:t>
      </w:r>
      <w:r>
        <w:t>the</w:t>
      </w:r>
      <w:r w:rsidR="00C32940" w:rsidRPr="005C5CB2">
        <w:t xml:space="preserve"> terminology </w:t>
      </w:r>
      <w:r>
        <w:t xml:space="preserve">with the </w:t>
      </w:r>
      <w:r w:rsidR="00C32940" w:rsidRPr="005C5CB2">
        <w:t>present definition and other requirements.</w:t>
      </w:r>
      <w:proofErr w:type="gramEnd"/>
    </w:p>
    <w:p w:rsidR="00450720" w:rsidRPr="00450720" w:rsidRDefault="00C32940" w:rsidP="00450720">
      <w:pPr>
        <w:spacing w:after="120"/>
        <w:ind w:left="1134" w:right="1134"/>
        <w:jc w:val="both"/>
        <w:rPr>
          <w:i/>
        </w:rPr>
      </w:pPr>
      <w:proofErr w:type="gramStart"/>
      <w:r w:rsidRPr="00450720">
        <w:rPr>
          <w:i/>
        </w:rPr>
        <w:t>Paragraph 6.2.9</w:t>
      </w:r>
      <w:r w:rsidR="00450720" w:rsidRPr="00450720">
        <w:rPr>
          <w:i/>
        </w:rPr>
        <w:t>.</w:t>
      </w:r>
      <w:proofErr w:type="gramEnd"/>
      <w:r w:rsidRPr="00450720">
        <w:rPr>
          <w:i/>
        </w:rPr>
        <w:t xml:space="preserve"> </w:t>
      </w:r>
      <w:r w:rsidRPr="00450720">
        <w:rPr>
          <w:i/>
        </w:rPr>
        <w:tab/>
      </w:r>
    </w:p>
    <w:p w:rsidR="00C32940" w:rsidRPr="005C5CB2" w:rsidRDefault="00450720" w:rsidP="00450720">
      <w:pPr>
        <w:spacing w:after="120"/>
        <w:ind w:left="1134" w:right="1134"/>
        <w:jc w:val="both"/>
      </w:pPr>
      <w:r>
        <w:t>3.</w:t>
      </w:r>
      <w:r>
        <w:tab/>
      </w:r>
      <w:r w:rsidR="00C32940">
        <w:t>Changes</w:t>
      </w:r>
      <w:r>
        <w:t xml:space="preserve"> are</w:t>
      </w:r>
      <w:r w:rsidR="00C32940">
        <w:t xml:space="preserve"> proposed to mak</w:t>
      </w:r>
      <w:r w:rsidR="00C32940" w:rsidRPr="005C5CB2">
        <w:t xml:space="preserve">e the interpretation of this paragraph indisputable as far as the application </w:t>
      </w:r>
      <w:r w:rsidR="00C32940">
        <w:t xml:space="preserve">of the </w:t>
      </w:r>
      <w:proofErr w:type="gramStart"/>
      <w:r w:rsidR="00C32940" w:rsidRPr="005C5CB2">
        <w:t>2</w:t>
      </w:r>
      <w:r w:rsidR="001E6888">
        <w:t>,</w:t>
      </w:r>
      <w:r w:rsidR="00C32940" w:rsidRPr="005C5CB2">
        <w:t>000 lumen</w:t>
      </w:r>
      <w:proofErr w:type="gramEnd"/>
      <w:r w:rsidR="00C32940" w:rsidRPr="005C5CB2">
        <w:t xml:space="preserve"> limit is concerned. In addition</w:t>
      </w:r>
      <w:r>
        <w:t>,</w:t>
      </w:r>
      <w:r w:rsidR="00C32940" w:rsidRPr="005C5CB2">
        <w:t xml:space="preserve"> an editorial revision of the paragraph </w:t>
      </w:r>
      <w:proofErr w:type="gramStart"/>
      <w:r w:rsidR="00C32940" w:rsidRPr="005C5CB2">
        <w:t>is proposed</w:t>
      </w:r>
      <w:proofErr w:type="gramEnd"/>
      <w:r w:rsidR="00C32940" w:rsidRPr="005C5CB2">
        <w:t>, to separate the existing text in</w:t>
      </w:r>
      <w:r w:rsidR="00C32940">
        <w:t>to</w:t>
      </w:r>
      <w:r w:rsidR="00C32940" w:rsidRPr="005C5CB2">
        <w:t xml:space="preserve"> four sub-paragraph</w:t>
      </w:r>
      <w:r w:rsidR="00C32940">
        <w:t>s</w:t>
      </w:r>
      <w:r w:rsidR="00C32940" w:rsidRPr="005C5CB2">
        <w:t>, for better understanding.</w:t>
      </w:r>
    </w:p>
    <w:p w:rsidR="00450720" w:rsidRDefault="00C32940" w:rsidP="00450720">
      <w:pPr>
        <w:spacing w:after="120"/>
        <w:ind w:left="1134" w:right="1134"/>
        <w:jc w:val="both"/>
      </w:pPr>
      <w:proofErr w:type="gramStart"/>
      <w:r>
        <w:t>Paragraphs 6.3.6.1.2.1</w:t>
      </w:r>
      <w:r w:rsidR="00450720">
        <w:t>.</w:t>
      </w:r>
      <w:proofErr w:type="gramEnd"/>
      <w:r w:rsidR="00450720">
        <w:t xml:space="preserve"> </w:t>
      </w:r>
      <w:proofErr w:type="gramStart"/>
      <w:r w:rsidRPr="005C5CB2">
        <w:t>and</w:t>
      </w:r>
      <w:proofErr w:type="gramEnd"/>
      <w:r>
        <w:t xml:space="preserve"> </w:t>
      </w:r>
      <w:r w:rsidRPr="005C5CB2">
        <w:t>6.3.6.1.2.2</w:t>
      </w:r>
      <w:r w:rsidR="00450720">
        <w:t>.</w:t>
      </w:r>
      <w:r w:rsidRPr="005C5CB2">
        <w:tab/>
      </w:r>
      <w:r>
        <w:tab/>
      </w:r>
    </w:p>
    <w:p w:rsidR="00FF2BE9" w:rsidRDefault="00450720" w:rsidP="00450720">
      <w:pPr>
        <w:spacing w:after="120"/>
        <w:ind w:left="1134" w:right="1134"/>
        <w:jc w:val="both"/>
        <w:rPr>
          <w:lang w:val="en-US"/>
        </w:rPr>
      </w:pPr>
      <w:r>
        <w:t>4.</w:t>
      </w:r>
      <w:r>
        <w:tab/>
      </w:r>
      <w:proofErr w:type="gramStart"/>
      <w:r w:rsidR="00C32940" w:rsidRPr="005C5CB2">
        <w:t>As</w:t>
      </w:r>
      <w:proofErr w:type="gramEnd"/>
      <w:r w:rsidR="00C32940" w:rsidRPr="005C5CB2">
        <w:t xml:space="preserve"> for paragraph 6.2.9. </w:t>
      </w:r>
      <w:proofErr w:type="gramStart"/>
      <w:r w:rsidR="00C32940" w:rsidRPr="005C5CB2">
        <w:t>above</w:t>
      </w:r>
      <w:proofErr w:type="gramEnd"/>
      <w:r w:rsidR="00C32940" w:rsidRPr="005C5CB2">
        <w:t>, changes are proposed to ma</w:t>
      </w:r>
      <w:r>
        <w:t xml:space="preserve">ke </w:t>
      </w:r>
      <w:r w:rsidR="00C32940">
        <w:t xml:space="preserve">the interpretation </w:t>
      </w:r>
      <w:r w:rsidR="00C32940" w:rsidRPr="005C5CB2">
        <w:t xml:space="preserve">of these paragraphs </w:t>
      </w:r>
      <w:r w:rsidR="00C32940">
        <w:t xml:space="preserve">indisputable </w:t>
      </w:r>
      <w:r w:rsidR="00C32940" w:rsidRPr="005C5CB2">
        <w:t>as far as the 2</w:t>
      </w:r>
      <w:r w:rsidR="001E6888">
        <w:t>,</w:t>
      </w:r>
      <w:r w:rsidR="00C32940" w:rsidRPr="005C5CB2">
        <w:t>000 lumen limit application is concerned.</w:t>
      </w:r>
    </w:p>
    <w:p w:rsidR="00FA7728" w:rsidRPr="00A238BB" w:rsidRDefault="00A369D1" w:rsidP="0002092A">
      <w:pPr>
        <w:pStyle w:val="SingleTxtG"/>
        <w:spacing w:before="240" w:after="0"/>
        <w:jc w:val="center"/>
      </w:pPr>
      <w:r>
        <w:t>___________________</w:t>
      </w:r>
    </w:p>
    <w:sectPr w:rsidR="00FA7728" w:rsidRPr="00A238BB"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2" w:rsidRDefault="003146C2"/>
  </w:endnote>
  <w:endnote w:type="continuationSeparator" w:id="0">
    <w:p w:rsidR="003146C2" w:rsidRDefault="003146C2"/>
  </w:endnote>
  <w:endnote w:type="continuationNotice" w:id="1">
    <w:p w:rsidR="003146C2" w:rsidRDefault="0031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307678">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307678">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90" w:rsidRDefault="000F6690" w:rsidP="000F6690">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F6690" w:rsidRDefault="000F6690" w:rsidP="000F6690">
    <w:pPr>
      <w:pStyle w:val="Footer"/>
      <w:ind w:right="1134"/>
      <w:rPr>
        <w:sz w:val="20"/>
      </w:rPr>
    </w:pPr>
    <w:r>
      <w:rPr>
        <w:sz w:val="20"/>
      </w:rPr>
      <w:t>GE.16-13773(E)</w:t>
    </w:r>
  </w:p>
  <w:p w:rsidR="000F6690" w:rsidRPr="000F6690" w:rsidRDefault="000F6690" w:rsidP="000F66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TRANS/WP.29/GRE/2016/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2" w:rsidRPr="000B175B" w:rsidRDefault="003146C2" w:rsidP="000B175B">
      <w:pPr>
        <w:tabs>
          <w:tab w:val="right" w:pos="2155"/>
        </w:tabs>
        <w:spacing w:after="80"/>
        <w:ind w:left="680"/>
        <w:rPr>
          <w:u w:val="single"/>
        </w:rPr>
      </w:pPr>
      <w:r>
        <w:rPr>
          <w:u w:val="single"/>
        </w:rPr>
        <w:tab/>
      </w:r>
    </w:p>
  </w:footnote>
  <w:footnote w:type="continuationSeparator" w:id="0">
    <w:p w:rsidR="003146C2" w:rsidRPr="00FC68B7" w:rsidRDefault="003146C2" w:rsidP="00FC68B7">
      <w:pPr>
        <w:tabs>
          <w:tab w:val="left" w:pos="2155"/>
        </w:tabs>
        <w:spacing w:after="80"/>
        <w:ind w:left="680"/>
        <w:rPr>
          <w:u w:val="single"/>
        </w:rPr>
      </w:pPr>
      <w:r>
        <w:rPr>
          <w:u w:val="single"/>
        </w:rPr>
        <w:tab/>
      </w:r>
    </w:p>
  </w:footnote>
  <w:footnote w:type="continuationNotice" w:id="1">
    <w:p w:rsidR="003146C2" w:rsidRDefault="003146C2"/>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65137A">
      <w:t>2</w:t>
    </w:r>
    <w:r w:rsidR="00C32940">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65137A">
      <w:t>2</w:t>
    </w:r>
    <w:r w:rsidR="00C3294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8"/>
  </w:num>
  <w:num w:numId="19">
    <w:abstractNumId w:val="11"/>
  </w:num>
  <w:num w:numId="20">
    <w:abstractNumId w:val="16"/>
  </w:num>
  <w:num w:numId="21">
    <w:abstractNumId w:val="23"/>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48D3"/>
    <w:rsid w:val="0003791F"/>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E0415"/>
    <w:rsid w:val="000F431B"/>
    <w:rsid w:val="000F6690"/>
    <w:rsid w:val="001078D2"/>
    <w:rsid w:val="001103AA"/>
    <w:rsid w:val="0011666B"/>
    <w:rsid w:val="00124000"/>
    <w:rsid w:val="0013722F"/>
    <w:rsid w:val="0014380B"/>
    <w:rsid w:val="00150388"/>
    <w:rsid w:val="00157FE9"/>
    <w:rsid w:val="0016538B"/>
    <w:rsid w:val="00165F3A"/>
    <w:rsid w:val="00181198"/>
    <w:rsid w:val="00182290"/>
    <w:rsid w:val="001A3955"/>
    <w:rsid w:val="001B4B04"/>
    <w:rsid w:val="001C6663"/>
    <w:rsid w:val="001C7895"/>
    <w:rsid w:val="001D0C8C"/>
    <w:rsid w:val="001D10DE"/>
    <w:rsid w:val="001D1419"/>
    <w:rsid w:val="001D26DF"/>
    <w:rsid w:val="001D3A03"/>
    <w:rsid w:val="001E6888"/>
    <w:rsid w:val="001E7B67"/>
    <w:rsid w:val="00202DA8"/>
    <w:rsid w:val="0020430C"/>
    <w:rsid w:val="00204AD6"/>
    <w:rsid w:val="00210A69"/>
    <w:rsid w:val="00211E0B"/>
    <w:rsid w:val="0021235A"/>
    <w:rsid w:val="0024772E"/>
    <w:rsid w:val="00253714"/>
    <w:rsid w:val="002546AE"/>
    <w:rsid w:val="002608F3"/>
    <w:rsid w:val="00267F5F"/>
    <w:rsid w:val="00275800"/>
    <w:rsid w:val="00283697"/>
    <w:rsid w:val="00286B4D"/>
    <w:rsid w:val="0029109B"/>
    <w:rsid w:val="002A6754"/>
    <w:rsid w:val="002B1DCA"/>
    <w:rsid w:val="002D4643"/>
    <w:rsid w:val="002E4D76"/>
    <w:rsid w:val="002F175C"/>
    <w:rsid w:val="002F6994"/>
    <w:rsid w:val="002F7DE0"/>
    <w:rsid w:val="00302E18"/>
    <w:rsid w:val="00307678"/>
    <w:rsid w:val="003125E1"/>
    <w:rsid w:val="003146C2"/>
    <w:rsid w:val="003229D8"/>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50720"/>
    <w:rsid w:val="00453556"/>
    <w:rsid w:val="0045495B"/>
    <w:rsid w:val="004561E5"/>
    <w:rsid w:val="00462DC9"/>
    <w:rsid w:val="00467628"/>
    <w:rsid w:val="004833EE"/>
    <w:rsid w:val="0048397A"/>
    <w:rsid w:val="00485CBB"/>
    <w:rsid w:val="004866B7"/>
    <w:rsid w:val="004A1587"/>
    <w:rsid w:val="004C0081"/>
    <w:rsid w:val="004C2461"/>
    <w:rsid w:val="004C7462"/>
    <w:rsid w:val="004D127C"/>
    <w:rsid w:val="004E4C76"/>
    <w:rsid w:val="004E77B2"/>
    <w:rsid w:val="005000A9"/>
    <w:rsid w:val="00501DC3"/>
    <w:rsid w:val="0050237E"/>
    <w:rsid w:val="00504B2D"/>
    <w:rsid w:val="0052136D"/>
    <w:rsid w:val="0052775E"/>
    <w:rsid w:val="005369ED"/>
    <w:rsid w:val="005420F2"/>
    <w:rsid w:val="0056209A"/>
    <w:rsid w:val="005628B6"/>
    <w:rsid w:val="00585059"/>
    <w:rsid w:val="00590860"/>
    <w:rsid w:val="005908FB"/>
    <w:rsid w:val="005941EC"/>
    <w:rsid w:val="0059724D"/>
    <w:rsid w:val="005A4616"/>
    <w:rsid w:val="005B320C"/>
    <w:rsid w:val="005B3DB3"/>
    <w:rsid w:val="005B4E13"/>
    <w:rsid w:val="005C342F"/>
    <w:rsid w:val="005C7D1E"/>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5CEC"/>
    <w:rsid w:val="006A2530"/>
    <w:rsid w:val="006B1C59"/>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53AF2"/>
    <w:rsid w:val="00761394"/>
    <w:rsid w:val="007629C8"/>
    <w:rsid w:val="0077047D"/>
    <w:rsid w:val="00775F3E"/>
    <w:rsid w:val="007874B5"/>
    <w:rsid w:val="00787EE8"/>
    <w:rsid w:val="0079032E"/>
    <w:rsid w:val="00796214"/>
    <w:rsid w:val="007A146F"/>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72E3B"/>
    <w:rsid w:val="008878DE"/>
    <w:rsid w:val="008928C6"/>
    <w:rsid w:val="00894E11"/>
    <w:rsid w:val="008979B1"/>
    <w:rsid w:val="008A1ED5"/>
    <w:rsid w:val="008A6B25"/>
    <w:rsid w:val="008A6C4F"/>
    <w:rsid w:val="008B0563"/>
    <w:rsid w:val="008B2335"/>
    <w:rsid w:val="008B2E36"/>
    <w:rsid w:val="008C2428"/>
    <w:rsid w:val="008C3247"/>
    <w:rsid w:val="008E0678"/>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B26E7"/>
    <w:rsid w:val="009B2F79"/>
    <w:rsid w:val="009B3273"/>
    <w:rsid w:val="009B544C"/>
    <w:rsid w:val="009B6278"/>
    <w:rsid w:val="009B64BB"/>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4AF8"/>
    <w:rsid w:val="00A56580"/>
    <w:rsid w:val="00A6129C"/>
    <w:rsid w:val="00A72F22"/>
    <w:rsid w:val="00A7360F"/>
    <w:rsid w:val="00A7397C"/>
    <w:rsid w:val="00A748A6"/>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3F3B"/>
    <w:rsid w:val="00BC3FA0"/>
    <w:rsid w:val="00BC74E9"/>
    <w:rsid w:val="00BD2A4A"/>
    <w:rsid w:val="00BE48EA"/>
    <w:rsid w:val="00BF1E2C"/>
    <w:rsid w:val="00BF30B3"/>
    <w:rsid w:val="00BF43C8"/>
    <w:rsid w:val="00BF68A8"/>
    <w:rsid w:val="00C11A03"/>
    <w:rsid w:val="00C22C0C"/>
    <w:rsid w:val="00C32940"/>
    <w:rsid w:val="00C37074"/>
    <w:rsid w:val="00C4527F"/>
    <w:rsid w:val="00C463DD"/>
    <w:rsid w:val="00C4724C"/>
    <w:rsid w:val="00C60646"/>
    <w:rsid w:val="00C629A0"/>
    <w:rsid w:val="00C64629"/>
    <w:rsid w:val="00C71096"/>
    <w:rsid w:val="00C745C3"/>
    <w:rsid w:val="00C83C57"/>
    <w:rsid w:val="00C91C1C"/>
    <w:rsid w:val="00C94F10"/>
    <w:rsid w:val="00C96DF2"/>
    <w:rsid w:val="00CA1B34"/>
    <w:rsid w:val="00CB3E03"/>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E00F5C"/>
    <w:rsid w:val="00E046DF"/>
    <w:rsid w:val="00E1086D"/>
    <w:rsid w:val="00E14EAE"/>
    <w:rsid w:val="00E22B0C"/>
    <w:rsid w:val="00E27346"/>
    <w:rsid w:val="00E3469A"/>
    <w:rsid w:val="00E40A45"/>
    <w:rsid w:val="00E465DB"/>
    <w:rsid w:val="00E560CA"/>
    <w:rsid w:val="00E71BC8"/>
    <w:rsid w:val="00E7260F"/>
    <w:rsid w:val="00E73F5D"/>
    <w:rsid w:val="00E77E4E"/>
    <w:rsid w:val="00E96630"/>
    <w:rsid w:val="00EA2A77"/>
    <w:rsid w:val="00EA5A18"/>
    <w:rsid w:val="00ED7A2A"/>
    <w:rsid w:val="00EE16EC"/>
    <w:rsid w:val="00EF1D7F"/>
    <w:rsid w:val="00F0093F"/>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946DB-FE90-4BE2-AA3A-DC1D9678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781</Words>
  <Characters>4453</Characters>
  <Application>Microsoft Office Word</Application>
  <DocSecurity>4</DocSecurity>
  <Lines>37</Lines>
  <Paragraphs>10</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1613773</vt:lpstr>
      <vt:lpstr>United Nations</vt:lpstr>
      <vt:lpstr>United Nations</vt:lpstr>
    </vt:vector>
  </TitlesOfParts>
  <Company>CSD</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1613773</dc:title>
  <dc:subject>ECE/TRANS/WP.29/GRE/2016/24</dc:subject>
  <dc:creator>GTB;Francois Guichard</dc:creator>
  <cp:lastModifiedBy>Benedicte Boudol</cp:lastModifiedBy>
  <cp:revision>2</cp:revision>
  <cp:lastPrinted>2016-08-09T13:19:00Z</cp:lastPrinted>
  <dcterms:created xsi:type="dcterms:W3CDTF">2016-09-07T12:59:00Z</dcterms:created>
  <dcterms:modified xsi:type="dcterms:W3CDTF">2016-09-07T12:59:00Z</dcterms:modified>
</cp:coreProperties>
</file>