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8C3247" w:rsidTr="006D66AF">
        <w:trPr>
          <w:cantSplit/>
          <w:trHeight w:hRule="exact" w:val="851"/>
        </w:trPr>
        <w:tc>
          <w:tcPr>
            <w:tcW w:w="1276" w:type="dxa"/>
            <w:tcBorders>
              <w:bottom w:val="single" w:sz="4" w:space="0" w:color="auto"/>
            </w:tcBorders>
            <w:shd w:val="clear" w:color="auto" w:fill="auto"/>
            <w:vAlign w:val="bottom"/>
          </w:tcPr>
          <w:p w:rsidR="00B56E9C" w:rsidRDefault="00B56E9C" w:rsidP="006D66AF">
            <w:pPr>
              <w:spacing w:after="80"/>
            </w:pPr>
            <w:bookmarkStart w:id="0" w:name="_GoBack"/>
            <w:bookmarkEnd w:id="0"/>
          </w:p>
        </w:tc>
        <w:tc>
          <w:tcPr>
            <w:tcW w:w="2268" w:type="dxa"/>
            <w:tcBorders>
              <w:bottom w:val="single" w:sz="4" w:space="0" w:color="auto"/>
            </w:tcBorders>
            <w:shd w:val="clear" w:color="auto" w:fill="auto"/>
            <w:vAlign w:val="bottom"/>
          </w:tcPr>
          <w:p w:rsidR="00B56E9C" w:rsidRPr="006D66AF" w:rsidRDefault="00B56E9C" w:rsidP="006D66AF">
            <w:pPr>
              <w:spacing w:after="80" w:line="300" w:lineRule="exact"/>
              <w:rPr>
                <w:b/>
                <w:sz w:val="24"/>
                <w:szCs w:val="24"/>
              </w:rPr>
            </w:pPr>
            <w:r w:rsidRPr="006D66AF">
              <w:rPr>
                <w:sz w:val="28"/>
                <w:szCs w:val="28"/>
              </w:rPr>
              <w:t>United Nations</w:t>
            </w:r>
          </w:p>
        </w:tc>
        <w:tc>
          <w:tcPr>
            <w:tcW w:w="6095" w:type="dxa"/>
            <w:gridSpan w:val="2"/>
            <w:tcBorders>
              <w:bottom w:val="single" w:sz="4" w:space="0" w:color="auto"/>
            </w:tcBorders>
            <w:shd w:val="clear" w:color="auto" w:fill="auto"/>
            <w:vAlign w:val="bottom"/>
          </w:tcPr>
          <w:p w:rsidR="00B56E9C" w:rsidRPr="008C3247" w:rsidRDefault="006D66AF" w:rsidP="00210A69">
            <w:pPr>
              <w:jc w:val="right"/>
              <w:rPr>
                <w:highlight w:val="yellow"/>
              </w:rPr>
            </w:pPr>
            <w:r w:rsidRPr="00370AD8">
              <w:rPr>
                <w:sz w:val="40"/>
              </w:rPr>
              <w:t>ECE</w:t>
            </w:r>
            <w:r w:rsidRPr="00370AD8">
              <w:t>/TRANS/WP.29/GRE/</w:t>
            </w:r>
            <w:r w:rsidR="00A91E4C" w:rsidRPr="00370AD8">
              <w:t>201</w:t>
            </w:r>
            <w:r w:rsidR="00A16D8C" w:rsidRPr="00370AD8">
              <w:t>6</w:t>
            </w:r>
            <w:r w:rsidRPr="00370AD8">
              <w:t>/</w:t>
            </w:r>
            <w:r w:rsidR="0065137A">
              <w:t>2</w:t>
            </w:r>
            <w:r w:rsidR="00210A69">
              <w:t>1</w:t>
            </w:r>
          </w:p>
        </w:tc>
      </w:tr>
      <w:tr w:rsidR="00B56E9C" w:rsidTr="006D66AF">
        <w:trPr>
          <w:cantSplit/>
          <w:trHeight w:hRule="exact" w:val="2835"/>
        </w:trPr>
        <w:tc>
          <w:tcPr>
            <w:tcW w:w="1276" w:type="dxa"/>
            <w:tcBorders>
              <w:top w:val="single" w:sz="4" w:space="0" w:color="auto"/>
              <w:bottom w:val="single" w:sz="12" w:space="0" w:color="auto"/>
            </w:tcBorders>
            <w:shd w:val="clear" w:color="auto" w:fill="auto"/>
          </w:tcPr>
          <w:p w:rsidR="00B56E9C" w:rsidRDefault="00894E11" w:rsidP="006D66AF">
            <w:pPr>
              <w:spacing w:before="120"/>
            </w:pPr>
            <w:r>
              <w:rPr>
                <w:noProof/>
                <w:lang w:eastAsia="en-GB"/>
              </w:rPr>
              <w:drawing>
                <wp:inline distT="0" distB="0" distL="0" distR="0">
                  <wp:extent cx="715010" cy="598170"/>
                  <wp:effectExtent l="0" t="0" r="889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817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6D66AF" w:rsidRDefault="00D773DF" w:rsidP="006D66AF">
            <w:pPr>
              <w:spacing w:before="120" w:line="420" w:lineRule="exact"/>
              <w:rPr>
                <w:sz w:val="40"/>
                <w:szCs w:val="40"/>
              </w:rPr>
            </w:pPr>
            <w:r w:rsidRPr="006D66AF">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6D66AF" w:rsidP="006D66AF">
            <w:pPr>
              <w:spacing w:before="240" w:line="240" w:lineRule="exact"/>
            </w:pPr>
            <w:r>
              <w:t>Distr.: General</w:t>
            </w:r>
          </w:p>
          <w:p w:rsidR="006D66AF" w:rsidRDefault="00F00B72" w:rsidP="006D66AF">
            <w:pPr>
              <w:spacing w:line="240" w:lineRule="exact"/>
            </w:pPr>
            <w:r>
              <w:t>9</w:t>
            </w:r>
            <w:r w:rsidR="005E1BC9">
              <w:t xml:space="preserve"> </w:t>
            </w:r>
            <w:r w:rsidR="0036599E">
              <w:t xml:space="preserve">August </w:t>
            </w:r>
            <w:r w:rsidR="00370AD8">
              <w:t>2016</w:t>
            </w:r>
          </w:p>
          <w:p w:rsidR="006D66AF" w:rsidRDefault="006D66AF" w:rsidP="006D66AF">
            <w:pPr>
              <w:spacing w:line="240" w:lineRule="exact"/>
            </w:pPr>
          </w:p>
          <w:p w:rsidR="006D66AF" w:rsidRDefault="00A91E4C" w:rsidP="00A91E4C">
            <w:pPr>
              <w:spacing w:line="240" w:lineRule="exact"/>
            </w:pPr>
            <w:r>
              <w:t xml:space="preserve">Original: </w:t>
            </w:r>
            <w:r w:rsidR="006D66AF">
              <w:t>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6D66AF" w:rsidRDefault="006D66AF" w:rsidP="006D66AF">
      <w:pPr>
        <w:spacing w:before="120" w:after="120"/>
        <w:rPr>
          <w:b/>
          <w:bCs/>
        </w:rPr>
      </w:pPr>
      <w:r>
        <w:rPr>
          <w:b/>
          <w:bCs/>
        </w:rPr>
        <w:t>Working Party on Lighting and Light-Signalling</w:t>
      </w:r>
    </w:p>
    <w:p w:rsidR="0036599E" w:rsidRPr="004D1FAA" w:rsidRDefault="0036599E" w:rsidP="0036599E">
      <w:pPr>
        <w:rPr>
          <w:b/>
        </w:rPr>
      </w:pPr>
      <w:r>
        <w:rPr>
          <w:b/>
        </w:rPr>
        <w:t>Seventy-sixth</w:t>
      </w:r>
      <w:r w:rsidRPr="004D1FAA">
        <w:rPr>
          <w:b/>
        </w:rPr>
        <w:t xml:space="preserve"> session</w:t>
      </w:r>
    </w:p>
    <w:p w:rsidR="0036599E" w:rsidRPr="004D1FAA" w:rsidRDefault="0036599E" w:rsidP="0036599E">
      <w:pPr>
        <w:rPr>
          <w:bCs/>
        </w:rPr>
      </w:pPr>
      <w:r w:rsidRPr="004D1FAA">
        <w:t>Geneva</w:t>
      </w:r>
      <w:r w:rsidRPr="004D1FAA">
        <w:rPr>
          <w:bCs/>
        </w:rPr>
        <w:t xml:space="preserve">, </w:t>
      </w:r>
      <w:r>
        <w:rPr>
          <w:bCs/>
        </w:rPr>
        <w:t xml:space="preserve">25–28 October </w:t>
      </w:r>
      <w:r w:rsidRPr="004D1FAA">
        <w:rPr>
          <w:bCs/>
        </w:rPr>
        <w:t>2016</w:t>
      </w:r>
    </w:p>
    <w:p w:rsidR="0036599E" w:rsidRDefault="0036599E" w:rsidP="0036599E">
      <w:pPr>
        <w:ind w:right="1134"/>
        <w:rPr>
          <w:b/>
          <w:bCs/>
        </w:rPr>
      </w:pPr>
      <w:r w:rsidRPr="004D1FAA">
        <w:rPr>
          <w:bCs/>
        </w:rPr>
        <w:t>Item</w:t>
      </w:r>
      <w:r>
        <w:rPr>
          <w:bCs/>
        </w:rPr>
        <w:t xml:space="preserve"> 7 (a)</w:t>
      </w:r>
      <w:r w:rsidR="003E176C">
        <w:rPr>
          <w:bCs/>
        </w:rPr>
        <w:t xml:space="preserve"> of the provisional agenda</w:t>
      </w:r>
      <w:r w:rsidRPr="004D1FAA">
        <w:rPr>
          <w:bCs/>
        </w:rPr>
        <w:br/>
      </w:r>
      <w:r w:rsidRPr="003246C8">
        <w:rPr>
          <w:b/>
          <w:bCs/>
        </w:rPr>
        <w:t>Other Regulations</w:t>
      </w:r>
      <w:r>
        <w:rPr>
          <w:b/>
          <w:bCs/>
        </w:rPr>
        <w:t>:</w:t>
      </w:r>
      <w:r w:rsidRPr="003246C8">
        <w:rPr>
          <w:b/>
          <w:bCs/>
        </w:rPr>
        <w:t xml:space="preserve"> Regulation No. 6 (Direction indicators)</w:t>
      </w:r>
    </w:p>
    <w:p w:rsidR="006D66AF" w:rsidRPr="00370AD8" w:rsidRDefault="006D66AF" w:rsidP="00BF7253">
      <w:pPr>
        <w:pStyle w:val="HChG"/>
        <w:rPr>
          <w:lang w:val="en-US"/>
        </w:rPr>
      </w:pPr>
      <w:r w:rsidRPr="00C970EE">
        <w:rPr>
          <w:lang w:val="en-US"/>
        </w:rPr>
        <w:tab/>
      </w:r>
      <w:r w:rsidRPr="00C970EE">
        <w:rPr>
          <w:lang w:val="en-US"/>
        </w:rPr>
        <w:tab/>
      </w:r>
      <w:r w:rsidR="00D452D8" w:rsidRPr="00370AD8">
        <w:rPr>
          <w:lang w:val="en-US"/>
        </w:rPr>
        <w:t xml:space="preserve">Proposal for </w:t>
      </w:r>
      <w:bookmarkStart w:id="1" w:name="OLE_LINK11"/>
      <w:r w:rsidR="00D452D8" w:rsidRPr="00370AD8">
        <w:rPr>
          <w:lang w:val="en-US"/>
        </w:rPr>
        <w:t xml:space="preserve">Supplement </w:t>
      </w:r>
      <w:r w:rsidR="00802922">
        <w:rPr>
          <w:lang w:val="en-US"/>
        </w:rPr>
        <w:t>27</w:t>
      </w:r>
      <w:r w:rsidR="00D452D8" w:rsidRPr="00370AD8">
        <w:rPr>
          <w:lang w:val="en-US"/>
        </w:rPr>
        <w:t xml:space="preserve"> to the 0</w:t>
      </w:r>
      <w:r w:rsidR="00003702" w:rsidRPr="00370AD8">
        <w:rPr>
          <w:lang w:val="en-US"/>
        </w:rPr>
        <w:t>1</w:t>
      </w:r>
      <w:r w:rsidR="00D452D8" w:rsidRPr="00370AD8">
        <w:rPr>
          <w:lang w:val="en-US"/>
        </w:rPr>
        <w:t xml:space="preserve"> </w:t>
      </w:r>
      <w:r w:rsidR="00370AD8" w:rsidRPr="00370AD8">
        <w:rPr>
          <w:lang w:val="en-US"/>
        </w:rPr>
        <w:t>s</w:t>
      </w:r>
      <w:r w:rsidR="00D452D8" w:rsidRPr="00370AD8">
        <w:rPr>
          <w:lang w:val="en-US"/>
        </w:rPr>
        <w:t xml:space="preserve">eries </w:t>
      </w:r>
      <w:bookmarkEnd w:id="1"/>
      <w:r w:rsidR="00D452D8" w:rsidRPr="00370AD8">
        <w:rPr>
          <w:lang w:val="en-US"/>
        </w:rPr>
        <w:t>of</w:t>
      </w:r>
      <w:r w:rsidR="00370AD8" w:rsidRPr="00370AD8">
        <w:rPr>
          <w:lang w:val="en-US"/>
        </w:rPr>
        <w:t xml:space="preserve"> amendments to</w:t>
      </w:r>
      <w:r w:rsidR="00D452D8" w:rsidRPr="00370AD8">
        <w:rPr>
          <w:lang w:val="en-US"/>
        </w:rPr>
        <w:t xml:space="preserve"> Regulation No.</w:t>
      </w:r>
      <w:r w:rsidR="00F923C4" w:rsidRPr="00370AD8">
        <w:rPr>
          <w:lang w:val="en-US"/>
        </w:rPr>
        <w:t xml:space="preserve"> </w:t>
      </w:r>
      <w:r w:rsidR="00003702" w:rsidRPr="00370AD8">
        <w:rPr>
          <w:lang w:val="en-US"/>
        </w:rPr>
        <w:t xml:space="preserve">6 (Direction indicators) </w:t>
      </w:r>
    </w:p>
    <w:p w:rsidR="00F91276" w:rsidRPr="004D1FAA" w:rsidRDefault="00F91276" w:rsidP="00BF7253">
      <w:pPr>
        <w:pStyle w:val="H1G"/>
        <w:ind w:firstLine="0"/>
      </w:pPr>
      <w:r w:rsidRPr="004D1FAA">
        <w:t>Submitted by the expert from the International Automotive Lighting and Light Signalling Expert Group (GTB)</w:t>
      </w:r>
      <w:r w:rsidRPr="004D1FAA">
        <w:rPr>
          <w:sz w:val="18"/>
          <w:vertAlign w:val="superscript"/>
        </w:rPr>
        <w:footnoteReference w:customMarkFollows="1" w:id="2"/>
        <w:t>*</w:t>
      </w:r>
    </w:p>
    <w:p w:rsidR="006D66AF" w:rsidRPr="00C970EE" w:rsidRDefault="00F91276" w:rsidP="00BF7253">
      <w:pPr>
        <w:tabs>
          <w:tab w:val="left" w:pos="8505"/>
        </w:tabs>
        <w:spacing w:after="120"/>
        <w:ind w:left="1134" w:right="1134" w:firstLine="567"/>
        <w:jc w:val="both"/>
        <w:rPr>
          <w:lang w:val="en-US"/>
        </w:rPr>
      </w:pPr>
      <w:r w:rsidRPr="004D1FAA">
        <w:rPr>
          <w:rFonts w:eastAsia="Calibri"/>
        </w:rPr>
        <w:t xml:space="preserve">The text reproduced below was prepared by the expert </w:t>
      </w:r>
      <w:r w:rsidRPr="003246C8">
        <w:rPr>
          <w:rFonts w:eastAsia="Calibri"/>
        </w:rPr>
        <w:t>from GTB to make a direct reference to Regulation No.</w:t>
      </w:r>
      <w:r>
        <w:rPr>
          <w:rFonts w:eastAsia="Calibri"/>
        </w:rPr>
        <w:t xml:space="preserve"> </w:t>
      </w:r>
      <w:r w:rsidRPr="003246C8">
        <w:rPr>
          <w:rFonts w:eastAsia="Calibri"/>
        </w:rPr>
        <w:t>48 concerning categories of direction indicator and to align the maximum luminous intensity values for the different categories. The modifications to the existing text of the Regulations are marked in bold for new or strikethrough for deleted characters.</w:t>
      </w:r>
    </w:p>
    <w:p w:rsidR="006D66AF" w:rsidRPr="00C970EE" w:rsidRDefault="006D66AF" w:rsidP="006D66AF">
      <w:pPr>
        <w:tabs>
          <w:tab w:val="left" w:pos="8505"/>
        </w:tabs>
        <w:ind w:left="1134" w:right="1134" w:firstLine="567"/>
        <w:jc w:val="both"/>
        <w:rPr>
          <w:lang w:val="en-US"/>
        </w:rPr>
      </w:pPr>
    </w:p>
    <w:p w:rsidR="00585059" w:rsidRPr="009E5F77" w:rsidRDefault="006D66AF" w:rsidP="00585059">
      <w:pPr>
        <w:pStyle w:val="HChG"/>
        <w:jc w:val="both"/>
        <w:rPr>
          <w:lang w:val="en-US"/>
        </w:rPr>
      </w:pPr>
      <w:r w:rsidRPr="00C970EE">
        <w:rPr>
          <w:b w:val="0"/>
          <w:lang w:val="en-US"/>
        </w:rPr>
        <w:br w:type="page"/>
      </w:r>
      <w:r w:rsidR="00585059">
        <w:rPr>
          <w:lang w:val="en-US"/>
        </w:rPr>
        <w:lastRenderedPageBreak/>
        <w:tab/>
      </w:r>
      <w:r w:rsidR="00585059" w:rsidRPr="009E5F77">
        <w:rPr>
          <w:lang w:val="en-US"/>
        </w:rPr>
        <w:t>I.</w:t>
      </w:r>
      <w:r w:rsidR="00585059" w:rsidRPr="009E5F77">
        <w:rPr>
          <w:b w:val="0"/>
          <w:lang w:val="en-US"/>
        </w:rPr>
        <w:tab/>
      </w:r>
      <w:r w:rsidR="00585059" w:rsidRPr="009E5F77">
        <w:rPr>
          <w:lang w:val="en-US"/>
        </w:rPr>
        <w:t>Proposal</w:t>
      </w:r>
    </w:p>
    <w:p w:rsidR="009F5012" w:rsidRPr="004D1FAA" w:rsidRDefault="009F5012" w:rsidP="009F5012">
      <w:pPr>
        <w:spacing w:after="120"/>
        <w:ind w:left="2268" w:right="1467" w:hanging="1134"/>
      </w:pPr>
      <w:r w:rsidRPr="004D1FAA">
        <w:rPr>
          <w:i/>
        </w:rPr>
        <w:t xml:space="preserve">Paragraph </w:t>
      </w:r>
      <w:r>
        <w:rPr>
          <w:i/>
        </w:rPr>
        <w:t>6.1</w:t>
      </w:r>
      <w:r w:rsidRPr="009F5012">
        <w:rPr>
          <w:i/>
        </w:rPr>
        <w:t>., table,</w:t>
      </w:r>
      <w:r>
        <w:t xml:space="preserve"> </w:t>
      </w:r>
      <w:r w:rsidRPr="004D1FAA">
        <w:t>amend to read:</w:t>
      </w:r>
    </w:p>
    <w:p w:rsidR="009F5012" w:rsidRDefault="009A6EC4" w:rsidP="009F5012">
      <w:pPr>
        <w:spacing w:before="120" w:after="120"/>
        <w:ind w:left="2268" w:right="1134" w:hanging="1134"/>
        <w:jc w:val="both"/>
      </w:pPr>
      <w:r>
        <w:t>"</w:t>
      </w:r>
      <w:r w:rsidR="009F5012" w:rsidRPr="00F169F7">
        <w:t>6.1.</w:t>
      </w:r>
      <w:r w:rsidR="009F5012" w:rsidRPr="00F169F7">
        <w:tab/>
        <w:t>The light emitted by each of the two devices supplied must be in the case of direction indicators of categories 1, 1a, 1b, 2a, 2b, in the reference axes, in the case of direction indicators of categories 5 or 6 in direction A according to Annex 1 of not less than the minimum intensity and of not more than the maximum intensity specified below:</w:t>
      </w:r>
    </w:p>
    <w:tbl>
      <w:tblPr>
        <w:tblW w:w="7373" w:type="dxa"/>
        <w:tblInd w:w="1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59"/>
        <w:gridCol w:w="1701"/>
        <w:gridCol w:w="1560"/>
        <w:gridCol w:w="2553"/>
      </w:tblGrid>
      <w:tr w:rsidR="009F5012" w:rsidRPr="00846D29" w:rsidTr="000C632D">
        <w:trPr>
          <w:tblHeader/>
        </w:trPr>
        <w:tc>
          <w:tcPr>
            <w:tcW w:w="1559" w:type="dxa"/>
            <w:vMerge w:val="restart"/>
            <w:tcBorders>
              <w:top w:val="single" w:sz="4" w:space="0" w:color="auto"/>
              <w:left w:val="single" w:sz="4" w:space="0" w:color="auto"/>
              <w:bottom w:val="single" w:sz="4" w:space="0" w:color="auto"/>
              <w:right w:val="single" w:sz="4" w:space="0" w:color="auto"/>
            </w:tcBorders>
            <w:vAlign w:val="bottom"/>
          </w:tcPr>
          <w:p w:rsidR="009F5012" w:rsidRPr="00590860" w:rsidRDefault="009F5012" w:rsidP="000C632D">
            <w:pPr>
              <w:spacing w:before="40" w:after="40" w:line="200" w:lineRule="exact"/>
              <w:ind w:left="113" w:right="113"/>
              <w:rPr>
                <w:bCs/>
                <w:i/>
                <w:sz w:val="16"/>
                <w:szCs w:val="16"/>
              </w:rPr>
            </w:pPr>
            <w:r w:rsidRPr="00590860">
              <w:rPr>
                <w:i/>
                <w:sz w:val="16"/>
                <w:szCs w:val="16"/>
                <w:lang w:val="en-US"/>
              </w:rPr>
              <w:br w:type="page"/>
            </w:r>
            <w:r w:rsidRPr="00590860">
              <w:rPr>
                <w:i/>
                <w:sz w:val="16"/>
                <w:szCs w:val="16"/>
                <w:lang w:val="en-US"/>
              </w:rPr>
              <w:br w:type="page"/>
            </w:r>
            <w:r w:rsidRPr="00590860">
              <w:rPr>
                <w:bCs/>
                <w:i/>
                <w:sz w:val="16"/>
                <w:szCs w:val="16"/>
              </w:rPr>
              <w:t>Direction indicator of category</w:t>
            </w:r>
          </w:p>
        </w:tc>
        <w:tc>
          <w:tcPr>
            <w:tcW w:w="1701" w:type="dxa"/>
            <w:vMerge w:val="restart"/>
            <w:tcBorders>
              <w:top w:val="single" w:sz="4" w:space="0" w:color="auto"/>
              <w:left w:val="single" w:sz="4" w:space="0" w:color="auto"/>
              <w:bottom w:val="single" w:sz="4" w:space="0" w:color="auto"/>
              <w:right w:val="single" w:sz="4" w:space="0" w:color="auto"/>
            </w:tcBorders>
            <w:vAlign w:val="bottom"/>
          </w:tcPr>
          <w:p w:rsidR="009F5012" w:rsidRPr="00590860" w:rsidRDefault="009F5012" w:rsidP="000C632D">
            <w:pPr>
              <w:spacing w:before="40" w:after="40" w:line="200" w:lineRule="exact"/>
              <w:ind w:left="113" w:right="113"/>
              <w:jc w:val="right"/>
              <w:rPr>
                <w:bCs/>
                <w:i/>
                <w:sz w:val="16"/>
                <w:szCs w:val="16"/>
                <w:lang w:val="en-US"/>
              </w:rPr>
            </w:pPr>
            <w:r w:rsidRPr="00590860">
              <w:rPr>
                <w:bCs/>
                <w:i/>
                <w:sz w:val="16"/>
                <w:szCs w:val="16"/>
                <w:lang w:val="en-US"/>
              </w:rPr>
              <w:t>Minimum luminous intensity in cd</w:t>
            </w:r>
          </w:p>
        </w:tc>
        <w:tc>
          <w:tcPr>
            <w:tcW w:w="4113" w:type="dxa"/>
            <w:gridSpan w:val="2"/>
            <w:tcBorders>
              <w:top w:val="single" w:sz="4" w:space="0" w:color="auto"/>
              <w:left w:val="single" w:sz="4" w:space="0" w:color="auto"/>
              <w:bottom w:val="single" w:sz="4" w:space="0" w:color="auto"/>
              <w:right w:val="single" w:sz="4" w:space="0" w:color="auto"/>
            </w:tcBorders>
            <w:vAlign w:val="bottom"/>
          </w:tcPr>
          <w:p w:rsidR="009F5012" w:rsidRPr="00590860" w:rsidRDefault="009F5012" w:rsidP="000C632D">
            <w:pPr>
              <w:spacing w:before="40" w:after="40" w:line="200" w:lineRule="exact"/>
              <w:ind w:left="113" w:right="113"/>
              <w:jc w:val="right"/>
              <w:rPr>
                <w:bCs/>
                <w:i/>
                <w:sz w:val="16"/>
                <w:szCs w:val="16"/>
                <w:lang w:val="en-US"/>
              </w:rPr>
            </w:pPr>
            <w:r w:rsidRPr="00590860">
              <w:rPr>
                <w:bCs/>
                <w:i/>
                <w:sz w:val="16"/>
                <w:szCs w:val="16"/>
                <w:lang w:val="en-US"/>
              </w:rPr>
              <w:t>Maximum luminous intensity in cd when used as</w:t>
            </w:r>
          </w:p>
        </w:tc>
      </w:tr>
      <w:tr w:rsidR="009F5012" w:rsidRPr="00846D29" w:rsidTr="000C632D">
        <w:trPr>
          <w:tblHeader/>
        </w:trPr>
        <w:tc>
          <w:tcPr>
            <w:tcW w:w="1559" w:type="dxa"/>
            <w:vMerge/>
            <w:tcBorders>
              <w:top w:val="single" w:sz="4" w:space="0" w:color="auto"/>
              <w:left w:val="single" w:sz="4" w:space="0" w:color="auto"/>
              <w:bottom w:val="single" w:sz="12" w:space="0" w:color="auto"/>
              <w:right w:val="single" w:sz="4" w:space="0" w:color="auto"/>
            </w:tcBorders>
            <w:vAlign w:val="bottom"/>
          </w:tcPr>
          <w:p w:rsidR="009F5012" w:rsidRPr="00590860" w:rsidRDefault="009F5012" w:rsidP="000C632D">
            <w:pPr>
              <w:spacing w:before="40" w:after="40" w:line="220" w:lineRule="exact"/>
              <w:ind w:left="113" w:right="113"/>
              <w:rPr>
                <w:bCs/>
                <w:i/>
                <w:sz w:val="16"/>
                <w:szCs w:val="16"/>
                <w:lang w:val="en-US"/>
              </w:rPr>
            </w:pPr>
          </w:p>
        </w:tc>
        <w:tc>
          <w:tcPr>
            <w:tcW w:w="1701" w:type="dxa"/>
            <w:vMerge/>
            <w:tcBorders>
              <w:top w:val="single" w:sz="4" w:space="0" w:color="auto"/>
              <w:left w:val="single" w:sz="4" w:space="0" w:color="auto"/>
              <w:bottom w:val="single" w:sz="12" w:space="0" w:color="auto"/>
              <w:right w:val="single" w:sz="4" w:space="0" w:color="auto"/>
            </w:tcBorders>
            <w:vAlign w:val="bottom"/>
          </w:tcPr>
          <w:p w:rsidR="009F5012" w:rsidRPr="00590860" w:rsidRDefault="009F5012" w:rsidP="000C632D">
            <w:pPr>
              <w:spacing w:before="40" w:after="40" w:line="220" w:lineRule="exact"/>
              <w:ind w:left="113" w:right="113"/>
              <w:jc w:val="right"/>
              <w:rPr>
                <w:bCs/>
                <w:i/>
                <w:sz w:val="16"/>
                <w:szCs w:val="16"/>
                <w:lang w:val="en-US"/>
              </w:rPr>
            </w:pPr>
          </w:p>
        </w:tc>
        <w:tc>
          <w:tcPr>
            <w:tcW w:w="1560" w:type="dxa"/>
            <w:tcBorders>
              <w:top w:val="single" w:sz="4" w:space="0" w:color="auto"/>
              <w:left w:val="single" w:sz="4" w:space="0" w:color="auto"/>
              <w:bottom w:val="single" w:sz="12" w:space="0" w:color="auto"/>
              <w:right w:val="single" w:sz="4" w:space="0" w:color="auto"/>
            </w:tcBorders>
            <w:vAlign w:val="bottom"/>
          </w:tcPr>
          <w:p w:rsidR="009F5012" w:rsidRPr="003246C8" w:rsidRDefault="009F5012" w:rsidP="000C632D">
            <w:pPr>
              <w:wordWrap w:val="0"/>
              <w:spacing w:before="40" w:after="40" w:line="200" w:lineRule="exact"/>
              <w:ind w:left="113" w:right="113"/>
              <w:jc w:val="right"/>
              <w:rPr>
                <w:bCs/>
                <w:i/>
                <w:strike/>
                <w:sz w:val="16"/>
                <w:szCs w:val="16"/>
                <w:u w:val="single"/>
              </w:rPr>
            </w:pPr>
            <w:r w:rsidRPr="003246C8">
              <w:rPr>
                <w:bCs/>
                <w:i/>
                <w:sz w:val="16"/>
                <w:szCs w:val="16"/>
              </w:rPr>
              <w:t>A single lamp</w:t>
            </w:r>
          </w:p>
        </w:tc>
        <w:tc>
          <w:tcPr>
            <w:tcW w:w="2553" w:type="dxa"/>
            <w:tcBorders>
              <w:top w:val="single" w:sz="4" w:space="0" w:color="auto"/>
              <w:left w:val="single" w:sz="4" w:space="0" w:color="auto"/>
              <w:bottom w:val="single" w:sz="12" w:space="0" w:color="auto"/>
              <w:right w:val="single" w:sz="4" w:space="0" w:color="auto"/>
            </w:tcBorders>
            <w:vAlign w:val="bottom"/>
          </w:tcPr>
          <w:p w:rsidR="009F5012" w:rsidRPr="003246C8" w:rsidRDefault="009F5012" w:rsidP="000C632D">
            <w:pPr>
              <w:spacing w:before="40" w:after="40" w:line="220" w:lineRule="exact"/>
              <w:ind w:left="113" w:right="113"/>
              <w:jc w:val="right"/>
              <w:rPr>
                <w:bCs/>
                <w:i/>
                <w:sz w:val="16"/>
                <w:szCs w:val="16"/>
                <w:lang w:val="en-US"/>
              </w:rPr>
            </w:pPr>
            <w:r w:rsidRPr="003246C8">
              <w:rPr>
                <w:bCs/>
                <w:i/>
                <w:sz w:val="16"/>
                <w:szCs w:val="16"/>
                <w:lang w:val="en-US"/>
              </w:rPr>
              <w:t>A lamp marked “D” (see paragraph 4.2.2.3. above)</w:t>
            </w:r>
          </w:p>
        </w:tc>
      </w:tr>
      <w:tr w:rsidR="009F5012" w:rsidRPr="00846D29" w:rsidTr="000C632D">
        <w:tc>
          <w:tcPr>
            <w:tcW w:w="1559" w:type="dxa"/>
            <w:tcBorders>
              <w:top w:val="single" w:sz="12" w:space="0" w:color="auto"/>
            </w:tcBorders>
          </w:tcPr>
          <w:p w:rsidR="009F5012" w:rsidRPr="00590860" w:rsidRDefault="009F5012" w:rsidP="000C632D">
            <w:pPr>
              <w:spacing w:before="40" w:after="40" w:line="220" w:lineRule="exact"/>
              <w:ind w:left="113" w:right="113"/>
              <w:rPr>
                <w:bCs/>
                <w:sz w:val="18"/>
                <w:szCs w:val="18"/>
                <w:lang w:val="pt-BR"/>
              </w:rPr>
            </w:pPr>
            <w:r w:rsidRPr="00590860">
              <w:rPr>
                <w:bCs/>
                <w:sz w:val="18"/>
                <w:szCs w:val="18"/>
                <w:lang w:val="pt-BR"/>
              </w:rPr>
              <w:t>1</w:t>
            </w:r>
          </w:p>
        </w:tc>
        <w:tc>
          <w:tcPr>
            <w:tcW w:w="1701" w:type="dxa"/>
            <w:tcBorders>
              <w:top w:val="single" w:sz="12" w:space="0" w:color="auto"/>
            </w:tcBorders>
            <w:vAlign w:val="bottom"/>
          </w:tcPr>
          <w:p w:rsidR="009F5012" w:rsidRPr="00590860" w:rsidRDefault="009F5012" w:rsidP="000C632D">
            <w:pPr>
              <w:spacing w:before="40" w:after="40" w:line="220" w:lineRule="exact"/>
              <w:ind w:left="113" w:right="113"/>
              <w:jc w:val="right"/>
              <w:rPr>
                <w:bCs/>
                <w:sz w:val="18"/>
                <w:szCs w:val="18"/>
                <w:lang w:val="pt-BR"/>
              </w:rPr>
            </w:pPr>
            <w:r w:rsidRPr="00590860">
              <w:rPr>
                <w:bCs/>
                <w:sz w:val="18"/>
                <w:szCs w:val="18"/>
                <w:lang w:val="pt-BR"/>
              </w:rPr>
              <w:t>175</w:t>
            </w:r>
          </w:p>
        </w:tc>
        <w:tc>
          <w:tcPr>
            <w:tcW w:w="1560" w:type="dxa"/>
            <w:tcBorders>
              <w:top w:val="single" w:sz="12" w:space="0" w:color="auto"/>
            </w:tcBorders>
            <w:vAlign w:val="bottom"/>
          </w:tcPr>
          <w:p w:rsidR="009F5012" w:rsidRPr="003246C8" w:rsidRDefault="009F5012" w:rsidP="000C632D">
            <w:pPr>
              <w:spacing w:before="40" w:after="40" w:line="220" w:lineRule="exact"/>
              <w:ind w:left="113" w:right="113"/>
              <w:jc w:val="right"/>
              <w:rPr>
                <w:strike/>
                <w:sz w:val="18"/>
                <w:szCs w:val="18"/>
                <w:lang w:val="pt-BR"/>
              </w:rPr>
            </w:pPr>
            <w:r w:rsidRPr="003246C8">
              <w:rPr>
                <w:strike/>
                <w:sz w:val="18"/>
                <w:szCs w:val="18"/>
                <w:lang w:val="pt-BR"/>
              </w:rPr>
              <w:t>1000</w:t>
            </w:r>
            <w:r w:rsidRPr="003246C8">
              <w:rPr>
                <w:b/>
                <w:sz w:val="18"/>
                <w:szCs w:val="18"/>
                <w:lang w:val="pt-BR"/>
              </w:rPr>
              <w:t>1200</w:t>
            </w:r>
          </w:p>
        </w:tc>
        <w:tc>
          <w:tcPr>
            <w:tcW w:w="2553" w:type="dxa"/>
            <w:tcBorders>
              <w:top w:val="single" w:sz="12" w:space="0" w:color="auto"/>
            </w:tcBorders>
            <w:vAlign w:val="bottom"/>
          </w:tcPr>
          <w:p w:rsidR="009F5012" w:rsidRPr="003246C8" w:rsidRDefault="009F5012" w:rsidP="000C632D">
            <w:pPr>
              <w:spacing w:before="40" w:after="40" w:line="220" w:lineRule="exact"/>
              <w:ind w:left="113" w:right="113"/>
              <w:jc w:val="right"/>
              <w:rPr>
                <w:bCs/>
                <w:strike/>
                <w:sz w:val="18"/>
                <w:szCs w:val="18"/>
                <w:lang w:val="pt-BR"/>
              </w:rPr>
            </w:pPr>
            <w:r w:rsidRPr="003246C8">
              <w:rPr>
                <w:bCs/>
                <w:strike/>
                <w:sz w:val="18"/>
                <w:szCs w:val="18"/>
                <w:lang w:val="pt-BR"/>
              </w:rPr>
              <w:t>500</w:t>
            </w:r>
            <w:r w:rsidRPr="003246C8">
              <w:rPr>
                <w:b/>
                <w:bCs/>
                <w:sz w:val="18"/>
                <w:szCs w:val="18"/>
                <w:lang w:val="pt-BR"/>
              </w:rPr>
              <w:t>600</w:t>
            </w:r>
          </w:p>
        </w:tc>
      </w:tr>
      <w:tr w:rsidR="009F5012" w:rsidRPr="00846D29" w:rsidTr="000C632D">
        <w:tc>
          <w:tcPr>
            <w:tcW w:w="1559" w:type="dxa"/>
          </w:tcPr>
          <w:p w:rsidR="009F5012" w:rsidRPr="00590860" w:rsidRDefault="009F5012" w:rsidP="000C632D">
            <w:pPr>
              <w:spacing w:before="40" w:after="40" w:line="220" w:lineRule="exact"/>
              <w:ind w:left="113" w:right="113"/>
              <w:rPr>
                <w:bCs/>
                <w:sz w:val="18"/>
                <w:szCs w:val="18"/>
                <w:lang w:val="pt-BR"/>
              </w:rPr>
            </w:pPr>
            <w:r w:rsidRPr="00590860">
              <w:rPr>
                <w:bCs/>
                <w:sz w:val="18"/>
                <w:szCs w:val="18"/>
                <w:lang w:val="pt-BR"/>
              </w:rPr>
              <w:t>1a</w:t>
            </w:r>
          </w:p>
        </w:tc>
        <w:tc>
          <w:tcPr>
            <w:tcW w:w="1701" w:type="dxa"/>
            <w:vAlign w:val="bottom"/>
          </w:tcPr>
          <w:p w:rsidR="009F5012" w:rsidRPr="00590860" w:rsidRDefault="009F5012" w:rsidP="000C632D">
            <w:pPr>
              <w:spacing w:before="40" w:after="40" w:line="220" w:lineRule="exact"/>
              <w:ind w:left="113" w:right="113"/>
              <w:jc w:val="right"/>
              <w:rPr>
                <w:bCs/>
                <w:sz w:val="18"/>
                <w:szCs w:val="18"/>
                <w:lang w:val="pt-BR"/>
              </w:rPr>
            </w:pPr>
            <w:r w:rsidRPr="00590860">
              <w:rPr>
                <w:bCs/>
                <w:sz w:val="18"/>
                <w:szCs w:val="18"/>
                <w:lang w:val="pt-BR"/>
              </w:rPr>
              <w:t>250</w:t>
            </w:r>
          </w:p>
        </w:tc>
        <w:tc>
          <w:tcPr>
            <w:tcW w:w="1560" w:type="dxa"/>
            <w:vAlign w:val="bottom"/>
          </w:tcPr>
          <w:p w:rsidR="009F5012" w:rsidRPr="00590860" w:rsidRDefault="009F5012" w:rsidP="000C632D">
            <w:pPr>
              <w:spacing w:before="40" w:after="40" w:line="220" w:lineRule="exact"/>
              <w:ind w:left="113" w:right="113"/>
              <w:jc w:val="right"/>
              <w:rPr>
                <w:sz w:val="18"/>
                <w:szCs w:val="18"/>
                <w:lang w:val="pt-BR"/>
              </w:rPr>
            </w:pPr>
            <w:r w:rsidRPr="00590860">
              <w:rPr>
                <w:sz w:val="18"/>
                <w:szCs w:val="18"/>
                <w:lang w:val="pt-BR"/>
              </w:rPr>
              <w:t>1200</w:t>
            </w:r>
          </w:p>
        </w:tc>
        <w:tc>
          <w:tcPr>
            <w:tcW w:w="2553" w:type="dxa"/>
            <w:vAlign w:val="bottom"/>
          </w:tcPr>
          <w:p w:rsidR="009F5012" w:rsidRPr="00590860" w:rsidRDefault="009F5012" w:rsidP="000C632D">
            <w:pPr>
              <w:spacing w:before="40" w:after="40" w:line="220" w:lineRule="exact"/>
              <w:ind w:left="113" w:right="113"/>
              <w:jc w:val="right"/>
              <w:rPr>
                <w:bCs/>
                <w:sz w:val="18"/>
                <w:szCs w:val="18"/>
                <w:lang w:val="pt-BR"/>
              </w:rPr>
            </w:pPr>
            <w:r w:rsidRPr="00590860">
              <w:rPr>
                <w:bCs/>
                <w:sz w:val="18"/>
                <w:szCs w:val="18"/>
                <w:lang w:val="pt-BR"/>
              </w:rPr>
              <w:t>600</w:t>
            </w:r>
          </w:p>
        </w:tc>
      </w:tr>
      <w:tr w:rsidR="009F5012" w:rsidRPr="00846D29" w:rsidTr="000C632D">
        <w:tc>
          <w:tcPr>
            <w:tcW w:w="1559" w:type="dxa"/>
          </w:tcPr>
          <w:p w:rsidR="009F5012" w:rsidRPr="00590860" w:rsidRDefault="009F5012" w:rsidP="000C632D">
            <w:pPr>
              <w:spacing w:before="40" w:after="40" w:line="220" w:lineRule="exact"/>
              <w:ind w:left="113" w:right="113"/>
              <w:rPr>
                <w:bCs/>
                <w:sz w:val="18"/>
                <w:szCs w:val="18"/>
                <w:lang w:val="pt-BR"/>
              </w:rPr>
            </w:pPr>
            <w:r w:rsidRPr="00590860">
              <w:rPr>
                <w:bCs/>
                <w:sz w:val="18"/>
                <w:szCs w:val="18"/>
                <w:lang w:val="pt-BR"/>
              </w:rPr>
              <w:t>1b</w:t>
            </w:r>
          </w:p>
        </w:tc>
        <w:tc>
          <w:tcPr>
            <w:tcW w:w="1701" w:type="dxa"/>
            <w:vAlign w:val="bottom"/>
          </w:tcPr>
          <w:p w:rsidR="009F5012" w:rsidRPr="00590860" w:rsidRDefault="009F5012" w:rsidP="000C632D">
            <w:pPr>
              <w:spacing w:before="40" w:after="40" w:line="220" w:lineRule="exact"/>
              <w:ind w:left="113" w:right="113"/>
              <w:jc w:val="right"/>
              <w:rPr>
                <w:bCs/>
                <w:sz w:val="18"/>
                <w:szCs w:val="18"/>
                <w:lang w:val="pt-BR"/>
              </w:rPr>
            </w:pPr>
            <w:r w:rsidRPr="00590860">
              <w:rPr>
                <w:bCs/>
                <w:sz w:val="18"/>
                <w:szCs w:val="18"/>
                <w:lang w:val="pt-BR"/>
              </w:rPr>
              <w:t>400</w:t>
            </w:r>
          </w:p>
        </w:tc>
        <w:tc>
          <w:tcPr>
            <w:tcW w:w="1560" w:type="dxa"/>
            <w:vAlign w:val="bottom"/>
          </w:tcPr>
          <w:p w:rsidR="009F5012" w:rsidRPr="00590860" w:rsidRDefault="009F5012" w:rsidP="000C632D">
            <w:pPr>
              <w:spacing w:before="40" w:after="40" w:line="220" w:lineRule="exact"/>
              <w:ind w:left="113" w:right="113"/>
              <w:jc w:val="right"/>
              <w:rPr>
                <w:sz w:val="18"/>
                <w:szCs w:val="18"/>
                <w:lang w:val="pt-BR"/>
              </w:rPr>
            </w:pPr>
            <w:r w:rsidRPr="00590860">
              <w:rPr>
                <w:sz w:val="18"/>
                <w:szCs w:val="18"/>
                <w:lang w:val="pt-BR"/>
              </w:rPr>
              <w:t>1200</w:t>
            </w:r>
          </w:p>
        </w:tc>
        <w:tc>
          <w:tcPr>
            <w:tcW w:w="2553" w:type="dxa"/>
            <w:vAlign w:val="bottom"/>
          </w:tcPr>
          <w:p w:rsidR="009F5012" w:rsidRPr="00590860" w:rsidRDefault="009F5012" w:rsidP="000C632D">
            <w:pPr>
              <w:spacing w:before="40" w:after="40" w:line="220" w:lineRule="exact"/>
              <w:ind w:left="113" w:right="113"/>
              <w:jc w:val="right"/>
              <w:rPr>
                <w:bCs/>
                <w:sz w:val="18"/>
                <w:szCs w:val="18"/>
                <w:lang w:val="pt-BR"/>
              </w:rPr>
            </w:pPr>
            <w:r w:rsidRPr="00590860">
              <w:rPr>
                <w:bCs/>
                <w:sz w:val="18"/>
                <w:szCs w:val="18"/>
                <w:lang w:val="pt-BR"/>
              </w:rPr>
              <w:t>600</w:t>
            </w:r>
          </w:p>
        </w:tc>
      </w:tr>
      <w:tr w:rsidR="009F5012" w:rsidRPr="00846D29" w:rsidTr="000C632D">
        <w:tc>
          <w:tcPr>
            <w:tcW w:w="1559" w:type="dxa"/>
          </w:tcPr>
          <w:p w:rsidR="009F5012" w:rsidRPr="00590860" w:rsidRDefault="009F5012" w:rsidP="000C632D">
            <w:pPr>
              <w:spacing w:before="40" w:after="40" w:line="220" w:lineRule="exact"/>
              <w:ind w:left="113" w:right="113"/>
              <w:rPr>
                <w:bCs/>
                <w:sz w:val="18"/>
                <w:szCs w:val="18"/>
                <w:lang w:val="pt-BR"/>
              </w:rPr>
            </w:pPr>
            <w:r w:rsidRPr="00590860">
              <w:rPr>
                <w:bCs/>
                <w:sz w:val="18"/>
                <w:szCs w:val="18"/>
                <w:lang w:val="pt-BR"/>
              </w:rPr>
              <w:t>2a (steady)</w:t>
            </w:r>
          </w:p>
        </w:tc>
        <w:tc>
          <w:tcPr>
            <w:tcW w:w="1701" w:type="dxa"/>
            <w:vAlign w:val="bottom"/>
          </w:tcPr>
          <w:p w:rsidR="009F5012" w:rsidRPr="00590860" w:rsidRDefault="009F5012" w:rsidP="000C632D">
            <w:pPr>
              <w:spacing w:before="40" w:after="40" w:line="220" w:lineRule="exact"/>
              <w:ind w:left="113" w:right="113"/>
              <w:jc w:val="right"/>
              <w:rPr>
                <w:bCs/>
                <w:sz w:val="18"/>
                <w:szCs w:val="18"/>
              </w:rPr>
            </w:pPr>
            <w:r w:rsidRPr="00590860">
              <w:rPr>
                <w:bCs/>
                <w:sz w:val="18"/>
                <w:szCs w:val="18"/>
              </w:rPr>
              <w:t>50</w:t>
            </w:r>
          </w:p>
        </w:tc>
        <w:tc>
          <w:tcPr>
            <w:tcW w:w="1560" w:type="dxa"/>
            <w:vAlign w:val="bottom"/>
          </w:tcPr>
          <w:p w:rsidR="009F5012" w:rsidRPr="00590860" w:rsidRDefault="009F5012" w:rsidP="000C632D">
            <w:pPr>
              <w:spacing w:before="40" w:after="40" w:line="220" w:lineRule="exact"/>
              <w:ind w:left="113" w:right="113"/>
              <w:jc w:val="right"/>
              <w:rPr>
                <w:sz w:val="18"/>
                <w:szCs w:val="18"/>
              </w:rPr>
            </w:pPr>
            <w:r w:rsidRPr="00590860">
              <w:rPr>
                <w:sz w:val="18"/>
                <w:szCs w:val="18"/>
              </w:rPr>
              <w:t>500</w:t>
            </w:r>
          </w:p>
        </w:tc>
        <w:tc>
          <w:tcPr>
            <w:tcW w:w="2553" w:type="dxa"/>
            <w:vAlign w:val="bottom"/>
          </w:tcPr>
          <w:p w:rsidR="009F5012" w:rsidRPr="00590860" w:rsidRDefault="009F5012" w:rsidP="000C632D">
            <w:pPr>
              <w:spacing w:before="40" w:after="40" w:line="220" w:lineRule="exact"/>
              <w:ind w:left="113" w:right="113"/>
              <w:jc w:val="right"/>
              <w:rPr>
                <w:bCs/>
                <w:sz w:val="18"/>
                <w:szCs w:val="18"/>
              </w:rPr>
            </w:pPr>
            <w:r w:rsidRPr="00590860">
              <w:rPr>
                <w:bCs/>
                <w:sz w:val="18"/>
                <w:szCs w:val="18"/>
              </w:rPr>
              <w:t>250</w:t>
            </w:r>
          </w:p>
        </w:tc>
      </w:tr>
      <w:tr w:rsidR="009F5012" w:rsidRPr="00846D29" w:rsidTr="000C632D">
        <w:tc>
          <w:tcPr>
            <w:tcW w:w="1559" w:type="dxa"/>
          </w:tcPr>
          <w:p w:rsidR="009F5012" w:rsidRPr="00590860" w:rsidRDefault="009F5012" w:rsidP="000C632D">
            <w:pPr>
              <w:spacing w:before="40" w:after="40" w:line="220" w:lineRule="exact"/>
              <w:ind w:left="113" w:right="113"/>
              <w:rPr>
                <w:bCs/>
                <w:sz w:val="18"/>
                <w:szCs w:val="18"/>
                <w:lang w:val="pt-BR"/>
              </w:rPr>
            </w:pPr>
            <w:r w:rsidRPr="00590860">
              <w:rPr>
                <w:bCs/>
                <w:sz w:val="18"/>
                <w:szCs w:val="18"/>
                <w:lang w:val="pt-BR"/>
              </w:rPr>
              <w:t>2b (variable)</w:t>
            </w:r>
          </w:p>
        </w:tc>
        <w:tc>
          <w:tcPr>
            <w:tcW w:w="1701" w:type="dxa"/>
            <w:vAlign w:val="bottom"/>
          </w:tcPr>
          <w:p w:rsidR="009F5012" w:rsidRPr="00590860" w:rsidRDefault="009F5012" w:rsidP="000C632D">
            <w:pPr>
              <w:spacing w:before="40" w:after="40" w:line="220" w:lineRule="exact"/>
              <w:ind w:left="113" w:right="113"/>
              <w:jc w:val="right"/>
              <w:rPr>
                <w:bCs/>
                <w:sz w:val="18"/>
                <w:szCs w:val="18"/>
              </w:rPr>
            </w:pPr>
            <w:r w:rsidRPr="00590860">
              <w:rPr>
                <w:bCs/>
                <w:sz w:val="18"/>
                <w:szCs w:val="18"/>
                <w:lang w:val="pt-BR"/>
              </w:rPr>
              <w:t>50</w:t>
            </w:r>
          </w:p>
        </w:tc>
        <w:tc>
          <w:tcPr>
            <w:tcW w:w="1560" w:type="dxa"/>
            <w:vAlign w:val="bottom"/>
          </w:tcPr>
          <w:p w:rsidR="009F5012" w:rsidRPr="00590860" w:rsidRDefault="009F5012" w:rsidP="000C632D">
            <w:pPr>
              <w:spacing w:before="40" w:after="40" w:line="220" w:lineRule="exact"/>
              <w:ind w:left="113" w:right="113"/>
              <w:jc w:val="right"/>
              <w:rPr>
                <w:sz w:val="18"/>
                <w:szCs w:val="18"/>
              </w:rPr>
            </w:pPr>
            <w:r w:rsidRPr="00590860">
              <w:rPr>
                <w:bCs/>
                <w:sz w:val="18"/>
                <w:szCs w:val="18"/>
                <w:lang w:val="pt-BR"/>
              </w:rPr>
              <w:t>1000</w:t>
            </w:r>
          </w:p>
        </w:tc>
        <w:tc>
          <w:tcPr>
            <w:tcW w:w="2553" w:type="dxa"/>
            <w:vAlign w:val="bottom"/>
          </w:tcPr>
          <w:p w:rsidR="009F5012" w:rsidRPr="00590860" w:rsidRDefault="009F5012" w:rsidP="000C632D">
            <w:pPr>
              <w:spacing w:before="40" w:after="40" w:line="220" w:lineRule="exact"/>
              <w:ind w:left="113" w:right="113"/>
              <w:jc w:val="right"/>
              <w:rPr>
                <w:bCs/>
                <w:sz w:val="18"/>
                <w:szCs w:val="18"/>
              </w:rPr>
            </w:pPr>
            <w:r w:rsidRPr="00590860">
              <w:rPr>
                <w:bCs/>
                <w:sz w:val="18"/>
                <w:szCs w:val="18"/>
                <w:lang w:val="pt-BR"/>
              </w:rPr>
              <w:t>500</w:t>
            </w:r>
          </w:p>
        </w:tc>
      </w:tr>
      <w:tr w:rsidR="009F5012" w:rsidRPr="00846D29" w:rsidTr="000C632D">
        <w:tc>
          <w:tcPr>
            <w:tcW w:w="1559" w:type="dxa"/>
            <w:tcBorders>
              <w:bottom w:val="single" w:sz="2" w:space="0" w:color="auto"/>
            </w:tcBorders>
          </w:tcPr>
          <w:p w:rsidR="009F5012" w:rsidRPr="00590860" w:rsidRDefault="009F5012" w:rsidP="000C632D">
            <w:pPr>
              <w:spacing w:before="40" w:after="40" w:line="220" w:lineRule="exact"/>
              <w:ind w:left="113" w:right="113"/>
              <w:rPr>
                <w:bCs/>
                <w:sz w:val="18"/>
                <w:szCs w:val="18"/>
              </w:rPr>
            </w:pPr>
            <w:r w:rsidRPr="00590860">
              <w:rPr>
                <w:bCs/>
                <w:sz w:val="18"/>
                <w:szCs w:val="18"/>
              </w:rPr>
              <w:t>5</w:t>
            </w:r>
          </w:p>
        </w:tc>
        <w:tc>
          <w:tcPr>
            <w:tcW w:w="1701" w:type="dxa"/>
            <w:tcBorders>
              <w:bottom w:val="single" w:sz="2" w:space="0" w:color="auto"/>
            </w:tcBorders>
            <w:vAlign w:val="bottom"/>
          </w:tcPr>
          <w:p w:rsidR="009F5012" w:rsidRPr="00590860" w:rsidRDefault="009F5012" w:rsidP="000C632D">
            <w:pPr>
              <w:spacing w:before="40" w:after="40" w:line="220" w:lineRule="exact"/>
              <w:ind w:left="113" w:right="113"/>
              <w:jc w:val="right"/>
              <w:rPr>
                <w:bCs/>
                <w:sz w:val="18"/>
                <w:szCs w:val="18"/>
              </w:rPr>
            </w:pPr>
            <w:r w:rsidRPr="00590860">
              <w:rPr>
                <w:bCs/>
                <w:sz w:val="18"/>
                <w:szCs w:val="18"/>
              </w:rPr>
              <w:t>0.6</w:t>
            </w:r>
          </w:p>
        </w:tc>
        <w:tc>
          <w:tcPr>
            <w:tcW w:w="1560" w:type="dxa"/>
            <w:tcBorders>
              <w:bottom w:val="single" w:sz="2" w:space="0" w:color="auto"/>
            </w:tcBorders>
            <w:vAlign w:val="bottom"/>
          </w:tcPr>
          <w:p w:rsidR="009F5012" w:rsidRPr="00590860" w:rsidRDefault="009F5012" w:rsidP="000C632D">
            <w:pPr>
              <w:spacing w:before="40" w:after="40" w:line="220" w:lineRule="exact"/>
              <w:ind w:left="113" w:right="113"/>
              <w:jc w:val="right"/>
              <w:rPr>
                <w:sz w:val="18"/>
                <w:szCs w:val="18"/>
              </w:rPr>
            </w:pPr>
            <w:r w:rsidRPr="00590860">
              <w:rPr>
                <w:sz w:val="18"/>
                <w:szCs w:val="18"/>
              </w:rPr>
              <w:t>280</w:t>
            </w:r>
          </w:p>
        </w:tc>
        <w:tc>
          <w:tcPr>
            <w:tcW w:w="2553" w:type="dxa"/>
            <w:tcBorders>
              <w:bottom w:val="single" w:sz="2" w:space="0" w:color="auto"/>
            </w:tcBorders>
            <w:vAlign w:val="bottom"/>
          </w:tcPr>
          <w:p w:rsidR="009F5012" w:rsidRPr="00590860" w:rsidRDefault="009F5012" w:rsidP="000C632D">
            <w:pPr>
              <w:spacing w:before="40" w:after="40" w:line="220" w:lineRule="exact"/>
              <w:ind w:left="113" w:right="113"/>
              <w:jc w:val="right"/>
              <w:rPr>
                <w:bCs/>
                <w:sz w:val="18"/>
                <w:szCs w:val="18"/>
              </w:rPr>
            </w:pPr>
            <w:r w:rsidRPr="00590860">
              <w:rPr>
                <w:bCs/>
                <w:sz w:val="18"/>
                <w:szCs w:val="18"/>
              </w:rPr>
              <w:t>140</w:t>
            </w:r>
          </w:p>
        </w:tc>
      </w:tr>
      <w:tr w:rsidR="009F5012" w:rsidRPr="00846D29" w:rsidTr="000C632D">
        <w:tc>
          <w:tcPr>
            <w:tcW w:w="1559" w:type="dxa"/>
            <w:tcBorders>
              <w:bottom w:val="single" w:sz="12" w:space="0" w:color="auto"/>
            </w:tcBorders>
          </w:tcPr>
          <w:p w:rsidR="009F5012" w:rsidRPr="00590860" w:rsidRDefault="009F5012" w:rsidP="000C632D">
            <w:pPr>
              <w:spacing w:before="40" w:after="40" w:line="220" w:lineRule="exact"/>
              <w:ind w:left="113" w:right="113"/>
              <w:rPr>
                <w:bCs/>
                <w:sz w:val="18"/>
                <w:szCs w:val="18"/>
              </w:rPr>
            </w:pPr>
            <w:r w:rsidRPr="00590860">
              <w:rPr>
                <w:bCs/>
                <w:sz w:val="18"/>
                <w:szCs w:val="18"/>
              </w:rPr>
              <w:t>6</w:t>
            </w:r>
          </w:p>
        </w:tc>
        <w:tc>
          <w:tcPr>
            <w:tcW w:w="1701" w:type="dxa"/>
            <w:tcBorders>
              <w:bottom w:val="single" w:sz="12" w:space="0" w:color="auto"/>
            </w:tcBorders>
            <w:vAlign w:val="bottom"/>
          </w:tcPr>
          <w:p w:rsidR="009F5012" w:rsidRPr="00590860" w:rsidRDefault="009F5012" w:rsidP="000C632D">
            <w:pPr>
              <w:spacing w:before="40" w:after="40" w:line="220" w:lineRule="exact"/>
              <w:ind w:left="113" w:right="113"/>
              <w:jc w:val="right"/>
              <w:rPr>
                <w:bCs/>
                <w:sz w:val="18"/>
                <w:szCs w:val="18"/>
              </w:rPr>
            </w:pPr>
            <w:r w:rsidRPr="00590860">
              <w:rPr>
                <w:bCs/>
                <w:sz w:val="18"/>
                <w:szCs w:val="18"/>
              </w:rPr>
              <w:t>50</w:t>
            </w:r>
          </w:p>
        </w:tc>
        <w:tc>
          <w:tcPr>
            <w:tcW w:w="1560" w:type="dxa"/>
            <w:tcBorders>
              <w:bottom w:val="single" w:sz="12" w:space="0" w:color="auto"/>
            </w:tcBorders>
            <w:vAlign w:val="bottom"/>
          </w:tcPr>
          <w:p w:rsidR="009F5012" w:rsidRPr="00590860" w:rsidRDefault="009F5012" w:rsidP="000C632D">
            <w:pPr>
              <w:spacing w:before="40" w:after="40" w:line="220" w:lineRule="exact"/>
              <w:ind w:left="113" w:right="113"/>
              <w:jc w:val="right"/>
              <w:rPr>
                <w:sz w:val="18"/>
                <w:szCs w:val="18"/>
              </w:rPr>
            </w:pPr>
            <w:r w:rsidRPr="00590860">
              <w:rPr>
                <w:sz w:val="18"/>
                <w:szCs w:val="18"/>
              </w:rPr>
              <w:t>280</w:t>
            </w:r>
          </w:p>
        </w:tc>
        <w:tc>
          <w:tcPr>
            <w:tcW w:w="2553" w:type="dxa"/>
            <w:tcBorders>
              <w:bottom w:val="single" w:sz="12" w:space="0" w:color="auto"/>
            </w:tcBorders>
            <w:vAlign w:val="bottom"/>
          </w:tcPr>
          <w:p w:rsidR="009F5012" w:rsidRPr="00590860" w:rsidRDefault="009F5012" w:rsidP="000C632D">
            <w:pPr>
              <w:spacing w:before="40" w:after="40" w:line="220" w:lineRule="exact"/>
              <w:ind w:left="113" w:right="113"/>
              <w:jc w:val="right"/>
              <w:rPr>
                <w:bCs/>
                <w:sz w:val="18"/>
                <w:szCs w:val="18"/>
              </w:rPr>
            </w:pPr>
            <w:r w:rsidRPr="00590860">
              <w:rPr>
                <w:bCs/>
                <w:sz w:val="18"/>
                <w:szCs w:val="18"/>
              </w:rPr>
              <w:t>140</w:t>
            </w:r>
          </w:p>
        </w:tc>
      </w:tr>
    </w:tbl>
    <w:p w:rsidR="009A6EC4" w:rsidRPr="009A6EC4" w:rsidRDefault="009A6EC4" w:rsidP="009F5012">
      <w:pPr>
        <w:spacing w:before="120" w:after="120"/>
        <w:ind w:left="2268" w:right="1469" w:hanging="1134"/>
      </w:pPr>
      <w:r>
        <w:t>"</w:t>
      </w:r>
    </w:p>
    <w:p w:rsidR="009F5012" w:rsidRDefault="009F5012" w:rsidP="009F5012">
      <w:pPr>
        <w:spacing w:before="120" w:after="120"/>
        <w:ind w:left="2268" w:right="1469" w:hanging="1134"/>
      </w:pPr>
      <w:r>
        <w:rPr>
          <w:i/>
        </w:rPr>
        <w:t>Annex 1</w:t>
      </w:r>
      <w:r w:rsidRPr="004D1FAA">
        <w:rPr>
          <w:i/>
        </w:rPr>
        <w:t>,</w:t>
      </w:r>
      <w:r w:rsidRPr="004D1FAA">
        <w:t xml:space="preserve"> amend to read:</w:t>
      </w:r>
    </w:p>
    <w:p w:rsidR="009F5012" w:rsidRPr="00C71096" w:rsidRDefault="009F5012" w:rsidP="009F5012">
      <w:pPr>
        <w:pStyle w:val="HChG"/>
        <w:spacing w:before="0"/>
        <w:rPr>
          <w:b w:val="0"/>
          <w:sz w:val="20"/>
        </w:rPr>
      </w:pPr>
      <w:r>
        <w:tab/>
      </w:r>
      <w:r>
        <w:tab/>
      </w:r>
      <w:r w:rsidRPr="00C71096">
        <w:rPr>
          <w:b w:val="0"/>
          <w:sz w:val="20"/>
        </w:rPr>
        <w:t>“Categories of direction indicators:</w:t>
      </w:r>
      <w:r w:rsidR="00C71096">
        <w:rPr>
          <w:b w:val="0"/>
          <w:sz w:val="20"/>
        </w:rPr>
        <w:t xml:space="preserve"> </w:t>
      </w:r>
      <w:r w:rsidRPr="00C71096">
        <w:rPr>
          <w:b w:val="0"/>
          <w:sz w:val="20"/>
        </w:rPr>
        <w:t>Minimum angles required for light distribution in space of these Categories of direction indicators</w:t>
      </w:r>
      <w:r w:rsidRPr="00C71096">
        <w:rPr>
          <w:b w:val="0"/>
          <w:sz w:val="20"/>
          <w:vertAlign w:val="superscript"/>
        </w:rPr>
        <w:t>1</w:t>
      </w:r>
    </w:p>
    <w:p w:rsidR="009F5012" w:rsidRPr="006A0529" w:rsidRDefault="009F5012" w:rsidP="009F5012">
      <w:pPr>
        <w:pStyle w:val="para"/>
        <w:ind w:left="1134" w:firstLine="0"/>
      </w:pPr>
      <w:r w:rsidRPr="006A0529">
        <w:t>In all cases, the minimum vertical angles of light distribution in space of direction indicator lamps are 15° above and 15° below the horizontal except:</w:t>
      </w:r>
    </w:p>
    <w:p w:rsidR="009F5012" w:rsidRPr="006A0529" w:rsidRDefault="009F5012" w:rsidP="009F5012">
      <w:pPr>
        <w:pStyle w:val="para"/>
        <w:ind w:left="1701" w:hanging="567"/>
      </w:pPr>
      <w:r w:rsidRPr="006A0529">
        <w:t>(a)</w:t>
      </w:r>
      <w:r w:rsidRPr="006A0529">
        <w:tab/>
        <w:t xml:space="preserve">Direction indicator lamps </w:t>
      </w:r>
      <w:r w:rsidRPr="006A0529">
        <w:rPr>
          <w:lang w:val="en-US"/>
        </w:rPr>
        <w:t xml:space="preserve">intended to be installed with </w:t>
      </w:r>
      <w:r w:rsidRPr="006A0529">
        <w:rPr>
          <w:rFonts w:hint="eastAsia"/>
          <w:lang w:val="en-US"/>
        </w:rPr>
        <w:t xml:space="preserve">the H plane </w:t>
      </w:r>
      <w:r w:rsidRPr="006A0529">
        <w:rPr>
          <w:lang w:val="en-US"/>
        </w:rPr>
        <w:t xml:space="preserve">of the lamp at </w:t>
      </w:r>
      <w:r w:rsidRPr="006A0529">
        <w:t>a mounting height of less than 750 mm above the ground, for which they are 15° above and 5° below the horizontal;</w:t>
      </w:r>
    </w:p>
    <w:p w:rsidR="009F5012" w:rsidRDefault="009F5012" w:rsidP="009F5012">
      <w:pPr>
        <w:pStyle w:val="para"/>
        <w:ind w:left="1701" w:hanging="567"/>
      </w:pPr>
      <w:r w:rsidRPr="006A0529">
        <w:t>(b)</w:t>
      </w:r>
      <w:r w:rsidRPr="006A0529">
        <w:tab/>
        <w:t xml:space="preserve">Optional direction indicator lamps </w:t>
      </w:r>
      <w:r w:rsidRPr="006A0529">
        <w:rPr>
          <w:lang w:val="en-US"/>
        </w:rPr>
        <w:t xml:space="preserve">intended to be installed with the </w:t>
      </w:r>
      <w:r w:rsidRPr="006A0529">
        <w:rPr>
          <w:rFonts w:hint="eastAsia"/>
          <w:lang w:val="en-US"/>
        </w:rPr>
        <w:t>H plane</w:t>
      </w:r>
      <w:r w:rsidRPr="006A0529">
        <w:rPr>
          <w:lang w:val="en-US"/>
        </w:rPr>
        <w:t xml:space="preserve"> of the lamp at </w:t>
      </w:r>
      <w:r w:rsidRPr="006A0529">
        <w:t>a mounting height of more than 2100 mm above the ground, for which they are 5° above and 15° below the horizontal;</w:t>
      </w:r>
    </w:p>
    <w:p w:rsidR="009F5012" w:rsidRPr="005256AF" w:rsidRDefault="009F5012" w:rsidP="009F5012">
      <w:pPr>
        <w:pStyle w:val="a0"/>
        <w:ind w:left="1701"/>
        <w:rPr>
          <w:lang w:val="en-US"/>
        </w:rPr>
      </w:pPr>
      <w:r w:rsidRPr="005256AF">
        <w:rPr>
          <w:lang w:val="en-US"/>
        </w:rPr>
        <w:t>(</w:t>
      </w:r>
      <w:r>
        <w:rPr>
          <w:lang w:val="en-US"/>
        </w:rPr>
        <w:t>c</w:t>
      </w:r>
      <w:r w:rsidRPr="005256AF">
        <w:rPr>
          <w:lang w:val="en-US"/>
        </w:rPr>
        <w:t>)</w:t>
      </w:r>
      <w:r w:rsidRPr="005256AF">
        <w:rPr>
          <w:lang w:val="en-US"/>
        </w:rPr>
        <w:tab/>
        <w:t>Direction indicator lamps of Category 6, for which they are 30° above and 5° below the horizontal.</w:t>
      </w:r>
    </w:p>
    <w:p w:rsidR="009F5012" w:rsidRPr="005256AF" w:rsidRDefault="009F5012" w:rsidP="009F5012">
      <w:pPr>
        <w:pStyle w:val="para"/>
        <w:rPr>
          <w:lang w:val="en-US"/>
        </w:rPr>
      </w:pPr>
      <w:r w:rsidRPr="005256AF">
        <w:rPr>
          <w:lang w:val="en-US"/>
        </w:rPr>
        <w:t>Minimum horizontal visibility angles</w:t>
      </w:r>
    </w:p>
    <w:p w:rsidR="009F5012" w:rsidRPr="00B80636" w:rsidRDefault="009F5012" w:rsidP="00C71096">
      <w:pPr>
        <w:pStyle w:val="para"/>
        <w:ind w:left="1134" w:firstLine="0"/>
        <w:rPr>
          <w:b/>
          <w:lang w:val="en-US"/>
        </w:rPr>
      </w:pPr>
      <w:r w:rsidRPr="00B80636">
        <w:rPr>
          <w:strike/>
          <w:lang w:val="en-US"/>
        </w:rPr>
        <w:t>Direction indicators for the front of the vehicle</w:t>
      </w:r>
      <w:r>
        <w:rPr>
          <w:strike/>
          <w:lang w:val="en-US"/>
        </w:rPr>
        <w:t xml:space="preserve"> </w:t>
      </w:r>
      <w:r w:rsidRPr="00B80636">
        <w:rPr>
          <w:b/>
          <w:lang w:val="en-US"/>
        </w:rPr>
        <w:t>Front direction indicator lamps of Categor</w:t>
      </w:r>
      <w:r w:rsidR="00C71096">
        <w:rPr>
          <w:b/>
          <w:lang w:val="en-US"/>
        </w:rPr>
        <w:t xml:space="preserve">ies </w:t>
      </w:r>
      <w:r w:rsidRPr="00B80636">
        <w:rPr>
          <w:b/>
          <w:lang w:val="en-US"/>
        </w:rPr>
        <w:t xml:space="preserve">1, 1a or 1b shall be installed on the vehicle in conformity </w:t>
      </w:r>
      <w:r w:rsidR="00C71096">
        <w:rPr>
          <w:b/>
          <w:lang w:val="en-US"/>
        </w:rPr>
        <w:t xml:space="preserve">with </w:t>
      </w:r>
      <w:r w:rsidRPr="00B80636">
        <w:rPr>
          <w:b/>
          <w:lang w:val="en-US"/>
        </w:rPr>
        <w:t xml:space="preserve">the requirements of paragraph 6.5.3. of Regulation </w:t>
      </w:r>
      <w:r w:rsidR="003D723C">
        <w:rPr>
          <w:b/>
          <w:lang w:val="en-US"/>
        </w:rPr>
        <w:t xml:space="preserve">No. </w:t>
      </w:r>
      <w:r w:rsidRPr="00B80636">
        <w:rPr>
          <w:b/>
          <w:lang w:val="en-US"/>
        </w:rPr>
        <w:t>48.</w:t>
      </w:r>
    </w:p>
    <w:p w:rsidR="009F5012" w:rsidRPr="00B80636" w:rsidRDefault="009F5012" w:rsidP="009F5012">
      <w:pPr>
        <w:pStyle w:val="SingleTxtG"/>
        <w:tabs>
          <w:tab w:val="left" w:pos="2835"/>
        </w:tabs>
        <w:rPr>
          <w:strike/>
          <w:lang w:val="en-US"/>
        </w:rPr>
      </w:pPr>
      <w:r w:rsidRPr="00B80636">
        <w:rPr>
          <w:i/>
          <w:strike/>
          <w:lang w:val="en-US"/>
        </w:rPr>
        <w:t>Category 1</w:t>
      </w:r>
      <w:r w:rsidRPr="00B80636">
        <w:rPr>
          <w:strike/>
          <w:lang w:val="en-US"/>
        </w:rPr>
        <w:t>:</w:t>
      </w:r>
      <w:r w:rsidRPr="00C71096">
        <w:rPr>
          <w:lang w:val="en-US"/>
        </w:rPr>
        <w:t xml:space="preserve"> </w:t>
      </w:r>
      <w:r w:rsidRPr="00C71096">
        <w:rPr>
          <w:lang w:val="en-US"/>
        </w:rPr>
        <w:tab/>
      </w:r>
      <w:r w:rsidRPr="00B80636">
        <w:rPr>
          <w:strike/>
          <w:lang w:val="en-US"/>
        </w:rPr>
        <w:t xml:space="preserve">For use at a distance not less than 40 mm from the </w:t>
      </w:r>
      <w:r w:rsidRPr="00B80636">
        <w:rPr>
          <w:strike/>
        </w:rPr>
        <w:t>dipped</w:t>
      </w:r>
      <w:r w:rsidRPr="00B80636">
        <w:rPr>
          <w:rFonts w:ascii="TimesNewRomanPSMT" w:hAnsi="TimesNewRomanPSMT"/>
          <w:strike/>
        </w:rPr>
        <w:t xml:space="preserve">-beam </w:t>
      </w:r>
      <w:r w:rsidRPr="00C71096">
        <w:rPr>
          <w:rFonts w:ascii="TimesNewRomanPSMT" w:hAnsi="TimesNewRomanPSMT"/>
        </w:rPr>
        <w:tab/>
      </w:r>
      <w:r w:rsidRPr="00B80636">
        <w:rPr>
          <w:rFonts w:ascii="TimesNewRomanPSMT" w:hAnsi="TimesNewRomanPSMT"/>
          <w:strike/>
        </w:rPr>
        <w:t>headlamp and/or the front fog lamp</w:t>
      </w:r>
      <w:r w:rsidRPr="00B80636">
        <w:rPr>
          <w:strike/>
          <w:lang w:val="en-US"/>
        </w:rPr>
        <w:t>;</w:t>
      </w:r>
    </w:p>
    <w:p w:rsidR="009F5012" w:rsidRPr="00B80636" w:rsidRDefault="009F5012" w:rsidP="009F5012">
      <w:pPr>
        <w:pStyle w:val="SingleTxtG"/>
        <w:tabs>
          <w:tab w:val="left" w:pos="2835"/>
        </w:tabs>
        <w:rPr>
          <w:strike/>
          <w:lang w:val="en-US"/>
        </w:rPr>
      </w:pPr>
      <w:r w:rsidRPr="00B80636">
        <w:rPr>
          <w:i/>
          <w:strike/>
          <w:lang w:val="en-US"/>
        </w:rPr>
        <w:t>Category 1a</w:t>
      </w:r>
      <w:r w:rsidRPr="00B80636">
        <w:rPr>
          <w:strike/>
          <w:lang w:val="en-US"/>
        </w:rPr>
        <w:t>:</w:t>
      </w:r>
      <w:r w:rsidRPr="00C71096">
        <w:rPr>
          <w:lang w:val="en-US"/>
        </w:rPr>
        <w:tab/>
      </w:r>
      <w:r w:rsidRPr="00B80636">
        <w:rPr>
          <w:strike/>
          <w:lang w:val="en-US"/>
        </w:rPr>
        <w:t>For use at a distance greater than 20 mm but less than 40 mm from the</w:t>
      </w:r>
      <w:r w:rsidRPr="00B80636">
        <w:rPr>
          <w:strike/>
        </w:rPr>
        <w:t xml:space="preserve"> </w:t>
      </w:r>
      <w:r w:rsidRPr="00C71096">
        <w:tab/>
      </w:r>
      <w:r w:rsidRPr="00B80636">
        <w:rPr>
          <w:strike/>
        </w:rPr>
        <w:t>dipped</w:t>
      </w:r>
      <w:r w:rsidRPr="00B80636">
        <w:rPr>
          <w:rFonts w:ascii="TimesNewRomanPSMT" w:hAnsi="TimesNewRomanPSMT"/>
          <w:strike/>
        </w:rPr>
        <w:noBreakHyphen/>
        <w:t>beam headlamp and/or the front fog lamp</w:t>
      </w:r>
      <w:r w:rsidRPr="00B80636">
        <w:rPr>
          <w:strike/>
          <w:lang w:val="en-US"/>
        </w:rPr>
        <w:t>;</w:t>
      </w:r>
    </w:p>
    <w:p w:rsidR="009F5012" w:rsidRDefault="009F5012" w:rsidP="009A6EC4">
      <w:pPr>
        <w:pStyle w:val="SingleTxtG"/>
        <w:tabs>
          <w:tab w:val="left" w:pos="2835"/>
        </w:tabs>
        <w:spacing w:after="0"/>
        <w:rPr>
          <w:strike/>
        </w:rPr>
      </w:pPr>
      <w:r w:rsidRPr="00B80636">
        <w:rPr>
          <w:i/>
          <w:iCs/>
          <w:strike/>
        </w:rPr>
        <w:lastRenderedPageBreak/>
        <w:t>Category 1b</w:t>
      </w:r>
      <w:r w:rsidRPr="00B80636">
        <w:rPr>
          <w:strike/>
        </w:rPr>
        <w:t>:</w:t>
      </w:r>
      <w:r w:rsidRPr="00C71096">
        <w:t xml:space="preserve"> </w:t>
      </w:r>
      <w:r w:rsidRPr="00C71096">
        <w:tab/>
      </w:r>
      <w:r w:rsidRPr="00B80636">
        <w:rPr>
          <w:strike/>
        </w:rPr>
        <w:tab/>
        <w:t xml:space="preserve">For use at a distance less than </w:t>
      </w:r>
      <w:r w:rsidRPr="00B80636">
        <w:rPr>
          <w:bCs/>
          <w:strike/>
        </w:rPr>
        <w:t xml:space="preserve">or equal to </w:t>
      </w:r>
      <w:r w:rsidRPr="00B80636">
        <w:rPr>
          <w:strike/>
        </w:rPr>
        <w:t>20 mm from the dipped-</w:t>
      </w:r>
      <w:r w:rsidRPr="00C71096">
        <w:tab/>
      </w:r>
      <w:r w:rsidRPr="00B80636">
        <w:rPr>
          <w:strike/>
        </w:rPr>
        <w:t>beam headlamp and/or the front fog lamp.</w:t>
      </w:r>
    </w:p>
    <w:p w:rsidR="007067AC" w:rsidRDefault="009F5012" w:rsidP="00C71096">
      <w:pPr>
        <w:pStyle w:val="SingleTxtG"/>
        <w:tabs>
          <w:tab w:val="left" w:pos="2835"/>
        </w:tabs>
        <w:rPr>
          <w:iCs/>
        </w:rPr>
      </w:pPr>
      <w:r w:rsidRPr="00B80636">
        <w:rPr>
          <w:iCs/>
        </w:rPr>
        <w:t>…</w:t>
      </w:r>
      <w:r w:rsidR="00C71096">
        <w:rPr>
          <w:iCs/>
        </w:rPr>
        <w:t xml:space="preserve"> </w:t>
      </w:r>
    </w:p>
    <w:p w:rsidR="009F5012" w:rsidRPr="00F169F7" w:rsidRDefault="009F5012" w:rsidP="00C71096">
      <w:pPr>
        <w:pStyle w:val="SingleTxtG"/>
        <w:tabs>
          <w:tab w:val="left" w:pos="2835"/>
        </w:tabs>
      </w:pPr>
      <w:r w:rsidRPr="00B80636">
        <w:rPr>
          <w:iCs/>
        </w:rPr>
        <w:t>(</w:t>
      </w:r>
      <w:r>
        <w:rPr>
          <w:iCs/>
        </w:rPr>
        <w:t>the remain</w:t>
      </w:r>
      <w:r w:rsidR="00C71096">
        <w:rPr>
          <w:iCs/>
        </w:rPr>
        <w:t xml:space="preserve">ing </w:t>
      </w:r>
      <w:r>
        <w:rPr>
          <w:iCs/>
        </w:rPr>
        <w:t>text is unchanged).”</w:t>
      </w:r>
    </w:p>
    <w:p w:rsidR="00A5414C" w:rsidRPr="00FA7728" w:rsidRDefault="00A5414C" w:rsidP="00A5414C">
      <w:pPr>
        <w:pStyle w:val="HChG"/>
        <w:rPr>
          <w:lang w:val="en-US"/>
        </w:rPr>
      </w:pPr>
      <w:r w:rsidRPr="00FA7728">
        <w:rPr>
          <w:lang w:val="en-US"/>
        </w:rPr>
        <w:tab/>
        <w:t>II.</w:t>
      </w:r>
      <w:r w:rsidRPr="00FA7728">
        <w:rPr>
          <w:lang w:val="en-US"/>
        </w:rPr>
        <w:tab/>
        <w:t>Justification</w:t>
      </w:r>
    </w:p>
    <w:p w:rsidR="009F5012" w:rsidRPr="004E7904" w:rsidRDefault="0002092A" w:rsidP="009F5012">
      <w:pPr>
        <w:spacing w:before="120"/>
        <w:ind w:left="1134" w:right="1134"/>
        <w:jc w:val="both"/>
      </w:pPr>
      <w:r>
        <w:rPr>
          <w:lang w:val="en-US"/>
        </w:rPr>
        <w:t>1.</w:t>
      </w:r>
      <w:r>
        <w:rPr>
          <w:lang w:val="en-US"/>
        </w:rPr>
        <w:tab/>
      </w:r>
      <w:r w:rsidR="009F5012">
        <w:t>Paragraph 6.5.3</w:t>
      </w:r>
      <w:r w:rsidR="00BF43C8">
        <w:t>.</w:t>
      </w:r>
      <w:r w:rsidR="009F5012">
        <w:t xml:space="preserve"> </w:t>
      </w:r>
      <w:r w:rsidR="009F5012" w:rsidRPr="004E7904">
        <w:t>of R</w:t>
      </w:r>
      <w:r w:rsidR="009F5012">
        <w:t>egulation No.</w:t>
      </w:r>
      <w:r w:rsidR="00BF43C8">
        <w:t xml:space="preserve"> </w:t>
      </w:r>
      <w:r w:rsidR="009F5012" w:rsidRPr="004E7904">
        <w:t>48 prescribes t</w:t>
      </w:r>
      <w:r w:rsidR="009F5012">
        <w:t xml:space="preserve">he use </w:t>
      </w:r>
      <w:r w:rsidR="00BF43C8">
        <w:t xml:space="preserve">of </w:t>
      </w:r>
      <w:r w:rsidR="009F5012">
        <w:t>specific categories</w:t>
      </w:r>
      <w:r w:rsidR="009F5012" w:rsidRPr="004E7904">
        <w:t xml:space="preserve"> of </w:t>
      </w:r>
      <w:r w:rsidR="009F5012">
        <w:t>front direction indicator</w:t>
      </w:r>
      <w:r w:rsidR="00BF43C8">
        <w:t>s</w:t>
      </w:r>
      <w:r w:rsidR="009F5012" w:rsidRPr="004E7904">
        <w:t xml:space="preserve"> in relation to </w:t>
      </w:r>
      <w:r w:rsidR="00BF43C8">
        <w:t xml:space="preserve">their </w:t>
      </w:r>
      <w:r w:rsidR="009F5012" w:rsidRPr="004E7904">
        <w:t xml:space="preserve">distance from </w:t>
      </w:r>
      <w:r w:rsidR="009F5012">
        <w:t xml:space="preserve">the </w:t>
      </w:r>
      <w:r w:rsidR="009F5012" w:rsidRPr="004E7904">
        <w:t>dipped beam headlamp or front fog lamp.</w:t>
      </w:r>
      <w:r w:rsidR="009F5012">
        <w:t xml:space="preserve"> </w:t>
      </w:r>
      <w:r w:rsidR="00BF43C8" w:rsidRPr="004E7904">
        <w:t>However,</w:t>
      </w:r>
      <w:r w:rsidR="009F5012" w:rsidRPr="004E7904">
        <w:t xml:space="preserve"> the text is such that categories 1a and 1b are allowed to be used also at any distance greater than the minimum prescribed for each of them.</w:t>
      </w:r>
      <w:r w:rsidR="009F5012">
        <w:t xml:space="preserve"> </w:t>
      </w:r>
      <w:r w:rsidR="009F5012" w:rsidRPr="004E7904">
        <w:t xml:space="preserve">On the </w:t>
      </w:r>
      <w:r w:rsidR="00BF43C8" w:rsidRPr="004E7904">
        <w:t>contrary,</w:t>
      </w:r>
      <w:r w:rsidR="009F5012" w:rsidRPr="004E7904">
        <w:t xml:space="preserve"> the present text of </w:t>
      </w:r>
      <w:r w:rsidR="009F5012">
        <w:t xml:space="preserve">Regulation No. 6, </w:t>
      </w:r>
      <w:r w:rsidR="009F5012" w:rsidRPr="004E7904">
        <w:t>Annex 1 is such that a specific category is allowed to be used only in the specific range of distance prescribed.</w:t>
      </w:r>
    </w:p>
    <w:p w:rsidR="009F5012" w:rsidRPr="004E7904" w:rsidRDefault="009F5012" w:rsidP="009F5012">
      <w:pPr>
        <w:spacing w:before="120"/>
        <w:ind w:left="1134" w:right="1134"/>
        <w:jc w:val="both"/>
      </w:pPr>
      <w:r>
        <w:t>2.</w:t>
      </w:r>
      <w:r>
        <w:tab/>
        <w:t xml:space="preserve">This proposed amendment </w:t>
      </w:r>
      <w:r w:rsidRPr="004E7904">
        <w:t xml:space="preserve">deletes the specific requirements in </w:t>
      </w:r>
      <w:r>
        <w:t>Regulation No. 6</w:t>
      </w:r>
      <w:r w:rsidRPr="004E7904">
        <w:t xml:space="preserve"> </w:t>
      </w:r>
      <w:r>
        <w:t>and introduces</w:t>
      </w:r>
      <w:r w:rsidRPr="004E7904">
        <w:t xml:space="preserve"> a direct reference to </w:t>
      </w:r>
      <w:r>
        <w:t>the</w:t>
      </w:r>
      <w:r w:rsidRPr="004E7904">
        <w:t xml:space="preserve"> requirements</w:t>
      </w:r>
      <w:r>
        <w:t xml:space="preserve"> in </w:t>
      </w:r>
      <w:r w:rsidRPr="004E7904">
        <w:t>R</w:t>
      </w:r>
      <w:r>
        <w:t>egulation No.</w:t>
      </w:r>
      <w:r w:rsidR="00BF43C8">
        <w:t xml:space="preserve"> </w:t>
      </w:r>
      <w:r w:rsidRPr="004E7904">
        <w:t>48.</w:t>
      </w:r>
    </w:p>
    <w:p w:rsidR="009F5012" w:rsidRDefault="009F5012" w:rsidP="009F5012">
      <w:pPr>
        <w:spacing w:before="120"/>
        <w:ind w:left="1134" w:right="1134"/>
        <w:jc w:val="both"/>
        <w:rPr>
          <w:lang w:val="en-US"/>
        </w:rPr>
      </w:pPr>
      <w:r>
        <w:t>3.</w:t>
      </w:r>
      <w:r>
        <w:tab/>
      </w:r>
      <w:r w:rsidRPr="004E7904">
        <w:t>As a consequence of the above</w:t>
      </w:r>
      <w:r>
        <w:t>-mentioned</w:t>
      </w:r>
      <w:r w:rsidRPr="004E7904">
        <w:t xml:space="preserve"> </w:t>
      </w:r>
      <w:r>
        <w:t>amendment</w:t>
      </w:r>
      <w:r w:rsidR="00BF43C8">
        <w:t>,</w:t>
      </w:r>
      <w:r>
        <w:t xml:space="preserve"> </w:t>
      </w:r>
      <w:r w:rsidRPr="004E7904">
        <w:t xml:space="preserve">there is no reason to </w:t>
      </w:r>
      <w:r>
        <w:t xml:space="preserve">require a lower maximum value for the </w:t>
      </w:r>
      <w:r w:rsidRPr="004E7904">
        <w:t xml:space="preserve">Category 1 </w:t>
      </w:r>
      <w:r>
        <w:t>front direction indicator</w:t>
      </w:r>
      <w:r w:rsidRPr="004E7904">
        <w:t xml:space="preserve"> than th</w:t>
      </w:r>
      <w:r>
        <w:t>at of the other categories</w:t>
      </w:r>
      <w:r w:rsidR="00BF43C8">
        <w:t xml:space="preserve">. Therefore, </w:t>
      </w:r>
      <w:r>
        <w:t xml:space="preserve">it is proposed </w:t>
      </w:r>
      <w:r w:rsidRPr="004E7904">
        <w:t xml:space="preserve">to align </w:t>
      </w:r>
      <w:r w:rsidR="00BF43C8">
        <w:t xml:space="preserve">the </w:t>
      </w:r>
      <w:r w:rsidRPr="004E7904">
        <w:t>maximum luminous intensity value of Category 1 to that of Categories 1a and 1b.</w:t>
      </w:r>
    </w:p>
    <w:p w:rsidR="00FA7728" w:rsidRPr="00A238BB" w:rsidRDefault="00A369D1" w:rsidP="0002092A">
      <w:pPr>
        <w:pStyle w:val="SingleTxtG"/>
        <w:spacing w:before="240" w:after="0"/>
        <w:jc w:val="center"/>
      </w:pPr>
      <w:r>
        <w:t>___________________</w:t>
      </w:r>
    </w:p>
    <w:sectPr w:rsidR="00FA7728" w:rsidRPr="00A238BB" w:rsidSect="006D66AF">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6C2" w:rsidRDefault="003146C2"/>
  </w:endnote>
  <w:endnote w:type="continuationSeparator" w:id="0">
    <w:p w:rsidR="003146C2" w:rsidRDefault="003146C2"/>
  </w:endnote>
  <w:endnote w:type="continuationNotice" w:id="1">
    <w:p w:rsidR="003146C2" w:rsidRDefault="003146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2608F3" w:rsidP="006D66AF">
    <w:pPr>
      <w:pStyle w:val="Footer"/>
      <w:tabs>
        <w:tab w:val="right" w:pos="9638"/>
      </w:tabs>
      <w:rPr>
        <w:sz w:val="20"/>
      </w:rPr>
    </w:pPr>
    <w:r w:rsidRPr="006D66AF">
      <w:rPr>
        <w:b/>
        <w:sz w:val="18"/>
      </w:rPr>
      <w:fldChar w:fldCharType="begin"/>
    </w:r>
    <w:r w:rsidR="00BF1E2C" w:rsidRPr="006D66AF">
      <w:rPr>
        <w:b/>
        <w:sz w:val="18"/>
      </w:rPr>
      <w:instrText xml:space="preserve"> PAGE  \* MERGEFORMAT </w:instrText>
    </w:r>
    <w:r w:rsidRPr="006D66AF">
      <w:rPr>
        <w:b/>
        <w:sz w:val="18"/>
      </w:rPr>
      <w:fldChar w:fldCharType="separate"/>
    </w:r>
    <w:r w:rsidR="000949B3">
      <w:rPr>
        <w:b/>
        <w:noProof/>
        <w:sz w:val="18"/>
      </w:rPr>
      <w:t>2</w:t>
    </w:r>
    <w:r w:rsidRPr="006D66A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2608F3" w:rsidP="00370AD8">
    <w:pPr>
      <w:pStyle w:val="Footer"/>
      <w:tabs>
        <w:tab w:val="right" w:pos="9638"/>
      </w:tabs>
      <w:jc w:val="right"/>
      <w:rPr>
        <w:sz w:val="18"/>
      </w:rPr>
    </w:pPr>
    <w:r w:rsidRPr="006D66AF">
      <w:rPr>
        <w:b/>
        <w:sz w:val="18"/>
      </w:rPr>
      <w:fldChar w:fldCharType="begin"/>
    </w:r>
    <w:r w:rsidR="00960F75" w:rsidRPr="006D66AF">
      <w:rPr>
        <w:b/>
        <w:sz w:val="18"/>
      </w:rPr>
      <w:instrText xml:space="preserve"> PAGE  \* MERGEFORMAT </w:instrText>
    </w:r>
    <w:r w:rsidRPr="006D66AF">
      <w:rPr>
        <w:b/>
        <w:sz w:val="18"/>
      </w:rPr>
      <w:fldChar w:fldCharType="separate"/>
    </w:r>
    <w:r w:rsidR="000949B3">
      <w:rPr>
        <w:b/>
        <w:noProof/>
        <w:sz w:val="18"/>
      </w:rPr>
      <w:t>3</w:t>
    </w:r>
    <w:r w:rsidRPr="006D66A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64B" w:rsidRDefault="001A064B" w:rsidP="001A064B">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1A064B" w:rsidRDefault="001A064B" w:rsidP="001A064B">
    <w:pPr>
      <w:pStyle w:val="Footer"/>
      <w:ind w:right="1134"/>
      <w:rPr>
        <w:sz w:val="20"/>
      </w:rPr>
    </w:pPr>
    <w:r>
      <w:rPr>
        <w:sz w:val="20"/>
      </w:rPr>
      <w:t>GE.16-13758(E)</w:t>
    </w:r>
  </w:p>
  <w:p w:rsidR="001A064B" w:rsidRPr="001A064B" w:rsidRDefault="001A064B" w:rsidP="001A064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6104" cy="636105"/>
          <wp:effectExtent l="0" t="0" r="0" b="0"/>
          <wp:wrapNone/>
          <wp:docPr id="2" name="Picture 1" descr="http://undocs.org/m2/QRCode.ashx?DS=ECE/TRANS/WP.29/GRE/2016/2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E/2016/2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104" cy="636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6C2" w:rsidRPr="000B175B" w:rsidRDefault="003146C2" w:rsidP="000B175B">
      <w:pPr>
        <w:tabs>
          <w:tab w:val="right" w:pos="2155"/>
        </w:tabs>
        <w:spacing w:after="80"/>
        <w:ind w:left="680"/>
        <w:rPr>
          <w:u w:val="single"/>
        </w:rPr>
      </w:pPr>
      <w:r>
        <w:rPr>
          <w:u w:val="single"/>
        </w:rPr>
        <w:tab/>
      </w:r>
    </w:p>
  </w:footnote>
  <w:footnote w:type="continuationSeparator" w:id="0">
    <w:p w:rsidR="003146C2" w:rsidRPr="00FC68B7" w:rsidRDefault="003146C2" w:rsidP="00FC68B7">
      <w:pPr>
        <w:tabs>
          <w:tab w:val="left" w:pos="2155"/>
        </w:tabs>
        <w:spacing w:after="80"/>
        <w:ind w:left="680"/>
        <w:rPr>
          <w:u w:val="single"/>
        </w:rPr>
      </w:pPr>
      <w:r>
        <w:rPr>
          <w:u w:val="single"/>
        </w:rPr>
        <w:tab/>
      </w:r>
    </w:p>
  </w:footnote>
  <w:footnote w:type="continuationNotice" w:id="1">
    <w:p w:rsidR="003146C2" w:rsidRDefault="003146C2"/>
  </w:footnote>
  <w:footnote w:id="2">
    <w:p w:rsidR="00F91276" w:rsidRPr="00253584" w:rsidRDefault="00F91276" w:rsidP="00F91276">
      <w:pPr>
        <w:pStyle w:val="FootnoteText"/>
        <w:rPr>
          <w:rStyle w:val="FootnoteReference"/>
          <w:szCs w:val="18"/>
          <w:vertAlign w:val="baseline"/>
          <w:lang w:val="en-US"/>
        </w:rPr>
      </w:pPr>
      <w:r w:rsidRPr="00253584">
        <w:rPr>
          <w:rStyle w:val="FootnoteReference"/>
          <w:szCs w:val="18"/>
          <w:vertAlign w:val="baseline"/>
          <w:lang w:val="en-US"/>
        </w:rPr>
        <w:tab/>
        <w:t>*</w:t>
      </w:r>
      <w:r w:rsidRPr="00253584">
        <w:rPr>
          <w:rStyle w:val="FootnoteReference"/>
          <w:szCs w:val="18"/>
          <w:vertAlign w:val="baseline"/>
          <w:lang w:val="en-US"/>
        </w:rPr>
        <w:tab/>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960F75" w:rsidP="00157FE9">
    <w:pPr>
      <w:pStyle w:val="Header"/>
    </w:pPr>
    <w:r w:rsidRPr="00A91E4C">
      <w:t>ECE/TRANS/WP.29/GRE/</w:t>
    </w:r>
    <w:r w:rsidR="00A91E4C" w:rsidRPr="00A91E4C">
      <w:t>201</w:t>
    </w:r>
    <w:r w:rsidR="00A16D8C">
      <w:t>6</w:t>
    </w:r>
    <w:r w:rsidR="00802922">
      <w:t>/</w:t>
    </w:r>
    <w:r w:rsidR="0065137A">
      <w:t>2</w:t>
    </w:r>
    <w:r w:rsidR="00F91276">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960F75" w:rsidP="00370AD8">
    <w:pPr>
      <w:pStyle w:val="Header"/>
      <w:jc w:val="right"/>
    </w:pPr>
    <w:r w:rsidRPr="00370AD8">
      <w:t>ECE/TRANS/WP.29/GRE/</w:t>
    </w:r>
    <w:r w:rsidR="00802922">
      <w:t>2016/</w:t>
    </w:r>
    <w:r w:rsidR="0065137A">
      <w:t>2</w:t>
    </w:r>
    <w:r w:rsidR="00F91276">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C6217B3"/>
    <w:multiLevelType w:val="hybridMultilevel"/>
    <w:tmpl w:val="45FC51F8"/>
    <w:lvl w:ilvl="0" w:tplc="9D12430A">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nsid w:val="25A012BC"/>
    <w:multiLevelType w:val="hybridMultilevel"/>
    <w:tmpl w:val="F948E112"/>
    <w:lvl w:ilvl="0" w:tplc="1BDE6BB8">
      <w:start w:val="1"/>
      <w:numFmt w:val="upp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8">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0046C26"/>
    <w:multiLevelType w:val="hybridMultilevel"/>
    <w:tmpl w:val="F948E112"/>
    <w:lvl w:ilvl="0" w:tplc="1BDE6BB8">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3"/>
  </w:num>
  <w:num w:numId="13">
    <w:abstractNumId w:val="12"/>
  </w:num>
  <w:num w:numId="14">
    <w:abstractNumId w:val="21"/>
  </w:num>
  <w:num w:numId="15">
    <w:abstractNumId w:val="22"/>
  </w:num>
  <w:num w:numId="16">
    <w:abstractNumId w:val="10"/>
  </w:num>
  <w:num w:numId="17">
    <w:abstractNumId w:val="15"/>
  </w:num>
  <w:num w:numId="18">
    <w:abstractNumId w:val="18"/>
  </w:num>
  <w:num w:numId="19">
    <w:abstractNumId w:val="11"/>
  </w:num>
  <w:num w:numId="20">
    <w:abstractNumId w:val="16"/>
  </w:num>
  <w:num w:numId="21">
    <w:abstractNumId w:val="23"/>
  </w:num>
  <w:num w:numId="22">
    <w:abstractNumId w:val="14"/>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AF"/>
    <w:rsid w:val="0000366D"/>
    <w:rsid w:val="00003702"/>
    <w:rsid w:val="00013D2C"/>
    <w:rsid w:val="00013D99"/>
    <w:rsid w:val="0002092A"/>
    <w:rsid w:val="00023F66"/>
    <w:rsid w:val="0003056C"/>
    <w:rsid w:val="000348D3"/>
    <w:rsid w:val="0003791F"/>
    <w:rsid w:val="000444B6"/>
    <w:rsid w:val="00046B1F"/>
    <w:rsid w:val="00050F6B"/>
    <w:rsid w:val="00052635"/>
    <w:rsid w:val="00057E97"/>
    <w:rsid w:val="000646F4"/>
    <w:rsid w:val="00072C8C"/>
    <w:rsid w:val="000733B5"/>
    <w:rsid w:val="00081815"/>
    <w:rsid w:val="00092169"/>
    <w:rsid w:val="000931C0"/>
    <w:rsid w:val="000949B3"/>
    <w:rsid w:val="00096FFF"/>
    <w:rsid w:val="000B0595"/>
    <w:rsid w:val="000B144E"/>
    <w:rsid w:val="000B175B"/>
    <w:rsid w:val="000B2F02"/>
    <w:rsid w:val="000B3A0F"/>
    <w:rsid w:val="000B4EF7"/>
    <w:rsid w:val="000C2138"/>
    <w:rsid w:val="000C2C03"/>
    <w:rsid w:val="000C2D2E"/>
    <w:rsid w:val="000E0415"/>
    <w:rsid w:val="000F431B"/>
    <w:rsid w:val="001078D2"/>
    <w:rsid w:val="001103AA"/>
    <w:rsid w:val="0011666B"/>
    <w:rsid w:val="00124000"/>
    <w:rsid w:val="0013722F"/>
    <w:rsid w:val="0014380B"/>
    <w:rsid w:val="00150388"/>
    <w:rsid w:val="00157FE9"/>
    <w:rsid w:val="0016538B"/>
    <w:rsid w:val="00165F3A"/>
    <w:rsid w:val="00181198"/>
    <w:rsid w:val="00182290"/>
    <w:rsid w:val="001A064B"/>
    <w:rsid w:val="001A3955"/>
    <w:rsid w:val="001B4B04"/>
    <w:rsid w:val="001C6663"/>
    <w:rsid w:val="001C7895"/>
    <w:rsid w:val="001D0C8C"/>
    <w:rsid w:val="001D10DE"/>
    <w:rsid w:val="001D1419"/>
    <w:rsid w:val="001D26DF"/>
    <w:rsid w:val="001D3A03"/>
    <w:rsid w:val="001E7B67"/>
    <w:rsid w:val="00202DA8"/>
    <w:rsid w:val="00204AD6"/>
    <w:rsid w:val="00210A69"/>
    <w:rsid w:val="00211E0B"/>
    <w:rsid w:val="0024772E"/>
    <w:rsid w:val="00253714"/>
    <w:rsid w:val="002608F3"/>
    <w:rsid w:val="00267F5F"/>
    <w:rsid w:val="00283697"/>
    <w:rsid w:val="00286B4D"/>
    <w:rsid w:val="0029109B"/>
    <w:rsid w:val="002A6754"/>
    <w:rsid w:val="002B1DCA"/>
    <w:rsid w:val="002D4643"/>
    <w:rsid w:val="002E4D76"/>
    <w:rsid w:val="002F175C"/>
    <w:rsid w:val="002F6994"/>
    <w:rsid w:val="002F7DE0"/>
    <w:rsid w:val="00302E18"/>
    <w:rsid w:val="003125E1"/>
    <w:rsid w:val="003146C2"/>
    <w:rsid w:val="003229D8"/>
    <w:rsid w:val="00340057"/>
    <w:rsid w:val="00346D03"/>
    <w:rsid w:val="00352709"/>
    <w:rsid w:val="00354371"/>
    <w:rsid w:val="003619B5"/>
    <w:rsid w:val="00361AC3"/>
    <w:rsid w:val="00365763"/>
    <w:rsid w:val="0036599E"/>
    <w:rsid w:val="00370AD8"/>
    <w:rsid w:val="00371178"/>
    <w:rsid w:val="00371CD4"/>
    <w:rsid w:val="00392E47"/>
    <w:rsid w:val="003936BC"/>
    <w:rsid w:val="003A3EE9"/>
    <w:rsid w:val="003A6810"/>
    <w:rsid w:val="003B7411"/>
    <w:rsid w:val="003C2CC4"/>
    <w:rsid w:val="003C534D"/>
    <w:rsid w:val="003D4B23"/>
    <w:rsid w:val="003D723C"/>
    <w:rsid w:val="003E130E"/>
    <w:rsid w:val="003E176C"/>
    <w:rsid w:val="003E1EC6"/>
    <w:rsid w:val="003F63E2"/>
    <w:rsid w:val="00410C89"/>
    <w:rsid w:val="00411E00"/>
    <w:rsid w:val="00412937"/>
    <w:rsid w:val="00414589"/>
    <w:rsid w:val="00422699"/>
    <w:rsid w:val="00422E03"/>
    <w:rsid w:val="00423094"/>
    <w:rsid w:val="00426B9B"/>
    <w:rsid w:val="00431D57"/>
    <w:rsid w:val="004325CB"/>
    <w:rsid w:val="004348AD"/>
    <w:rsid w:val="00442A83"/>
    <w:rsid w:val="00444A24"/>
    <w:rsid w:val="00453556"/>
    <w:rsid w:val="0045495B"/>
    <w:rsid w:val="004561E5"/>
    <w:rsid w:val="00462DC9"/>
    <w:rsid w:val="00467628"/>
    <w:rsid w:val="004833EE"/>
    <w:rsid w:val="0048397A"/>
    <w:rsid w:val="00485CBB"/>
    <w:rsid w:val="004866B7"/>
    <w:rsid w:val="004A1587"/>
    <w:rsid w:val="004C0081"/>
    <w:rsid w:val="004C2461"/>
    <w:rsid w:val="004C7462"/>
    <w:rsid w:val="004D127C"/>
    <w:rsid w:val="004E77B2"/>
    <w:rsid w:val="005000A9"/>
    <w:rsid w:val="00501DC3"/>
    <w:rsid w:val="0050237E"/>
    <w:rsid w:val="00504B2D"/>
    <w:rsid w:val="0052136D"/>
    <w:rsid w:val="0052775E"/>
    <w:rsid w:val="005369ED"/>
    <w:rsid w:val="005420F2"/>
    <w:rsid w:val="0056209A"/>
    <w:rsid w:val="005628B6"/>
    <w:rsid w:val="00585059"/>
    <w:rsid w:val="00590860"/>
    <w:rsid w:val="005908FB"/>
    <w:rsid w:val="005941EC"/>
    <w:rsid w:val="0059724D"/>
    <w:rsid w:val="005A4616"/>
    <w:rsid w:val="005B320C"/>
    <w:rsid w:val="005B3DB3"/>
    <w:rsid w:val="005B4E13"/>
    <w:rsid w:val="005C342F"/>
    <w:rsid w:val="005C7D1E"/>
    <w:rsid w:val="005D67C8"/>
    <w:rsid w:val="005E1BC9"/>
    <w:rsid w:val="005F1A80"/>
    <w:rsid w:val="005F5FE0"/>
    <w:rsid w:val="005F7B75"/>
    <w:rsid w:val="006001EE"/>
    <w:rsid w:val="00605042"/>
    <w:rsid w:val="00611FC4"/>
    <w:rsid w:val="00613812"/>
    <w:rsid w:val="006176FB"/>
    <w:rsid w:val="0062385B"/>
    <w:rsid w:val="00640B26"/>
    <w:rsid w:val="0065137A"/>
    <w:rsid w:val="00652D0A"/>
    <w:rsid w:val="00662BB6"/>
    <w:rsid w:val="00671B51"/>
    <w:rsid w:val="00672A48"/>
    <w:rsid w:val="00672F8A"/>
    <w:rsid w:val="0067362F"/>
    <w:rsid w:val="0067398C"/>
    <w:rsid w:val="00676606"/>
    <w:rsid w:val="00677A28"/>
    <w:rsid w:val="0068000A"/>
    <w:rsid w:val="006810B6"/>
    <w:rsid w:val="00684C21"/>
    <w:rsid w:val="00695CEC"/>
    <w:rsid w:val="006A2530"/>
    <w:rsid w:val="006C3589"/>
    <w:rsid w:val="006C3888"/>
    <w:rsid w:val="006C79BC"/>
    <w:rsid w:val="006D37AF"/>
    <w:rsid w:val="006D51D0"/>
    <w:rsid w:val="006D5FB9"/>
    <w:rsid w:val="006D658E"/>
    <w:rsid w:val="006D66AF"/>
    <w:rsid w:val="006E564B"/>
    <w:rsid w:val="006E7191"/>
    <w:rsid w:val="00703577"/>
    <w:rsid w:val="00705894"/>
    <w:rsid w:val="007067AC"/>
    <w:rsid w:val="00724B93"/>
    <w:rsid w:val="00725A44"/>
    <w:rsid w:val="0072632A"/>
    <w:rsid w:val="007327D5"/>
    <w:rsid w:val="00733B05"/>
    <w:rsid w:val="00753AF2"/>
    <w:rsid w:val="00761394"/>
    <w:rsid w:val="007629C8"/>
    <w:rsid w:val="0077047D"/>
    <w:rsid w:val="00775F3E"/>
    <w:rsid w:val="007874B5"/>
    <w:rsid w:val="00787EE8"/>
    <w:rsid w:val="0079032E"/>
    <w:rsid w:val="00796214"/>
    <w:rsid w:val="007A1E70"/>
    <w:rsid w:val="007A3977"/>
    <w:rsid w:val="007B6BA5"/>
    <w:rsid w:val="007C3390"/>
    <w:rsid w:val="007C3745"/>
    <w:rsid w:val="007C4F4B"/>
    <w:rsid w:val="007C5C67"/>
    <w:rsid w:val="007D25AB"/>
    <w:rsid w:val="007E01E9"/>
    <w:rsid w:val="007E63F3"/>
    <w:rsid w:val="007F3B65"/>
    <w:rsid w:val="007F6611"/>
    <w:rsid w:val="00800656"/>
    <w:rsid w:val="00802922"/>
    <w:rsid w:val="00811920"/>
    <w:rsid w:val="00815AD0"/>
    <w:rsid w:val="00815EDB"/>
    <w:rsid w:val="008242D7"/>
    <w:rsid w:val="008257B1"/>
    <w:rsid w:val="00826138"/>
    <w:rsid w:val="00832334"/>
    <w:rsid w:val="00834D28"/>
    <w:rsid w:val="00843191"/>
    <w:rsid w:val="00843767"/>
    <w:rsid w:val="00850150"/>
    <w:rsid w:val="0085595A"/>
    <w:rsid w:val="00864245"/>
    <w:rsid w:val="00865AB3"/>
    <w:rsid w:val="008679D9"/>
    <w:rsid w:val="00872E3B"/>
    <w:rsid w:val="008878DE"/>
    <w:rsid w:val="008928C6"/>
    <w:rsid w:val="00894E11"/>
    <w:rsid w:val="008979B1"/>
    <w:rsid w:val="008A1ED5"/>
    <w:rsid w:val="008A6B25"/>
    <w:rsid w:val="008A6C4F"/>
    <w:rsid w:val="008B0563"/>
    <w:rsid w:val="008B2335"/>
    <w:rsid w:val="008B2E36"/>
    <w:rsid w:val="008C2428"/>
    <w:rsid w:val="008C3247"/>
    <w:rsid w:val="008E0678"/>
    <w:rsid w:val="008F31D2"/>
    <w:rsid w:val="008F3206"/>
    <w:rsid w:val="008F4D20"/>
    <w:rsid w:val="009130D3"/>
    <w:rsid w:val="00915EF6"/>
    <w:rsid w:val="00921D1C"/>
    <w:rsid w:val="009223CA"/>
    <w:rsid w:val="00930A10"/>
    <w:rsid w:val="00931395"/>
    <w:rsid w:val="00934631"/>
    <w:rsid w:val="00940F93"/>
    <w:rsid w:val="009448C3"/>
    <w:rsid w:val="00960F75"/>
    <w:rsid w:val="009760F3"/>
    <w:rsid w:val="00976CFB"/>
    <w:rsid w:val="00980087"/>
    <w:rsid w:val="009A0830"/>
    <w:rsid w:val="009A0E8D"/>
    <w:rsid w:val="009A6EC4"/>
    <w:rsid w:val="009B26E7"/>
    <w:rsid w:val="009B2F79"/>
    <w:rsid w:val="009B3273"/>
    <w:rsid w:val="009B544C"/>
    <w:rsid w:val="009B6278"/>
    <w:rsid w:val="009B64BB"/>
    <w:rsid w:val="009E567A"/>
    <w:rsid w:val="009F5012"/>
    <w:rsid w:val="00A00697"/>
    <w:rsid w:val="00A00A3F"/>
    <w:rsid w:val="00A01205"/>
    <w:rsid w:val="00A01489"/>
    <w:rsid w:val="00A02FA2"/>
    <w:rsid w:val="00A14E80"/>
    <w:rsid w:val="00A16D8C"/>
    <w:rsid w:val="00A238BB"/>
    <w:rsid w:val="00A3026E"/>
    <w:rsid w:val="00A33778"/>
    <w:rsid w:val="00A338F1"/>
    <w:rsid w:val="00A35BE0"/>
    <w:rsid w:val="00A369D1"/>
    <w:rsid w:val="00A5414C"/>
    <w:rsid w:val="00A56580"/>
    <w:rsid w:val="00A6129C"/>
    <w:rsid w:val="00A72F22"/>
    <w:rsid w:val="00A7360F"/>
    <w:rsid w:val="00A7397C"/>
    <w:rsid w:val="00A748A6"/>
    <w:rsid w:val="00A75E39"/>
    <w:rsid w:val="00A7693C"/>
    <w:rsid w:val="00A769F4"/>
    <w:rsid w:val="00A776B4"/>
    <w:rsid w:val="00A85BCD"/>
    <w:rsid w:val="00A91E4C"/>
    <w:rsid w:val="00A94361"/>
    <w:rsid w:val="00AA11D6"/>
    <w:rsid w:val="00AA293C"/>
    <w:rsid w:val="00AC02C5"/>
    <w:rsid w:val="00AD74C4"/>
    <w:rsid w:val="00B049A8"/>
    <w:rsid w:val="00B1029C"/>
    <w:rsid w:val="00B226AA"/>
    <w:rsid w:val="00B30179"/>
    <w:rsid w:val="00B30622"/>
    <w:rsid w:val="00B357CE"/>
    <w:rsid w:val="00B3689F"/>
    <w:rsid w:val="00B421C1"/>
    <w:rsid w:val="00B42C7E"/>
    <w:rsid w:val="00B50FA2"/>
    <w:rsid w:val="00B52192"/>
    <w:rsid w:val="00B53C21"/>
    <w:rsid w:val="00B542B6"/>
    <w:rsid w:val="00B55C71"/>
    <w:rsid w:val="00B56C21"/>
    <w:rsid w:val="00B56E4A"/>
    <w:rsid w:val="00B56E9C"/>
    <w:rsid w:val="00B619AB"/>
    <w:rsid w:val="00B64B1F"/>
    <w:rsid w:val="00B6553F"/>
    <w:rsid w:val="00B7467C"/>
    <w:rsid w:val="00B757A4"/>
    <w:rsid w:val="00B77D05"/>
    <w:rsid w:val="00B77F80"/>
    <w:rsid w:val="00B81206"/>
    <w:rsid w:val="00B81E12"/>
    <w:rsid w:val="00B92D66"/>
    <w:rsid w:val="00BB578F"/>
    <w:rsid w:val="00BC3F3B"/>
    <w:rsid w:val="00BC3FA0"/>
    <w:rsid w:val="00BC74E9"/>
    <w:rsid w:val="00BE48EA"/>
    <w:rsid w:val="00BF1E2C"/>
    <w:rsid w:val="00BF30B3"/>
    <w:rsid w:val="00BF43C8"/>
    <w:rsid w:val="00BF68A8"/>
    <w:rsid w:val="00BF7253"/>
    <w:rsid w:val="00C11A03"/>
    <w:rsid w:val="00C22C0C"/>
    <w:rsid w:val="00C37074"/>
    <w:rsid w:val="00C4527F"/>
    <w:rsid w:val="00C463DD"/>
    <w:rsid w:val="00C4724C"/>
    <w:rsid w:val="00C60646"/>
    <w:rsid w:val="00C629A0"/>
    <w:rsid w:val="00C64629"/>
    <w:rsid w:val="00C71096"/>
    <w:rsid w:val="00C745C3"/>
    <w:rsid w:val="00C94F10"/>
    <w:rsid w:val="00C96DF2"/>
    <w:rsid w:val="00CA1B34"/>
    <w:rsid w:val="00CB3E03"/>
    <w:rsid w:val="00CD4AA6"/>
    <w:rsid w:val="00CE4A8F"/>
    <w:rsid w:val="00D041DD"/>
    <w:rsid w:val="00D0711A"/>
    <w:rsid w:val="00D149F6"/>
    <w:rsid w:val="00D2031B"/>
    <w:rsid w:val="00D248B6"/>
    <w:rsid w:val="00D25FE2"/>
    <w:rsid w:val="00D26E07"/>
    <w:rsid w:val="00D43252"/>
    <w:rsid w:val="00D44783"/>
    <w:rsid w:val="00D452D8"/>
    <w:rsid w:val="00D47EEA"/>
    <w:rsid w:val="00D57C02"/>
    <w:rsid w:val="00D611E6"/>
    <w:rsid w:val="00D70480"/>
    <w:rsid w:val="00D773DF"/>
    <w:rsid w:val="00D90E39"/>
    <w:rsid w:val="00D95303"/>
    <w:rsid w:val="00D978C6"/>
    <w:rsid w:val="00DA0640"/>
    <w:rsid w:val="00DA3C1C"/>
    <w:rsid w:val="00DB1EDC"/>
    <w:rsid w:val="00DC64E9"/>
    <w:rsid w:val="00DC6D39"/>
    <w:rsid w:val="00DE106E"/>
    <w:rsid w:val="00E00F5C"/>
    <w:rsid w:val="00E046DF"/>
    <w:rsid w:val="00E1086D"/>
    <w:rsid w:val="00E14EAE"/>
    <w:rsid w:val="00E22B0C"/>
    <w:rsid w:val="00E27346"/>
    <w:rsid w:val="00E40A45"/>
    <w:rsid w:val="00E465DB"/>
    <w:rsid w:val="00E560CA"/>
    <w:rsid w:val="00E71BC8"/>
    <w:rsid w:val="00E7260F"/>
    <w:rsid w:val="00E73F5D"/>
    <w:rsid w:val="00E77E4E"/>
    <w:rsid w:val="00E96630"/>
    <w:rsid w:val="00EA2A77"/>
    <w:rsid w:val="00ED7A2A"/>
    <w:rsid w:val="00EE16EC"/>
    <w:rsid w:val="00EF1D7F"/>
    <w:rsid w:val="00F0093F"/>
    <w:rsid w:val="00F00B72"/>
    <w:rsid w:val="00F12AF0"/>
    <w:rsid w:val="00F16068"/>
    <w:rsid w:val="00F31E5F"/>
    <w:rsid w:val="00F36B56"/>
    <w:rsid w:val="00F6100A"/>
    <w:rsid w:val="00F91276"/>
    <w:rsid w:val="00F923C4"/>
    <w:rsid w:val="00F93781"/>
    <w:rsid w:val="00F93C58"/>
    <w:rsid w:val="00FA5EDA"/>
    <w:rsid w:val="00FA7728"/>
    <w:rsid w:val="00FB613B"/>
    <w:rsid w:val="00FC68B7"/>
    <w:rsid w:val="00FD001C"/>
    <w:rsid w:val="00FD3F98"/>
    <w:rsid w:val="00FD6401"/>
    <w:rsid w:val="00FE106A"/>
    <w:rsid w:val="00FE2CB6"/>
    <w:rsid w:val="00FE7450"/>
    <w:rsid w:val="00FF145D"/>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BVI fnr,Footnote symbol,Footnote,Footnote Reference Superscript,SUPERS,(Footnote Reference)"/>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paraChar">
    <w:name w:val="para Char"/>
    <w:link w:val="para"/>
    <w:locked/>
    <w:rsid w:val="0079032E"/>
    <w:rPr>
      <w:lang w:eastAsia="en-US"/>
    </w:rPr>
  </w:style>
  <w:style w:type="character" w:customStyle="1" w:styleId="H1GChar">
    <w:name w:val="_ H_1_G Char"/>
    <w:link w:val="H1G"/>
    <w:rsid w:val="00A369D1"/>
    <w:rPr>
      <w:b/>
      <w:sz w:val="24"/>
      <w:lang w:eastAsia="en-US"/>
    </w:rPr>
  </w:style>
  <w:style w:type="paragraph" w:customStyle="1" w:styleId="Default">
    <w:name w:val="Default"/>
    <w:rsid w:val="00A14E80"/>
    <w:pPr>
      <w:autoSpaceDE w:val="0"/>
      <w:autoSpaceDN w:val="0"/>
      <w:adjustRightInd w:val="0"/>
    </w:pPr>
    <w:rPr>
      <w:color w:val="000000"/>
      <w:sz w:val="24"/>
      <w:szCs w:val="24"/>
    </w:rPr>
  </w:style>
  <w:style w:type="paragraph" w:customStyle="1" w:styleId="a0">
    <w:name w:val="a)"/>
    <w:basedOn w:val="SingleTxtG"/>
    <w:rsid w:val="009F5012"/>
    <w:pPr>
      <w:ind w:left="2835" w:hanging="567"/>
    </w:pPr>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BVI fnr,Footnote symbol,Footnote,Footnote Reference Superscript,SUPERS,(Footnote Reference)"/>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paraChar">
    <w:name w:val="para Char"/>
    <w:link w:val="para"/>
    <w:locked/>
    <w:rsid w:val="0079032E"/>
    <w:rPr>
      <w:lang w:eastAsia="en-US"/>
    </w:rPr>
  </w:style>
  <w:style w:type="character" w:customStyle="1" w:styleId="H1GChar">
    <w:name w:val="_ H_1_G Char"/>
    <w:link w:val="H1G"/>
    <w:rsid w:val="00A369D1"/>
    <w:rPr>
      <w:b/>
      <w:sz w:val="24"/>
      <w:lang w:eastAsia="en-US"/>
    </w:rPr>
  </w:style>
  <w:style w:type="paragraph" w:customStyle="1" w:styleId="Default">
    <w:name w:val="Default"/>
    <w:rsid w:val="00A14E80"/>
    <w:pPr>
      <w:autoSpaceDE w:val="0"/>
      <w:autoSpaceDN w:val="0"/>
      <w:adjustRightInd w:val="0"/>
    </w:pPr>
    <w:rPr>
      <w:color w:val="000000"/>
      <w:sz w:val="24"/>
      <w:szCs w:val="24"/>
    </w:rPr>
  </w:style>
  <w:style w:type="paragraph" w:customStyle="1" w:styleId="a0">
    <w:name w:val="a)"/>
    <w:basedOn w:val="SingleTxtG"/>
    <w:rsid w:val="009F5012"/>
    <w:pPr>
      <w:ind w:left="2835" w:hanging="567"/>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3747">
      <w:bodyDiv w:val="1"/>
      <w:marLeft w:val="0"/>
      <w:marRight w:val="0"/>
      <w:marTop w:val="0"/>
      <w:marBottom w:val="0"/>
      <w:divBdr>
        <w:top w:val="none" w:sz="0" w:space="0" w:color="auto"/>
        <w:left w:val="none" w:sz="0" w:space="0" w:color="auto"/>
        <w:bottom w:val="none" w:sz="0" w:space="0" w:color="auto"/>
        <w:right w:val="none" w:sz="0" w:space="0" w:color="auto"/>
      </w:divBdr>
    </w:div>
    <w:div w:id="19756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2F513-8886-49CB-82F2-3A7D0B108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3</Pages>
  <Words>631</Words>
  <Characters>3603</Characters>
  <Application>Microsoft Office Word</Application>
  <DocSecurity>4</DocSecurity>
  <Lines>30</Lines>
  <Paragraphs>8</Paragraphs>
  <ScaleCrop>false</ScaleCrop>
  <HeadingPairs>
    <vt:vector size="6" baseType="variant">
      <vt:variant>
        <vt:lpstr>Title</vt:lpstr>
      </vt:variant>
      <vt:variant>
        <vt:i4>1</vt:i4>
      </vt:variant>
      <vt:variant>
        <vt:lpstr>Otsikko</vt:lpstr>
      </vt:variant>
      <vt:variant>
        <vt:i4>1</vt:i4>
      </vt:variant>
      <vt:variant>
        <vt:lpstr>Titre</vt:lpstr>
      </vt:variant>
      <vt:variant>
        <vt:i4>1</vt:i4>
      </vt:variant>
    </vt:vector>
  </HeadingPairs>
  <TitlesOfParts>
    <vt:vector size="3" baseType="lpstr">
      <vt:lpstr>1613758</vt:lpstr>
      <vt:lpstr>United Nations</vt:lpstr>
      <vt:lpstr>United Nations</vt:lpstr>
    </vt:vector>
  </TitlesOfParts>
  <Company>CSD</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1613758</dc:title>
  <dc:subject>ECE/TRANS/WP.29/GRE/2016/21</dc:subject>
  <dc:creator>GTB;Francois Guichard</dc:creator>
  <cp:lastModifiedBy>Benedicte Boudol</cp:lastModifiedBy>
  <cp:revision>2</cp:revision>
  <cp:lastPrinted>2016-08-08T09:32:00Z</cp:lastPrinted>
  <dcterms:created xsi:type="dcterms:W3CDTF">2016-09-07T07:03:00Z</dcterms:created>
  <dcterms:modified xsi:type="dcterms:W3CDTF">2016-09-07T07:03:00Z</dcterms:modified>
</cp:coreProperties>
</file>