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66551B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66551B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66551B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66551B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5F553E">
              <w:fldChar w:fldCharType="begin"/>
            </w:r>
            <w:r w:rsidR="005F553E">
              <w:instrText xml:space="preserve"> FILLIN  "Введите символ после ЕCE/"  \* MERGEFORMAT </w:instrText>
            </w:r>
            <w:r w:rsidR="005F553E">
              <w:fldChar w:fldCharType="separate"/>
            </w:r>
            <w:r w:rsidR="00BF0148">
              <w:t>TRANS/WP.29/GRB/61</w:t>
            </w:r>
            <w:r w:rsidR="005F553E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66551B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66551B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66551B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66551B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5F553E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66551B">
            <w:fldSimple w:instr=" FILLIN  &quot;Введите дату документа&quot; \* MERGEFORMAT ">
              <w:r w:rsidR="00BF0148">
                <w:t>7 March 2016</w:t>
              </w:r>
            </w:fldSimple>
          </w:p>
          <w:p w:rsidR="00A658DB" w:rsidRPr="00245892" w:rsidRDefault="00A658DB" w:rsidP="0066551B">
            <w:r w:rsidRPr="00245892">
              <w:t>Russian</w:t>
            </w:r>
          </w:p>
          <w:p w:rsidR="00A658DB" w:rsidRPr="00245892" w:rsidRDefault="00A658DB" w:rsidP="0066551B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5F553E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66551B"/>
        </w:tc>
      </w:tr>
    </w:tbl>
    <w:p w:rsidR="00A658DB" w:rsidRPr="00F25D08" w:rsidRDefault="00A658DB" w:rsidP="00A658DB">
      <w:pPr>
        <w:spacing w:before="120"/>
        <w:rPr>
          <w:b/>
          <w:sz w:val="28"/>
          <w:szCs w:val="28"/>
        </w:rPr>
      </w:pPr>
      <w:r w:rsidRPr="00F25D08">
        <w:rPr>
          <w:b/>
          <w:sz w:val="28"/>
          <w:szCs w:val="28"/>
        </w:rPr>
        <w:t>Европейская экономическая комиссия</w:t>
      </w:r>
    </w:p>
    <w:p w:rsidR="00BF0148" w:rsidRPr="00F25D08" w:rsidRDefault="00BF0148" w:rsidP="0066551B">
      <w:pPr>
        <w:spacing w:before="120" w:after="120"/>
        <w:rPr>
          <w:sz w:val="28"/>
          <w:szCs w:val="28"/>
        </w:rPr>
      </w:pPr>
      <w:r w:rsidRPr="00F25D08">
        <w:rPr>
          <w:sz w:val="28"/>
          <w:szCs w:val="28"/>
        </w:rPr>
        <w:t>Комитет по внутреннему транспорту</w:t>
      </w:r>
    </w:p>
    <w:p w:rsidR="00BF0148" w:rsidRPr="00F25D08" w:rsidRDefault="00BF0148" w:rsidP="0066551B">
      <w:pPr>
        <w:spacing w:before="120" w:after="120"/>
        <w:rPr>
          <w:b/>
          <w:sz w:val="24"/>
          <w:szCs w:val="24"/>
        </w:rPr>
      </w:pPr>
      <w:r w:rsidRPr="00F25D08">
        <w:rPr>
          <w:b/>
          <w:sz w:val="24"/>
          <w:szCs w:val="24"/>
        </w:rPr>
        <w:t xml:space="preserve">Всемирный форум для согласования правил </w:t>
      </w:r>
      <w:r w:rsidR="0066551B" w:rsidRPr="00F25D08">
        <w:rPr>
          <w:b/>
          <w:sz w:val="24"/>
          <w:szCs w:val="24"/>
        </w:rPr>
        <w:br/>
      </w:r>
      <w:r w:rsidRPr="00F25D08">
        <w:rPr>
          <w:b/>
          <w:sz w:val="24"/>
          <w:szCs w:val="24"/>
        </w:rPr>
        <w:t>в области транспортных средств</w:t>
      </w:r>
    </w:p>
    <w:p w:rsidR="00BF0148" w:rsidRPr="00F25D08" w:rsidRDefault="00BF0148" w:rsidP="0066551B">
      <w:pPr>
        <w:spacing w:before="120" w:after="120"/>
        <w:rPr>
          <w:b/>
          <w:sz w:val="24"/>
          <w:szCs w:val="24"/>
        </w:rPr>
      </w:pPr>
      <w:r w:rsidRPr="00F25D08">
        <w:rPr>
          <w:b/>
          <w:sz w:val="24"/>
          <w:szCs w:val="24"/>
        </w:rPr>
        <w:t>Рабочая группа по вопросам шума</w:t>
      </w:r>
    </w:p>
    <w:p w:rsidR="00BF0148" w:rsidRPr="00F25D08" w:rsidRDefault="00BF0148" w:rsidP="0066551B">
      <w:pPr>
        <w:rPr>
          <w:b/>
        </w:rPr>
      </w:pPr>
      <w:r w:rsidRPr="00F25D08">
        <w:rPr>
          <w:b/>
        </w:rPr>
        <w:t>Шестьдесят третья сессия</w:t>
      </w:r>
    </w:p>
    <w:p w:rsidR="00BF0148" w:rsidRPr="00F25D08" w:rsidRDefault="00BF0148" w:rsidP="0066551B">
      <w:r w:rsidRPr="00F25D08">
        <w:t>Женева, 16−18 февраля 2016 года</w:t>
      </w:r>
    </w:p>
    <w:p w:rsidR="00BF0148" w:rsidRPr="00F25D08" w:rsidRDefault="00BF0148" w:rsidP="0066551B">
      <w:pPr>
        <w:pStyle w:val="HChGR"/>
      </w:pPr>
      <w:r w:rsidRPr="00F25D08">
        <w:tab/>
      </w:r>
      <w:r w:rsidRPr="00F25D08">
        <w:tab/>
        <w:t>Доклад Рабочей группы по вопросам шума</w:t>
      </w:r>
      <w:r w:rsidRPr="00F25D08">
        <w:br/>
        <w:t>о работе ее шестьдесят третьей сессии</w:t>
      </w:r>
    </w:p>
    <w:p w:rsidR="00EE1722" w:rsidRPr="00F25D08" w:rsidRDefault="00EE1722" w:rsidP="00EE1722">
      <w:pPr>
        <w:pStyle w:val="SingleTxtGR"/>
        <w:suppressAutoHyphens/>
        <w:ind w:left="0" w:right="0"/>
        <w:jc w:val="left"/>
        <w:rPr>
          <w:sz w:val="28"/>
        </w:rPr>
      </w:pPr>
      <w:r w:rsidRPr="00F25D08">
        <w:rPr>
          <w:sz w:val="28"/>
        </w:rPr>
        <w:t>Содержание</w:t>
      </w:r>
    </w:p>
    <w:p w:rsidR="00EE1722" w:rsidRPr="00F25D08" w:rsidRDefault="00EE1722" w:rsidP="00EE172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929"/>
          <w:tab w:val="right" w:pos="9638"/>
        </w:tabs>
        <w:suppressAutoHyphens/>
        <w:ind w:left="283" w:right="0"/>
        <w:jc w:val="left"/>
      </w:pPr>
      <w:r w:rsidRPr="00F25D08">
        <w:rPr>
          <w:i/>
          <w:sz w:val="18"/>
        </w:rPr>
        <w:tab/>
        <w:t>Пункты</w:t>
      </w:r>
      <w:r w:rsidRPr="00F25D08">
        <w:rPr>
          <w:i/>
          <w:sz w:val="18"/>
        </w:rPr>
        <w:tab/>
        <w:t>Стр.</w:t>
      </w:r>
    </w:p>
    <w:p w:rsidR="00EE1722" w:rsidRPr="00430428" w:rsidRDefault="00EE1722" w:rsidP="00EE172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F25D08">
        <w:tab/>
        <w:t>I.</w:t>
      </w:r>
      <w:r w:rsidRPr="00F25D08">
        <w:tab/>
        <w:t>Участники</w:t>
      </w:r>
      <w:r w:rsidRPr="00F25D08">
        <w:tab/>
      </w:r>
      <w:r w:rsidRPr="00F25D08">
        <w:tab/>
      </w:r>
      <w:r w:rsidR="00F25D08" w:rsidRPr="00F25D08">
        <w:t>1</w:t>
      </w:r>
      <w:r w:rsidRPr="00F25D08">
        <w:tab/>
      </w:r>
      <w:r w:rsidR="00430428" w:rsidRPr="00430428">
        <w:t>3</w:t>
      </w:r>
    </w:p>
    <w:p w:rsidR="00EE1722" w:rsidRPr="00430428" w:rsidRDefault="00EE1722" w:rsidP="00EE172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F25D08">
        <w:tab/>
        <w:t>II.</w:t>
      </w:r>
      <w:r w:rsidRPr="00F25D08">
        <w:tab/>
        <w:t>Утверждение повестки дня (пункт 1 повестки дня)</w:t>
      </w:r>
      <w:r w:rsidRPr="00F25D08">
        <w:tab/>
      </w:r>
      <w:r w:rsidRPr="00F25D08">
        <w:tab/>
      </w:r>
      <w:r w:rsidR="00F25D08" w:rsidRPr="00F25D08">
        <w:t>2</w:t>
      </w:r>
      <w:r w:rsidRPr="00F25D08">
        <w:tab/>
      </w:r>
      <w:r w:rsidR="00430428" w:rsidRPr="00430428">
        <w:t>3</w:t>
      </w:r>
    </w:p>
    <w:p w:rsidR="00EE1722" w:rsidRPr="00430428" w:rsidRDefault="00EE1722" w:rsidP="00EE172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F25D08">
        <w:tab/>
        <w:t>III.</w:t>
      </w:r>
      <w:r w:rsidRPr="00F25D08">
        <w:tab/>
        <w:t xml:space="preserve">Правила № 28 (звуковые сигнальные приборы) </w:t>
      </w:r>
      <w:r w:rsidRPr="00F25D08">
        <w:br/>
        <w:t>(пункт 2 повестки дня)</w:t>
      </w:r>
      <w:r w:rsidRPr="00F25D08">
        <w:tab/>
      </w:r>
      <w:r w:rsidRPr="00F25D08">
        <w:tab/>
      </w:r>
      <w:r w:rsidR="00F25D08" w:rsidRPr="00F25D08">
        <w:t>3</w:t>
      </w:r>
      <w:r w:rsidRPr="00F25D08">
        <w:tab/>
      </w:r>
      <w:r w:rsidR="00430428" w:rsidRPr="00430428">
        <w:t>3</w:t>
      </w:r>
    </w:p>
    <w:p w:rsidR="00EE1722" w:rsidRPr="00187BCB" w:rsidRDefault="00EE1722" w:rsidP="00EE172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F25D08">
        <w:tab/>
        <w:t>IV.</w:t>
      </w:r>
      <w:r w:rsidRPr="00F25D08">
        <w:tab/>
        <w:t xml:space="preserve">Правила № 41 (шум, производимый мотоциклами): разработка </w:t>
      </w:r>
      <w:r w:rsidRPr="00F25D08">
        <w:br/>
        <w:t>(пункт 3 повестки дня)</w:t>
      </w:r>
      <w:r w:rsidRPr="00F25D08">
        <w:tab/>
      </w:r>
      <w:r w:rsidRPr="00F25D08">
        <w:tab/>
      </w:r>
      <w:r w:rsidR="00F25D08" w:rsidRPr="00F25D08">
        <w:t>4</w:t>
      </w:r>
      <w:r w:rsidRPr="00F25D08">
        <w:tab/>
      </w:r>
      <w:r w:rsidR="00187BCB" w:rsidRPr="00187BCB">
        <w:t>4</w:t>
      </w:r>
    </w:p>
    <w:p w:rsidR="00EE1722" w:rsidRPr="00187BCB" w:rsidRDefault="00EE1722" w:rsidP="00EE172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F25D08">
        <w:tab/>
        <w:t>V.</w:t>
      </w:r>
      <w:r w:rsidRPr="00F25D08">
        <w:tab/>
        <w:t xml:space="preserve">Правила № 51 (шум, производимый транспортными средствами </w:t>
      </w:r>
      <w:r w:rsidRPr="00F25D08">
        <w:br/>
        <w:t>категорий М и N) (пункт 4 повестки дня)</w:t>
      </w:r>
      <w:r w:rsidRPr="00F25D08">
        <w:tab/>
      </w:r>
      <w:r w:rsidRPr="00F25D08">
        <w:tab/>
      </w:r>
      <w:r w:rsidR="00F25D08" w:rsidRPr="00F25D08">
        <w:t>5–6</w:t>
      </w:r>
      <w:r w:rsidRPr="00F25D08">
        <w:tab/>
      </w:r>
      <w:r w:rsidR="00187BCB" w:rsidRPr="00187BCB">
        <w:t>4</w:t>
      </w:r>
    </w:p>
    <w:p w:rsidR="00EE1722" w:rsidRPr="00187BCB" w:rsidRDefault="00EE1722" w:rsidP="00EE172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F25D08">
        <w:tab/>
      </w:r>
      <w:r w:rsidRPr="00F25D08">
        <w:tab/>
        <w:t>A.</w:t>
      </w:r>
      <w:r w:rsidRPr="00F25D08">
        <w:tab/>
        <w:t>Разработка</w:t>
      </w:r>
      <w:r w:rsidRPr="00F25D08">
        <w:tab/>
      </w:r>
      <w:r w:rsidRPr="00F25D08">
        <w:tab/>
      </w:r>
      <w:r w:rsidR="00F25D08" w:rsidRPr="00F25D08">
        <w:t>5</w:t>
      </w:r>
      <w:r w:rsidRPr="00F25D08">
        <w:tab/>
      </w:r>
      <w:r w:rsidR="00187BCB" w:rsidRPr="00187BCB">
        <w:t>4</w:t>
      </w:r>
    </w:p>
    <w:p w:rsidR="00EE1722" w:rsidRPr="00187BCB" w:rsidRDefault="00EE1722" w:rsidP="00EE172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F25D08">
        <w:tab/>
      </w:r>
      <w:r w:rsidRPr="00F25D08">
        <w:tab/>
        <w:t>B.</w:t>
      </w:r>
      <w:r w:rsidRPr="00F25D08">
        <w:tab/>
        <w:t>Дополнительные положения, касающиеся производимого шума</w:t>
      </w:r>
      <w:r w:rsidRPr="00F25D08">
        <w:tab/>
      </w:r>
      <w:r w:rsidRPr="00F25D08">
        <w:tab/>
      </w:r>
      <w:r w:rsidR="00F25D08" w:rsidRPr="00F25D08">
        <w:t>6</w:t>
      </w:r>
      <w:r w:rsidRPr="00F25D08">
        <w:tab/>
      </w:r>
      <w:r w:rsidR="00187BCB" w:rsidRPr="00187BCB">
        <w:t>4</w:t>
      </w:r>
    </w:p>
    <w:p w:rsidR="00EE1722" w:rsidRPr="00187BCB" w:rsidRDefault="00EE1722" w:rsidP="00EE172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F25D08">
        <w:tab/>
        <w:t>VI.</w:t>
      </w:r>
      <w:r w:rsidRPr="00F25D08">
        <w:tab/>
        <w:t xml:space="preserve">Правила № 59 (сменные системы глушителей) </w:t>
      </w:r>
      <w:r w:rsidRPr="00F25D08">
        <w:br/>
        <w:t>(пункт 5 повестки дня)</w:t>
      </w:r>
      <w:r w:rsidRPr="00F25D08">
        <w:tab/>
      </w:r>
      <w:r w:rsidRPr="00F25D08">
        <w:tab/>
      </w:r>
      <w:r w:rsidR="00F25D08" w:rsidRPr="00F25D08">
        <w:t>7</w:t>
      </w:r>
      <w:r w:rsidRPr="00F25D08">
        <w:tab/>
      </w:r>
      <w:r w:rsidR="00187BCB" w:rsidRPr="00187BCB">
        <w:t>4</w:t>
      </w:r>
    </w:p>
    <w:p w:rsidR="00EE1722" w:rsidRPr="00187BCB" w:rsidRDefault="00EE1722" w:rsidP="00EE172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F25D08">
        <w:tab/>
        <w:t>VII.</w:t>
      </w:r>
      <w:r w:rsidRPr="00F25D08">
        <w:tab/>
        <w:t xml:space="preserve">Правила № 92 (сменные системы глушителей для мотоциклов) </w:t>
      </w:r>
      <w:r w:rsidRPr="00F25D08">
        <w:br/>
        <w:t>(пункт 6 повестки дня)</w:t>
      </w:r>
      <w:r w:rsidRPr="00F25D08">
        <w:tab/>
      </w:r>
      <w:r w:rsidRPr="00F25D08">
        <w:tab/>
      </w:r>
      <w:r w:rsidR="00F25D08" w:rsidRPr="00F25D08">
        <w:t>8</w:t>
      </w:r>
      <w:r w:rsidRPr="00F25D08">
        <w:tab/>
      </w:r>
      <w:r w:rsidR="00187BCB" w:rsidRPr="00187BCB">
        <w:t>4</w:t>
      </w:r>
    </w:p>
    <w:p w:rsidR="00EE1722" w:rsidRPr="00187BCB" w:rsidRDefault="00EE1722" w:rsidP="00EE172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F25D08">
        <w:tab/>
        <w:t>VIII.</w:t>
      </w:r>
      <w:r w:rsidRPr="00F25D08">
        <w:tab/>
        <w:t xml:space="preserve">Правила № 117 (сопротивление шин качению, шум, производимый </w:t>
      </w:r>
      <w:r w:rsidRPr="00F25D08">
        <w:br/>
        <w:t>шинами при качении, и сцепление на</w:t>
      </w:r>
      <w:r w:rsidR="00D942AA" w:rsidRPr="00D942AA">
        <w:t xml:space="preserve"> </w:t>
      </w:r>
      <w:r w:rsidRPr="00F25D08">
        <w:t xml:space="preserve">мокрой поверхности) </w:t>
      </w:r>
      <w:r w:rsidRPr="00F25D08">
        <w:br/>
        <w:t>(пункт 7 повестки дня)</w:t>
      </w:r>
      <w:r w:rsidRPr="00F25D08">
        <w:tab/>
      </w:r>
      <w:r w:rsidRPr="00F25D08">
        <w:tab/>
      </w:r>
      <w:r w:rsidR="00F25D08" w:rsidRPr="00F25D08">
        <w:t>9–10</w:t>
      </w:r>
      <w:r w:rsidRPr="00F25D08">
        <w:tab/>
      </w:r>
      <w:r w:rsidR="00187BCB" w:rsidRPr="00187BCB">
        <w:t>5</w:t>
      </w:r>
    </w:p>
    <w:p w:rsidR="00EE1722" w:rsidRPr="00187BCB" w:rsidRDefault="00EE1722" w:rsidP="00EE172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F25D08">
        <w:lastRenderedPageBreak/>
        <w:tab/>
        <w:t>IX.</w:t>
      </w:r>
      <w:r w:rsidRPr="00F25D08">
        <w:tab/>
        <w:t>Общие поправки (пункт 8 повестки дня)</w:t>
      </w:r>
      <w:r w:rsidRPr="00F25D08">
        <w:tab/>
      </w:r>
      <w:r w:rsidRPr="00F25D08">
        <w:tab/>
      </w:r>
      <w:r w:rsidR="00F25D08" w:rsidRPr="00F25D08">
        <w:t>11</w:t>
      </w:r>
      <w:r w:rsidRPr="00F25D08">
        <w:tab/>
      </w:r>
      <w:r w:rsidR="00187BCB" w:rsidRPr="00187BCB">
        <w:t>5</w:t>
      </w:r>
    </w:p>
    <w:p w:rsidR="00EE1722" w:rsidRPr="00187BCB" w:rsidRDefault="00EE1722" w:rsidP="00EE172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F25D08">
        <w:tab/>
        <w:t>X.</w:t>
      </w:r>
      <w:r w:rsidRPr="00F25D08">
        <w:tab/>
        <w:t xml:space="preserve">Обмен информацией о национальных и международных </w:t>
      </w:r>
      <w:r w:rsidRPr="00F25D08">
        <w:br/>
        <w:t>требованиях, касающихся уровней шума (пункт 9 повестки дня)</w:t>
      </w:r>
      <w:r w:rsidRPr="00F25D08">
        <w:tab/>
      </w:r>
      <w:r w:rsidRPr="00F25D08">
        <w:tab/>
      </w:r>
      <w:r w:rsidR="00F25D08" w:rsidRPr="00F25D08">
        <w:t>12–14</w:t>
      </w:r>
      <w:r w:rsidRPr="00F25D08">
        <w:tab/>
      </w:r>
      <w:r w:rsidR="00187BCB" w:rsidRPr="00187BCB">
        <w:t>5</w:t>
      </w:r>
    </w:p>
    <w:p w:rsidR="00EE1722" w:rsidRPr="00187BCB" w:rsidRDefault="00EE1722" w:rsidP="00EE172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F25D08">
        <w:tab/>
        <w:t>XI.</w:t>
      </w:r>
      <w:r w:rsidRPr="00F25D08">
        <w:tab/>
        <w:t xml:space="preserve">Влияние поверхности дороги на уровень звука, производимого </w:t>
      </w:r>
      <w:r w:rsidRPr="00F25D08">
        <w:br/>
        <w:t>шинами при качении (пункт 10 повестки дня)</w:t>
      </w:r>
      <w:r w:rsidRPr="00F25D08">
        <w:tab/>
      </w:r>
      <w:r w:rsidRPr="00F25D08">
        <w:tab/>
      </w:r>
      <w:r w:rsidR="00F25D08" w:rsidRPr="00F25D08">
        <w:t>15</w:t>
      </w:r>
      <w:r w:rsidRPr="00F25D08">
        <w:tab/>
      </w:r>
      <w:r w:rsidR="00187BCB" w:rsidRPr="00187BCB">
        <w:t>6</w:t>
      </w:r>
    </w:p>
    <w:p w:rsidR="00EE1722" w:rsidRPr="00187BCB" w:rsidRDefault="00EE1722" w:rsidP="00EE172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F25D08">
        <w:tab/>
        <w:t>XII.</w:t>
      </w:r>
      <w:r w:rsidRPr="00F25D08">
        <w:tab/>
        <w:t>Бесшумные автотранспортные средства (пункт 11 повестки дня)</w:t>
      </w:r>
      <w:r w:rsidRPr="00F25D08">
        <w:tab/>
      </w:r>
      <w:r w:rsidRPr="00F25D08">
        <w:tab/>
      </w:r>
      <w:r w:rsidR="00F25D08" w:rsidRPr="00F25D08">
        <w:t>16–19</w:t>
      </w:r>
      <w:r w:rsidRPr="00F25D08">
        <w:tab/>
      </w:r>
      <w:r w:rsidR="00187BCB" w:rsidRPr="00187BCB">
        <w:t>6</w:t>
      </w:r>
    </w:p>
    <w:p w:rsidR="00EE1722" w:rsidRPr="00187BCB" w:rsidRDefault="00EE1722" w:rsidP="00EE172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F25D08">
        <w:tab/>
        <w:t>XIII.</w:t>
      </w:r>
      <w:r w:rsidRPr="00F25D08">
        <w:tab/>
        <w:t xml:space="preserve">Сокращения и аббревиатуры в правилах, относящихся </w:t>
      </w:r>
      <w:r w:rsidRPr="00F25D08">
        <w:br/>
        <w:t xml:space="preserve">к ведению Рабочей группы по вопросам шума (GRB) </w:t>
      </w:r>
      <w:r w:rsidRPr="00F25D08">
        <w:br/>
        <w:t>(пункт 12 повестки дня)</w:t>
      </w:r>
      <w:r w:rsidRPr="00F25D08">
        <w:tab/>
      </w:r>
      <w:r w:rsidRPr="00F25D08">
        <w:tab/>
      </w:r>
      <w:r w:rsidR="00F25D08" w:rsidRPr="00F25D08">
        <w:t>20</w:t>
      </w:r>
      <w:r w:rsidRPr="00F25D08">
        <w:tab/>
      </w:r>
      <w:r w:rsidR="00187BCB" w:rsidRPr="00187BCB">
        <w:t>7</w:t>
      </w:r>
    </w:p>
    <w:p w:rsidR="00EE1722" w:rsidRPr="00187BCB" w:rsidRDefault="00EE1722" w:rsidP="00EE172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F25D08">
        <w:tab/>
        <w:t>XIV.</w:t>
      </w:r>
      <w:r w:rsidRPr="00F25D08">
        <w:tab/>
        <w:t xml:space="preserve">Предложение по поправкам к Сводной резолюции о конструкции </w:t>
      </w:r>
      <w:r w:rsidRPr="00F25D08">
        <w:br/>
        <w:t>транспортных средств (пункт 13 повестки дня)</w:t>
      </w:r>
      <w:r w:rsidRPr="00F25D08">
        <w:tab/>
      </w:r>
      <w:r w:rsidRPr="00F25D08">
        <w:tab/>
      </w:r>
      <w:r w:rsidR="00F25D08" w:rsidRPr="00F25D08">
        <w:t>21</w:t>
      </w:r>
      <w:r w:rsidRPr="00F25D08">
        <w:tab/>
      </w:r>
      <w:r w:rsidR="00187BCB" w:rsidRPr="00187BCB">
        <w:t>7</w:t>
      </w:r>
    </w:p>
    <w:p w:rsidR="00EE1722" w:rsidRPr="00187BCB" w:rsidRDefault="00EE1722" w:rsidP="00EE172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F25D08">
        <w:tab/>
        <w:t>XV.</w:t>
      </w:r>
      <w:r w:rsidRPr="00F25D08">
        <w:tab/>
        <w:t xml:space="preserve">Разработка международной системы официального утверждения </w:t>
      </w:r>
      <w:r w:rsidRPr="00F25D08">
        <w:br/>
        <w:t xml:space="preserve">типа комплектного транспортного средства (МОУТКТС) и участие </w:t>
      </w:r>
      <w:r w:rsidRPr="00F25D08">
        <w:br/>
        <w:t>в ней рабочих групп (пункт 14 повестки дня)</w:t>
      </w:r>
      <w:r w:rsidRPr="00F25D08">
        <w:tab/>
      </w:r>
      <w:r w:rsidRPr="00F25D08">
        <w:tab/>
      </w:r>
      <w:r w:rsidR="00F25D08" w:rsidRPr="00F25D08">
        <w:t>22</w:t>
      </w:r>
      <w:r w:rsidRPr="00F25D08">
        <w:tab/>
      </w:r>
      <w:r w:rsidR="00187BCB" w:rsidRPr="00187BCB">
        <w:t>8</w:t>
      </w:r>
    </w:p>
    <w:p w:rsidR="00EE1722" w:rsidRPr="00187BCB" w:rsidRDefault="00EE1722" w:rsidP="00EE172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F25D08">
        <w:tab/>
        <w:t>XVI.</w:t>
      </w:r>
      <w:r w:rsidRPr="00F25D08">
        <w:tab/>
        <w:t xml:space="preserve">Основные вопросы, рассмотренные на сессии WP.29 </w:t>
      </w:r>
      <w:r w:rsidRPr="00F25D08">
        <w:br/>
        <w:t>в ноябре 2015 года (пункт 15 повестки дня)</w:t>
      </w:r>
      <w:r w:rsidRPr="00F25D08">
        <w:tab/>
      </w:r>
      <w:r w:rsidRPr="00F25D08">
        <w:tab/>
      </w:r>
      <w:r w:rsidR="00F25D08" w:rsidRPr="00F25D08">
        <w:t>23</w:t>
      </w:r>
      <w:r w:rsidRPr="00F25D08">
        <w:tab/>
      </w:r>
      <w:r w:rsidR="00187BCB" w:rsidRPr="00187BCB">
        <w:t>8</w:t>
      </w:r>
    </w:p>
    <w:p w:rsidR="00EE1722" w:rsidRPr="00187BCB" w:rsidRDefault="00EE1722" w:rsidP="00EE172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F25D08">
        <w:tab/>
        <w:t>XVII.</w:t>
      </w:r>
      <w:r w:rsidRPr="00F25D08">
        <w:tab/>
        <w:t xml:space="preserve">Обмен мнениями по поводу будущей работы GRB </w:t>
      </w:r>
      <w:r w:rsidRPr="00F25D08">
        <w:br/>
        <w:t>(пункт 16 повестки дня)</w:t>
      </w:r>
      <w:r w:rsidRPr="00F25D08">
        <w:tab/>
      </w:r>
      <w:r w:rsidRPr="00F25D08">
        <w:tab/>
      </w:r>
      <w:r w:rsidR="00F25D08" w:rsidRPr="00F25D08">
        <w:t>24–27</w:t>
      </w:r>
      <w:r w:rsidRPr="00F25D08">
        <w:tab/>
      </w:r>
      <w:r w:rsidR="00187BCB" w:rsidRPr="00187BCB">
        <w:t>8</w:t>
      </w:r>
    </w:p>
    <w:p w:rsidR="00EE1722" w:rsidRPr="00187BCB" w:rsidRDefault="00EE1722" w:rsidP="00EE172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F25D08">
        <w:tab/>
        <w:t>XVIII.</w:t>
      </w:r>
      <w:r w:rsidRPr="00F25D08">
        <w:tab/>
        <w:t>Прочие вопросы (пункт 17 повестки дня)</w:t>
      </w:r>
      <w:r w:rsidRPr="00F25D08">
        <w:tab/>
      </w:r>
      <w:r w:rsidRPr="00F25D08">
        <w:tab/>
      </w:r>
      <w:r w:rsidR="00F25D08" w:rsidRPr="00F25D08">
        <w:t>28–30</w:t>
      </w:r>
      <w:r w:rsidRPr="00F25D08">
        <w:tab/>
      </w:r>
      <w:r w:rsidR="00187BCB" w:rsidRPr="00187BCB">
        <w:t>9</w:t>
      </w:r>
    </w:p>
    <w:p w:rsidR="00EE1722" w:rsidRPr="00187BCB" w:rsidRDefault="00EE1722" w:rsidP="00EE172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F25D08">
        <w:tab/>
        <w:t>XIX.</w:t>
      </w:r>
      <w:r w:rsidRPr="00F25D08">
        <w:tab/>
        <w:t xml:space="preserve">Предварительная повестка дня шестьдесят четвертой сессии </w:t>
      </w:r>
      <w:r w:rsidRPr="00F25D08">
        <w:br/>
        <w:t>(пункт 18 повестки дня)</w:t>
      </w:r>
      <w:r w:rsidRPr="00F25D08">
        <w:tab/>
      </w:r>
      <w:r w:rsidRPr="00F25D08">
        <w:tab/>
      </w:r>
      <w:r w:rsidR="00F25D08" w:rsidRPr="00F25D08">
        <w:t>31</w:t>
      </w:r>
      <w:r w:rsidRPr="00F25D08">
        <w:tab/>
      </w:r>
      <w:r w:rsidR="00187BCB" w:rsidRPr="00187BCB">
        <w:t>9</w:t>
      </w:r>
    </w:p>
    <w:p w:rsidR="00EE1722" w:rsidRPr="00F25D08" w:rsidRDefault="00EE1722" w:rsidP="00EE172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F25D08">
        <w:t>Приложения</w:t>
      </w:r>
    </w:p>
    <w:p w:rsidR="00EE1722" w:rsidRPr="00187BCB" w:rsidRDefault="00EE1722" w:rsidP="00907D1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820"/>
          <w:tab w:val="right" w:pos="8929"/>
          <w:tab w:val="right" w:pos="9638"/>
        </w:tabs>
        <w:suppressAutoHyphens/>
        <w:ind w:right="0" w:hanging="1134"/>
        <w:jc w:val="left"/>
      </w:pPr>
      <w:r w:rsidRPr="00F25D08">
        <w:tab/>
        <w:t>I.</w:t>
      </w:r>
      <w:r w:rsidRPr="00F25D08">
        <w:tab/>
        <w:t xml:space="preserve">Перечень неофициальных документов (GRB-63-…), </w:t>
      </w:r>
      <w:r w:rsidR="00907D1D" w:rsidRPr="00F25D08">
        <w:br/>
      </w:r>
      <w:r w:rsidRPr="00F25D08">
        <w:t>распространенных в ходе сессии</w:t>
      </w:r>
      <w:r w:rsidR="00907D1D" w:rsidRPr="00F25D08">
        <w:tab/>
      </w:r>
      <w:r w:rsidR="00907D1D" w:rsidRPr="00F25D08">
        <w:tab/>
      </w:r>
      <w:r w:rsidR="00907D1D" w:rsidRPr="00F25D08">
        <w:tab/>
      </w:r>
      <w:r w:rsidR="00187BCB" w:rsidRPr="00187BCB">
        <w:t>11</w:t>
      </w:r>
    </w:p>
    <w:p w:rsidR="00EE1722" w:rsidRPr="00187BCB" w:rsidRDefault="00907D1D" w:rsidP="00907D1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820"/>
          <w:tab w:val="right" w:pos="8929"/>
          <w:tab w:val="right" w:pos="9638"/>
        </w:tabs>
        <w:suppressAutoHyphens/>
        <w:ind w:right="0" w:hanging="1134"/>
        <w:jc w:val="left"/>
      </w:pPr>
      <w:r w:rsidRPr="00F25D08">
        <w:tab/>
      </w:r>
      <w:r w:rsidR="00EE1722" w:rsidRPr="00F25D08">
        <w:t>II</w:t>
      </w:r>
      <w:r w:rsidRPr="00F25D08">
        <w:t>.</w:t>
      </w:r>
      <w:r w:rsidR="00EE1722" w:rsidRPr="00F25D08">
        <w:tab/>
        <w:t>Принятые поправки к поправкам серии 04 к</w:t>
      </w:r>
      <w:r w:rsidR="00F25D08" w:rsidRPr="00F25D08">
        <w:t xml:space="preserve"> </w:t>
      </w:r>
      <w:r w:rsidR="00EE1722" w:rsidRPr="00F25D08">
        <w:t>Правилам № 41</w:t>
      </w:r>
      <w:r w:rsidRPr="00F25D08">
        <w:tab/>
      </w:r>
      <w:r w:rsidRPr="00F25D08">
        <w:tab/>
      </w:r>
      <w:r w:rsidRPr="00F25D08">
        <w:tab/>
      </w:r>
      <w:r w:rsidR="00187BCB" w:rsidRPr="00187BCB">
        <w:t>12</w:t>
      </w:r>
    </w:p>
    <w:p w:rsidR="00EE1722" w:rsidRPr="00187BCB" w:rsidRDefault="00907D1D" w:rsidP="00907D1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820"/>
          <w:tab w:val="right" w:pos="8929"/>
          <w:tab w:val="right" w:pos="9638"/>
        </w:tabs>
        <w:suppressAutoHyphens/>
        <w:ind w:right="0" w:hanging="1134"/>
        <w:jc w:val="left"/>
      </w:pPr>
      <w:r w:rsidRPr="00F25D08">
        <w:tab/>
      </w:r>
      <w:r w:rsidR="00EE1722" w:rsidRPr="00F25D08">
        <w:t>III</w:t>
      </w:r>
      <w:r w:rsidRPr="00F25D08">
        <w:t>.</w:t>
      </w:r>
      <w:r w:rsidR="00EE1722" w:rsidRPr="00F25D08">
        <w:tab/>
        <w:t xml:space="preserve">Принятые поправки, касающиеся волокнистых материалов, </w:t>
      </w:r>
      <w:r w:rsidRPr="00F25D08">
        <w:br/>
      </w:r>
      <w:r w:rsidR="00EE1722" w:rsidRPr="00F25D08">
        <w:t>к поправкам серии 07 к Правилам № 9</w:t>
      </w:r>
      <w:r w:rsidRPr="00F25D08">
        <w:tab/>
      </w:r>
      <w:r w:rsidRPr="00F25D08">
        <w:tab/>
      </w:r>
      <w:r w:rsidRPr="00F25D08">
        <w:tab/>
      </w:r>
      <w:r w:rsidR="00187BCB" w:rsidRPr="00187BCB">
        <w:t>13</w:t>
      </w:r>
    </w:p>
    <w:p w:rsidR="00EE1722" w:rsidRPr="00187BCB" w:rsidRDefault="00907D1D" w:rsidP="00907D1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820"/>
          <w:tab w:val="right" w:pos="8929"/>
          <w:tab w:val="right" w:pos="9638"/>
        </w:tabs>
        <w:suppressAutoHyphens/>
        <w:ind w:right="0" w:hanging="1134"/>
        <w:jc w:val="left"/>
      </w:pPr>
      <w:r w:rsidRPr="00F25D08">
        <w:tab/>
      </w:r>
      <w:r w:rsidR="00EE1722" w:rsidRPr="00F25D08">
        <w:t>IV</w:t>
      </w:r>
      <w:r w:rsidRPr="00F25D08">
        <w:t>.</w:t>
      </w:r>
      <w:r w:rsidR="00EE1722" w:rsidRPr="00F25D08">
        <w:tab/>
        <w:t xml:space="preserve">Принятые поправки, касающиеся волокнистых материалов, </w:t>
      </w:r>
      <w:r w:rsidRPr="00F25D08">
        <w:br/>
      </w:r>
      <w:r w:rsidR="00EE1722" w:rsidRPr="00F25D08">
        <w:t>к поправкам серии 04 к Правилам № 41</w:t>
      </w:r>
      <w:r w:rsidRPr="00F25D08">
        <w:tab/>
      </w:r>
      <w:r w:rsidRPr="00F25D08">
        <w:tab/>
      </w:r>
      <w:r w:rsidRPr="00F25D08">
        <w:tab/>
      </w:r>
      <w:r w:rsidR="00187BCB" w:rsidRPr="00187BCB">
        <w:t>14</w:t>
      </w:r>
    </w:p>
    <w:p w:rsidR="00EE1722" w:rsidRPr="00187BCB" w:rsidRDefault="00907D1D" w:rsidP="00907D1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820"/>
          <w:tab w:val="right" w:pos="8929"/>
          <w:tab w:val="right" w:pos="9638"/>
        </w:tabs>
        <w:suppressAutoHyphens/>
        <w:ind w:right="0" w:hanging="1134"/>
        <w:jc w:val="left"/>
      </w:pPr>
      <w:r w:rsidRPr="00F25D08">
        <w:tab/>
      </w:r>
      <w:r w:rsidR="00EE1722" w:rsidRPr="00F25D08">
        <w:t>V</w:t>
      </w:r>
      <w:r w:rsidRPr="00F25D08">
        <w:t>.</w:t>
      </w:r>
      <w:r w:rsidRPr="00F25D08">
        <w:tab/>
      </w:r>
      <w:r w:rsidR="00EE1722" w:rsidRPr="00F25D08">
        <w:t xml:space="preserve">Принятые поправки, касающиеся волокнистых материалов, </w:t>
      </w:r>
      <w:r w:rsidRPr="00F25D08">
        <w:br/>
      </w:r>
      <w:r w:rsidR="00EE1722" w:rsidRPr="00F25D08">
        <w:t>к поправкам серии 02 к Правилам № 63</w:t>
      </w:r>
      <w:r w:rsidRPr="00F25D08">
        <w:tab/>
      </w:r>
      <w:r w:rsidRPr="00F25D08">
        <w:tab/>
      </w:r>
      <w:r w:rsidRPr="00F25D08">
        <w:tab/>
      </w:r>
      <w:r w:rsidR="00187BCB" w:rsidRPr="00187BCB">
        <w:t>15</w:t>
      </w:r>
    </w:p>
    <w:p w:rsidR="00EE1722" w:rsidRPr="00187BCB" w:rsidRDefault="00907D1D" w:rsidP="00907D1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820"/>
          <w:tab w:val="right" w:pos="8929"/>
          <w:tab w:val="right" w:pos="9638"/>
        </w:tabs>
        <w:suppressAutoHyphens/>
        <w:ind w:right="0" w:hanging="1134"/>
        <w:jc w:val="left"/>
      </w:pPr>
      <w:r w:rsidRPr="00F25D08">
        <w:tab/>
      </w:r>
      <w:r w:rsidR="00EE1722" w:rsidRPr="00F25D08">
        <w:t>VI</w:t>
      </w:r>
      <w:r w:rsidRPr="00F25D08">
        <w:t>.</w:t>
      </w:r>
      <w:r w:rsidRPr="00F25D08">
        <w:tab/>
      </w:r>
      <w:r w:rsidR="00EE1722" w:rsidRPr="00F25D08">
        <w:t xml:space="preserve">Принятые поправки, касающиеся волокнистых материалов, </w:t>
      </w:r>
      <w:r w:rsidRPr="00F25D08">
        <w:br/>
      </w:r>
      <w:r w:rsidR="00EE1722" w:rsidRPr="00F25D08">
        <w:t>к поправкам серии 01 к Правилам № 92</w:t>
      </w:r>
      <w:r w:rsidRPr="00F25D08">
        <w:tab/>
      </w:r>
      <w:r w:rsidRPr="00F25D08">
        <w:tab/>
      </w:r>
      <w:r w:rsidRPr="00F25D08">
        <w:tab/>
      </w:r>
      <w:r w:rsidR="00187BCB" w:rsidRPr="00187BCB">
        <w:t>16</w:t>
      </w:r>
    </w:p>
    <w:p w:rsidR="00EE1722" w:rsidRPr="00187BCB" w:rsidRDefault="00EE1722" w:rsidP="00907D1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820"/>
          <w:tab w:val="right" w:pos="8929"/>
          <w:tab w:val="right" w:pos="9638"/>
        </w:tabs>
        <w:suppressAutoHyphens/>
        <w:ind w:right="0" w:hanging="1134"/>
        <w:jc w:val="left"/>
      </w:pPr>
      <w:r w:rsidRPr="00F25D08">
        <w:tab/>
        <w:t>VII</w:t>
      </w:r>
      <w:r w:rsidR="00907D1D" w:rsidRPr="00F25D08">
        <w:t>.</w:t>
      </w:r>
      <w:r w:rsidRPr="00F25D08">
        <w:tab/>
        <w:t xml:space="preserve">Пересмотренные положения о круге ведения неофициальной </w:t>
      </w:r>
      <w:r w:rsidR="00907D1D" w:rsidRPr="00F25D08">
        <w:br/>
      </w:r>
      <w:r w:rsidRPr="00F25D08">
        <w:t xml:space="preserve">рабочей группы (НРГ) по разработке правил, касающихся бесшумных </w:t>
      </w:r>
      <w:r w:rsidR="00907D1D" w:rsidRPr="00F25D08">
        <w:br/>
      </w:r>
      <w:r w:rsidRPr="00F25D08">
        <w:t>автотранспортных средств (БАТС)</w:t>
      </w:r>
      <w:r w:rsidR="00907D1D" w:rsidRPr="00F25D08">
        <w:t>, в рамках Соглашения 1958 года</w:t>
      </w:r>
      <w:r w:rsidR="00907D1D" w:rsidRPr="00F25D08">
        <w:tab/>
      </w:r>
      <w:r w:rsidR="00907D1D" w:rsidRPr="00F25D08">
        <w:tab/>
      </w:r>
      <w:r w:rsidR="00907D1D" w:rsidRPr="00F25D08">
        <w:tab/>
      </w:r>
      <w:r w:rsidR="00187BCB" w:rsidRPr="00187BCB">
        <w:t>17</w:t>
      </w:r>
    </w:p>
    <w:p w:rsidR="00EE1722" w:rsidRPr="00187BCB" w:rsidRDefault="00907D1D" w:rsidP="00907D1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820"/>
          <w:tab w:val="right" w:pos="8929"/>
          <w:tab w:val="right" w:pos="9638"/>
        </w:tabs>
        <w:suppressAutoHyphens/>
        <w:ind w:right="0" w:hanging="1134"/>
        <w:jc w:val="left"/>
        <w:rPr>
          <w:lang w:val="en-US"/>
        </w:rPr>
      </w:pPr>
      <w:r w:rsidRPr="00F25D08">
        <w:tab/>
      </w:r>
      <w:r w:rsidR="00EE1722" w:rsidRPr="00F25D08">
        <w:t>VIII</w:t>
      </w:r>
      <w:r w:rsidRPr="00F25D08">
        <w:t>.</w:t>
      </w:r>
      <w:r w:rsidRPr="00F25D08">
        <w:tab/>
      </w:r>
      <w:r w:rsidR="00EE1722" w:rsidRPr="00F25D08">
        <w:t>Неофициальные группы GRB</w:t>
      </w:r>
      <w:r w:rsidR="00EE1722" w:rsidRPr="00F25D08">
        <w:tab/>
      </w:r>
      <w:r w:rsidR="00EE1722" w:rsidRPr="00F25D08">
        <w:tab/>
      </w:r>
      <w:r w:rsidRPr="00F25D08">
        <w:tab/>
      </w:r>
      <w:r w:rsidR="00187BCB">
        <w:rPr>
          <w:lang w:val="en-US"/>
        </w:rPr>
        <w:t>19</w:t>
      </w:r>
    </w:p>
    <w:p w:rsidR="0066551B" w:rsidRPr="00F25D08" w:rsidRDefault="0066551B">
      <w:pPr>
        <w:spacing w:line="240" w:lineRule="auto"/>
        <w:rPr>
          <w:b/>
          <w:sz w:val="28"/>
          <w:lang w:eastAsia="ru-RU"/>
        </w:rPr>
      </w:pPr>
      <w:r w:rsidRPr="00F25D08">
        <w:br w:type="page"/>
      </w:r>
    </w:p>
    <w:p w:rsidR="00BF0148" w:rsidRPr="00F25D08" w:rsidRDefault="00BF0148" w:rsidP="0066551B">
      <w:pPr>
        <w:pStyle w:val="HChGR"/>
      </w:pPr>
      <w:r w:rsidRPr="00F25D08">
        <w:lastRenderedPageBreak/>
        <w:tab/>
        <w:t>I.</w:t>
      </w:r>
      <w:r w:rsidRPr="00F25D08">
        <w:tab/>
        <w:t>Участники</w:t>
      </w:r>
    </w:p>
    <w:p w:rsidR="00BF0148" w:rsidRPr="00F25D08" w:rsidRDefault="00BF0148" w:rsidP="00BF0148">
      <w:pPr>
        <w:pStyle w:val="SingleTxtGR"/>
      </w:pPr>
      <w:r w:rsidRPr="00F25D08">
        <w:t>1.</w:t>
      </w:r>
      <w:r w:rsidRPr="00F25D08">
        <w:tab/>
        <w:t>Рабочая группа по вопросам шума (GRB) провела свою шестьдесят тр</w:t>
      </w:r>
      <w:r w:rsidRPr="00F25D08">
        <w:t>е</w:t>
      </w:r>
      <w:r w:rsidRPr="00F25D08">
        <w:t>тью сессию 16–18 февраля 2016 года в Женеве. Сессия проходила под предс</w:t>
      </w:r>
      <w:r w:rsidRPr="00F25D08">
        <w:t>е</w:t>
      </w:r>
      <w:r w:rsidRPr="00F25D08">
        <w:t>дательством г-на С. Фишё (Франция). В соответствии с правилом 1 а) Правил процедуры Всемирного форума для согласования правил в области транспор</w:t>
      </w:r>
      <w:r w:rsidRPr="00F25D08">
        <w:t>т</w:t>
      </w:r>
      <w:r w:rsidRPr="00F25D08">
        <w:t>ных средств (WP.29) (TRANS/WP.29/690, Amend.1 и Amend.2) в работе сессии приняли участие эксперты от следующих стран: Австрии, Бельгии, Китая, Франции, Германии, Венгрии, Индии, Италии, Японии, Нидерландов, Норв</w:t>
      </w:r>
      <w:r w:rsidRPr="00F25D08">
        <w:t>е</w:t>
      </w:r>
      <w:r w:rsidRPr="00F25D08">
        <w:t>гии, Польши, Российской Федерации, Испании, Швеции, Швейцарии, Соед</w:t>
      </w:r>
      <w:r w:rsidRPr="00F25D08">
        <w:t>и</w:t>
      </w:r>
      <w:r w:rsidRPr="00F25D08">
        <w:t>ненного Королевства Великобритании и Северной Ирландии и Соединенных Штатов Америки. Кроме того, в ее работе участвовали эксперты от Европе</w:t>
      </w:r>
      <w:r w:rsidRPr="00F25D08">
        <w:t>й</w:t>
      </w:r>
      <w:r w:rsidRPr="00F25D08">
        <w:t>ской комиссии (ЕК). В работе сессии участвовали также эксперты от следу</w:t>
      </w:r>
      <w:r w:rsidRPr="00F25D08">
        <w:t>ю</w:t>
      </w:r>
      <w:r w:rsidRPr="00F25D08">
        <w:t>щих неправительственных организаций: Европейской ассоциации поставщиков автомобильных деталей (КСАОД), Европейской технической организации по вопросам пневматических шин и ободьев колес (ЕТОПОК), Международного совета академий инженерно-технических обществ (САИТО), Международной ассоциации заводов-изготовителей мотоциклов (МАЗМ), Международной м</w:t>
      </w:r>
      <w:r w:rsidRPr="00F25D08">
        <w:t>о</w:t>
      </w:r>
      <w:r w:rsidRPr="00F25D08">
        <w:t>тоциклетной федерации (ФИМ), Международной организации по стандартиз</w:t>
      </w:r>
      <w:r w:rsidRPr="00F25D08">
        <w:t>а</w:t>
      </w:r>
      <w:r w:rsidRPr="00F25D08">
        <w:t>ции (ИСО), Международной организации предприятий автомобильной пр</w:t>
      </w:r>
      <w:r w:rsidRPr="00F25D08">
        <w:t>о</w:t>
      </w:r>
      <w:r w:rsidRPr="00F25D08">
        <w:t>мышленности (МОПАП) и Всемирного союза слепых (ВСС).</w:t>
      </w:r>
    </w:p>
    <w:p w:rsidR="00BF0148" w:rsidRPr="00F25D08" w:rsidRDefault="00BF0148" w:rsidP="0066551B">
      <w:pPr>
        <w:pStyle w:val="HChGR"/>
      </w:pPr>
      <w:r w:rsidRPr="00F25D08">
        <w:tab/>
        <w:t>II.</w:t>
      </w:r>
      <w:r w:rsidRPr="00F25D08">
        <w:tab/>
        <w:t>Утверждение повестки дня (пункт 1 повестки дня)</w:t>
      </w:r>
    </w:p>
    <w:p w:rsidR="00BF0148" w:rsidRPr="00F25D08" w:rsidRDefault="00BF0148" w:rsidP="00BF0148">
      <w:pPr>
        <w:pStyle w:val="SingleTxtGR"/>
      </w:pPr>
      <w:r w:rsidRPr="00F25D08">
        <w:rPr>
          <w:i/>
          <w:iCs/>
        </w:rPr>
        <w:t>Документация</w:t>
      </w:r>
      <w:r w:rsidRPr="00F25D08">
        <w:t>:</w:t>
      </w:r>
      <w:r w:rsidRPr="00F25D08">
        <w:tab/>
        <w:t xml:space="preserve">ECE/TRANS/WP.29/GRB/2016/1 </w:t>
      </w:r>
    </w:p>
    <w:p w:rsidR="00BF0148" w:rsidRPr="00F25D08" w:rsidRDefault="00BF0148" w:rsidP="00BF0148">
      <w:pPr>
        <w:pStyle w:val="SingleTxtGR"/>
      </w:pPr>
      <w:r w:rsidRPr="00F25D08">
        <w:t>2.</w:t>
      </w:r>
      <w:r w:rsidRPr="00F25D08">
        <w:tab/>
        <w:t>GRB рассмотрела и утвердила повестку дня.</w:t>
      </w:r>
    </w:p>
    <w:p w:rsidR="00BF0148" w:rsidRPr="00F25D08" w:rsidRDefault="00BF0148" w:rsidP="00B2452B">
      <w:pPr>
        <w:pStyle w:val="HChGR"/>
      </w:pPr>
      <w:r w:rsidRPr="00F25D08">
        <w:tab/>
        <w:t>III.</w:t>
      </w:r>
      <w:r w:rsidRPr="00F25D08">
        <w:tab/>
        <w:t xml:space="preserve">Правила </w:t>
      </w:r>
      <w:r w:rsidR="004022C5" w:rsidRPr="00F25D08">
        <w:t>№ </w:t>
      </w:r>
      <w:r w:rsidRPr="00F25D08">
        <w:t>28 (звуковые сигнальные приборы) (пункт 2 повестки дня)</w:t>
      </w:r>
    </w:p>
    <w:p w:rsidR="00BF0148" w:rsidRPr="00F25D08" w:rsidRDefault="00BF0148" w:rsidP="00B2452B">
      <w:pPr>
        <w:pStyle w:val="SingleTxtGR"/>
        <w:ind w:left="2835" w:hanging="1701"/>
        <w:jc w:val="left"/>
      </w:pPr>
      <w:r w:rsidRPr="00F25D08">
        <w:rPr>
          <w:i/>
          <w:iCs/>
        </w:rPr>
        <w:t>Документация</w:t>
      </w:r>
      <w:r w:rsidRPr="00F25D08">
        <w:t>:</w:t>
      </w:r>
      <w:r w:rsidRPr="00F25D08">
        <w:tab/>
        <w:t xml:space="preserve">ECE/TRANS/WP.29/GRB/2016/2, </w:t>
      </w:r>
      <w:r w:rsidR="00B2452B" w:rsidRPr="00F25D08">
        <w:br/>
      </w:r>
      <w:r w:rsidRPr="00F25D08">
        <w:t xml:space="preserve">неофициальные документы GRB-63-01, GRB-63-04, </w:t>
      </w:r>
      <w:r w:rsidR="00B2452B" w:rsidRPr="00F25D08">
        <w:br/>
      </w:r>
      <w:r w:rsidRPr="00F25D08">
        <w:t xml:space="preserve">GRB-63-15, GRB-63-16, GRB-63-17 </w:t>
      </w:r>
    </w:p>
    <w:p w:rsidR="00BF0148" w:rsidRPr="00F25D08" w:rsidRDefault="00BF0148" w:rsidP="00BF0148">
      <w:pPr>
        <w:pStyle w:val="SingleTxtGR"/>
      </w:pPr>
      <w:r w:rsidRPr="00F25D08">
        <w:t>3.</w:t>
      </w:r>
      <w:r w:rsidRPr="00F25D08">
        <w:tab/>
        <w:t>Эксперт от Российской Федерации представил пересмотренное предл</w:t>
      </w:r>
      <w:r w:rsidRPr="00F25D08">
        <w:t>о</w:t>
      </w:r>
      <w:r w:rsidRPr="00F25D08">
        <w:t xml:space="preserve">жение по поправкам к Правилам </w:t>
      </w:r>
      <w:r w:rsidR="004022C5" w:rsidRPr="00F25D08">
        <w:t>№ </w:t>
      </w:r>
      <w:r w:rsidRPr="00F25D08">
        <w:t xml:space="preserve">28 (ECE/TRANS/WP.29/GRB/2016/2, </w:t>
      </w:r>
      <w:r w:rsidR="000870BF" w:rsidRPr="00D942AA">
        <w:br/>
      </w:r>
      <w:r w:rsidRPr="00F25D08">
        <w:t xml:space="preserve">GRB-63-01 и GRB-63-04). Замечания по этому предложению были высказаны экспертами от Китая, Франции и МАЗМ (соответственно GRB-63-17, </w:t>
      </w:r>
      <w:r w:rsidR="000870BF" w:rsidRPr="00D942AA">
        <w:br/>
      </w:r>
      <w:r w:rsidRPr="00F25D08">
        <w:t>GRB-63-16 и GRB-63-15). Эксперты от Японии и Испании отметили, что им п</w:t>
      </w:r>
      <w:r w:rsidRPr="00F25D08">
        <w:t>о</w:t>
      </w:r>
      <w:r w:rsidRPr="00F25D08">
        <w:t>требуется больше времени для изучения этого предложения и его последствий и высказали просьбу о том, чтобы его принятие было отложено до следующей сессии. GRB просила всех экспертов передать свои замечания до конца марта 2016 года эксперту от Российской Федерации, который обновит это предлож</w:t>
      </w:r>
      <w:r w:rsidRPr="00F25D08">
        <w:t>е</w:t>
      </w:r>
      <w:r w:rsidRPr="00F25D08">
        <w:t>ние для рассмотрения на следующей сессии.</w:t>
      </w:r>
    </w:p>
    <w:p w:rsidR="00BF0148" w:rsidRPr="00F25D08" w:rsidRDefault="00BF0148" w:rsidP="00B2452B">
      <w:pPr>
        <w:pStyle w:val="HChGR"/>
      </w:pPr>
      <w:r w:rsidRPr="00F25D08">
        <w:lastRenderedPageBreak/>
        <w:tab/>
        <w:t>IV.</w:t>
      </w:r>
      <w:r w:rsidRPr="00F25D08">
        <w:tab/>
        <w:t xml:space="preserve">Правила </w:t>
      </w:r>
      <w:r w:rsidR="004022C5" w:rsidRPr="00F25D08">
        <w:t>№ </w:t>
      </w:r>
      <w:r w:rsidRPr="00F25D08">
        <w:t>41 (шум, производимый мотоциклами): разработка (пункт 3 повестки дня)</w:t>
      </w:r>
    </w:p>
    <w:p w:rsidR="00BF0148" w:rsidRPr="00F25D08" w:rsidRDefault="00BF0148" w:rsidP="00B2452B">
      <w:pPr>
        <w:pStyle w:val="SingleTxtGR"/>
        <w:keepNext/>
      </w:pPr>
      <w:r w:rsidRPr="00F25D08">
        <w:rPr>
          <w:i/>
          <w:iCs/>
        </w:rPr>
        <w:t>Документация</w:t>
      </w:r>
      <w:r w:rsidRPr="00F25D08">
        <w:t>:</w:t>
      </w:r>
      <w:r w:rsidRPr="00F25D08">
        <w:tab/>
        <w:t xml:space="preserve">неофициальный документ GRB-63-10 </w:t>
      </w:r>
    </w:p>
    <w:p w:rsidR="00BF0148" w:rsidRPr="00F25D08" w:rsidRDefault="00BF0148" w:rsidP="00BF0148">
      <w:pPr>
        <w:pStyle w:val="SingleTxtGR"/>
      </w:pPr>
      <w:r w:rsidRPr="00F25D08">
        <w:t>4.</w:t>
      </w:r>
      <w:r w:rsidRPr="00F25D08">
        <w:tab/>
        <w:t>Эксперт от МАЗМ предложил уточнить процедуры испытаний, приведе</w:t>
      </w:r>
      <w:r w:rsidRPr="00F25D08">
        <w:t>н</w:t>
      </w:r>
      <w:r w:rsidRPr="00F25D08">
        <w:t>ные в приложении 7, в котором содержатся дополнительные положения, кас</w:t>
      </w:r>
      <w:r w:rsidRPr="00F25D08">
        <w:t>а</w:t>
      </w:r>
      <w:r w:rsidRPr="00F25D08">
        <w:t>ющиеся производимого шума (ДППШ) (GRB-63-10). GRB приняла это предл</w:t>
      </w:r>
      <w:r w:rsidRPr="00F25D08">
        <w:t>о</w:t>
      </w:r>
      <w:r w:rsidRPr="00F25D08">
        <w:t>жение (приложение II) и просила секретариат представить его Всемирному ф</w:t>
      </w:r>
      <w:r w:rsidRPr="00F25D08">
        <w:t>о</w:t>
      </w:r>
      <w:r w:rsidRPr="00F25D08">
        <w:t>руму для согласования правил в области транспортных средств (WP.29) и А</w:t>
      </w:r>
      <w:r w:rsidRPr="00F25D08">
        <w:t>д</w:t>
      </w:r>
      <w:r w:rsidRPr="00F25D08">
        <w:t>министративному комитету (АС.1) для рассмотрения и голосования на их се</w:t>
      </w:r>
      <w:r w:rsidRPr="00F25D08">
        <w:t>с</w:t>
      </w:r>
      <w:r w:rsidRPr="00F25D08">
        <w:t xml:space="preserve">сиях в июне 2016 года в качестве проекта дополнения 5 к поправкам серии 04 к Правилам </w:t>
      </w:r>
      <w:r w:rsidR="004022C5" w:rsidRPr="00F25D08">
        <w:t>№ </w:t>
      </w:r>
      <w:r w:rsidRPr="00F25D08">
        <w:t>41.</w:t>
      </w:r>
    </w:p>
    <w:p w:rsidR="00BF0148" w:rsidRPr="00F25D08" w:rsidRDefault="00BF0148" w:rsidP="00B2452B">
      <w:pPr>
        <w:pStyle w:val="HChGR"/>
      </w:pPr>
      <w:r w:rsidRPr="00F25D08">
        <w:tab/>
        <w:t>V.</w:t>
      </w:r>
      <w:r w:rsidRPr="00F25D08">
        <w:tab/>
        <w:t xml:space="preserve">Правила </w:t>
      </w:r>
      <w:r w:rsidR="004022C5" w:rsidRPr="00F25D08">
        <w:t>№ </w:t>
      </w:r>
      <w:r w:rsidRPr="00F25D08">
        <w:t>51 (шум, производимый транспортными средствами категорий М и N) (пункт 4 повестки дня)</w:t>
      </w:r>
    </w:p>
    <w:p w:rsidR="00BF0148" w:rsidRPr="00F25D08" w:rsidRDefault="00BF0148" w:rsidP="00B2452B">
      <w:pPr>
        <w:pStyle w:val="H1GR"/>
      </w:pPr>
      <w:r w:rsidRPr="00F25D08">
        <w:tab/>
        <w:t>A.</w:t>
      </w:r>
      <w:r w:rsidRPr="00F25D08">
        <w:tab/>
        <w:t>Разработка</w:t>
      </w:r>
    </w:p>
    <w:p w:rsidR="00BF0148" w:rsidRPr="00F25D08" w:rsidRDefault="00BF0148" w:rsidP="00BF0148">
      <w:pPr>
        <w:pStyle w:val="SingleTxtGR"/>
      </w:pPr>
      <w:r w:rsidRPr="00F25D08">
        <w:rPr>
          <w:i/>
          <w:iCs/>
        </w:rPr>
        <w:t>Документация</w:t>
      </w:r>
      <w:r w:rsidRPr="00F25D08">
        <w:t>:</w:t>
      </w:r>
      <w:r w:rsidRPr="00F25D08">
        <w:tab/>
        <w:t xml:space="preserve">ECE/TRANS/WP.29/2015/62, ECE/TRANS/WP.29/2016/4 </w:t>
      </w:r>
    </w:p>
    <w:p w:rsidR="00BF0148" w:rsidRPr="00F25D08" w:rsidRDefault="00BF0148" w:rsidP="00BF0148">
      <w:pPr>
        <w:pStyle w:val="SingleTxtGR"/>
      </w:pPr>
      <w:r w:rsidRPr="00F25D08">
        <w:t>5.</w:t>
      </w:r>
      <w:r w:rsidRPr="00F25D08">
        <w:tab/>
        <w:t xml:space="preserve">GRB отметила, что поправки серии 03 к Правилам </w:t>
      </w:r>
      <w:r w:rsidR="004022C5" w:rsidRPr="00F25D08">
        <w:t>№ </w:t>
      </w:r>
      <w:r w:rsidRPr="00F25D08">
        <w:t>51 (ECE/TRANS/WP.29/2015/62) вступили в силу 20 января 2016 года и что WP.29 и AC.1 на своих сессиях в марте 2016 года рассмотрят проект дополнения 1 к этой серии поправок (ECE/TRANS/WP.29/2016/4).</w:t>
      </w:r>
    </w:p>
    <w:p w:rsidR="00BF0148" w:rsidRPr="00F25D08" w:rsidRDefault="00BF0148" w:rsidP="00B2452B">
      <w:pPr>
        <w:pStyle w:val="H1GR"/>
      </w:pPr>
      <w:r w:rsidRPr="00F25D08">
        <w:tab/>
        <w:t>B.</w:t>
      </w:r>
      <w:r w:rsidRPr="00F25D08">
        <w:tab/>
        <w:t xml:space="preserve">Дополнительные положения, касающиеся производимого шума </w:t>
      </w:r>
    </w:p>
    <w:p w:rsidR="00BF0148" w:rsidRPr="00F25D08" w:rsidRDefault="00BF0148" w:rsidP="00BF0148">
      <w:pPr>
        <w:pStyle w:val="SingleTxtGR"/>
      </w:pPr>
      <w:r w:rsidRPr="00F25D08">
        <w:rPr>
          <w:i/>
          <w:iCs/>
        </w:rPr>
        <w:t>Документация</w:t>
      </w:r>
      <w:r w:rsidRPr="00F25D08">
        <w:t>:</w:t>
      </w:r>
      <w:r w:rsidRPr="00F25D08">
        <w:tab/>
        <w:t xml:space="preserve">неофициальный документ GRB-63-11 </w:t>
      </w:r>
    </w:p>
    <w:p w:rsidR="00BF0148" w:rsidRPr="00F25D08" w:rsidRDefault="00BF0148" w:rsidP="00BF0148">
      <w:pPr>
        <w:pStyle w:val="SingleTxtGR"/>
      </w:pPr>
      <w:r w:rsidRPr="00F25D08">
        <w:t>6.</w:t>
      </w:r>
      <w:r w:rsidRPr="00F25D08">
        <w:tab/>
        <w:t>Эксперт от ИСО проинформировал GRB о деятельности этой организ</w:t>
      </w:r>
      <w:r w:rsidRPr="00F25D08">
        <w:t>а</w:t>
      </w:r>
      <w:r w:rsidRPr="00F25D08">
        <w:t>ции, которая способствует работе GRB по пересмотру ДППШ (GRB-63-11).</w:t>
      </w:r>
    </w:p>
    <w:p w:rsidR="00BF0148" w:rsidRPr="00F25D08" w:rsidRDefault="00BF0148" w:rsidP="00B2452B">
      <w:pPr>
        <w:pStyle w:val="HChGR"/>
      </w:pPr>
      <w:r w:rsidRPr="00F25D08">
        <w:tab/>
        <w:t>VI.</w:t>
      </w:r>
      <w:r w:rsidRPr="00F25D08">
        <w:tab/>
        <w:t xml:space="preserve">Правила </w:t>
      </w:r>
      <w:r w:rsidR="004022C5" w:rsidRPr="00F25D08">
        <w:t>№ </w:t>
      </w:r>
      <w:r w:rsidRPr="00F25D08">
        <w:t>59 (сменные системы глушителей) (пункт</w:t>
      </w:r>
      <w:r w:rsidR="00B2452B" w:rsidRPr="00F25D08">
        <w:t> </w:t>
      </w:r>
      <w:r w:rsidRPr="00F25D08">
        <w:t>5 повестки дня)</w:t>
      </w:r>
    </w:p>
    <w:p w:rsidR="00BF0148" w:rsidRPr="00D942AA" w:rsidRDefault="00BF0148" w:rsidP="00BF0148">
      <w:pPr>
        <w:pStyle w:val="SingleTxtGR"/>
        <w:rPr>
          <w:lang w:val="en-US"/>
        </w:rPr>
      </w:pPr>
      <w:r w:rsidRPr="00F25D08">
        <w:rPr>
          <w:i/>
          <w:iCs/>
        </w:rPr>
        <w:t>Документация</w:t>
      </w:r>
      <w:r w:rsidRPr="00D942AA">
        <w:rPr>
          <w:lang w:val="en-US"/>
        </w:rPr>
        <w:t>:</w:t>
      </w:r>
      <w:r w:rsidRPr="00D942AA">
        <w:rPr>
          <w:lang w:val="en-US"/>
        </w:rPr>
        <w:tab/>
        <w:t xml:space="preserve">ECE/TRANS/WP.29/2015/4, ECE/TRANS/WP.29/2015/63 </w:t>
      </w:r>
    </w:p>
    <w:p w:rsidR="00BF0148" w:rsidRPr="00F25D08" w:rsidRDefault="00BF0148" w:rsidP="00BF0148">
      <w:pPr>
        <w:pStyle w:val="SingleTxtGR"/>
      </w:pPr>
      <w:r w:rsidRPr="00F25D08">
        <w:t>7.</w:t>
      </w:r>
      <w:r w:rsidRPr="00F25D08">
        <w:tab/>
        <w:t xml:space="preserve">GRB отметила, что поправки серии 02 к Правилам </w:t>
      </w:r>
      <w:r w:rsidR="004022C5" w:rsidRPr="00F25D08">
        <w:t>№ </w:t>
      </w:r>
      <w:r w:rsidRPr="00F25D08">
        <w:t>59 (ECE/TRANS/WP.29/2015/4) и дополнение 1 (ECE/TRANS/WP.29/2015/63) вст</w:t>
      </w:r>
      <w:r w:rsidRPr="00F25D08">
        <w:t>у</w:t>
      </w:r>
      <w:r w:rsidRPr="00F25D08">
        <w:t>пили в силу соответственно 8 октября 2015 года и 20 января 2016 года.</w:t>
      </w:r>
    </w:p>
    <w:p w:rsidR="00BF0148" w:rsidRPr="00F25D08" w:rsidRDefault="00BF0148" w:rsidP="00B2452B">
      <w:pPr>
        <w:pStyle w:val="HChGR"/>
      </w:pPr>
      <w:r w:rsidRPr="00F25D08">
        <w:tab/>
        <w:t>VII.</w:t>
      </w:r>
      <w:r w:rsidRPr="00F25D08">
        <w:tab/>
        <w:t xml:space="preserve">Правила </w:t>
      </w:r>
      <w:r w:rsidR="004022C5" w:rsidRPr="00F25D08">
        <w:t>№ </w:t>
      </w:r>
      <w:r w:rsidRPr="00F25D08">
        <w:t>92 (сменные системы глушителей для</w:t>
      </w:r>
      <w:r w:rsidR="00B2452B" w:rsidRPr="00F25D08">
        <w:t> </w:t>
      </w:r>
      <w:r w:rsidRPr="00F25D08">
        <w:t>мотоциклов) (пункт 6 повестки дня)</w:t>
      </w:r>
    </w:p>
    <w:p w:rsidR="00BF0148" w:rsidRPr="00F25D08" w:rsidRDefault="00BF0148" w:rsidP="00BF0148">
      <w:pPr>
        <w:pStyle w:val="SingleTxtGR"/>
      </w:pPr>
      <w:r w:rsidRPr="00F25D08">
        <w:rPr>
          <w:i/>
          <w:iCs/>
        </w:rPr>
        <w:t>Документация</w:t>
      </w:r>
      <w:r w:rsidRPr="00F25D08">
        <w:t>:</w:t>
      </w:r>
      <w:r w:rsidRPr="00F25D08">
        <w:tab/>
        <w:t>неофициальный документ GRB-63-09</w:t>
      </w:r>
    </w:p>
    <w:p w:rsidR="00BF0148" w:rsidRPr="00F25D08" w:rsidRDefault="00BF0148" w:rsidP="00BF0148">
      <w:pPr>
        <w:pStyle w:val="SingleTxtGR"/>
      </w:pPr>
      <w:r w:rsidRPr="00F25D08">
        <w:t>8.</w:t>
      </w:r>
      <w:r w:rsidRPr="00F25D08">
        <w:tab/>
        <w:t xml:space="preserve">GRB отметила, что эксперт от ЕК передал предложения по поправкам к Правилам </w:t>
      </w:r>
      <w:r w:rsidR="004022C5" w:rsidRPr="00F25D08">
        <w:t>№ </w:t>
      </w:r>
      <w:r w:rsidRPr="00F25D08">
        <w:t>92 (GRB-63-09), и решила рассмотреть их в рамках пункта 9 п</w:t>
      </w:r>
      <w:r w:rsidRPr="00F25D08">
        <w:t>о</w:t>
      </w:r>
      <w:r w:rsidRPr="00F25D08">
        <w:t xml:space="preserve">вестки дня в связи с предложениями по поправкам к правилам </w:t>
      </w:r>
      <w:r w:rsidR="004022C5" w:rsidRPr="00F25D08">
        <w:t>№ </w:t>
      </w:r>
      <w:r w:rsidRPr="00F25D08">
        <w:t>9 и 63.</w:t>
      </w:r>
    </w:p>
    <w:p w:rsidR="00BF0148" w:rsidRPr="00F25D08" w:rsidRDefault="00BF0148" w:rsidP="00B2452B">
      <w:pPr>
        <w:pStyle w:val="HChGR"/>
      </w:pPr>
      <w:r w:rsidRPr="00F25D08">
        <w:lastRenderedPageBreak/>
        <w:tab/>
        <w:t>VIII.</w:t>
      </w:r>
      <w:r w:rsidRPr="00F25D08">
        <w:tab/>
        <w:t xml:space="preserve">Правила </w:t>
      </w:r>
      <w:r w:rsidR="004022C5" w:rsidRPr="00F25D08">
        <w:t>№ </w:t>
      </w:r>
      <w:r w:rsidRPr="00F25D08">
        <w:t>117 (сопротивление шин качению, шум, производимый шинами при качении, и сцепление на</w:t>
      </w:r>
      <w:r w:rsidR="00B2452B" w:rsidRPr="00F25D08">
        <w:t> </w:t>
      </w:r>
      <w:r w:rsidRPr="00F25D08">
        <w:t>мокрой поверхности) (пункт 7 повестки дня)</w:t>
      </w:r>
    </w:p>
    <w:p w:rsidR="00BF0148" w:rsidRPr="00F25D08" w:rsidRDefault="00BF0148" w:rsidP="00B2452B">
      <w:pPr>
        <w:pStyle w:val="SingleTxtGR"/>
        <w:ind w:left="2835" w:hanging="1701"/>
      </w:pPr>
      <w:r w:rsidRPr="00F25D08">
        <w:rPr>
          <w:i/>
          <w:iCs/>
        </w:rPr>
        <w:t>Документация</w:t>
      </w:r>
      <w:r w:rsidRPr="00F25D08">
        <w:t>:</w:t>
      </w:r>
      <w:r w:rsidRPr="00F25D08">
        <w:tab/>
        <w:t>ECE/TRANS/WP.29/GRRF/2016/12, ECE/TRANS/WP.29/GRRF/2016/14</w:t>
      </w:r>
    </w:p>
    <w:p w:rsidR="00BF0148" w:rsidRPr="00F25D08" w:rsidRDefault="00BF0148" w:rsidP="00BF0148">
      <w:pPr>
        <w:pStyle w:val="SingleTxtGR"/>
      </w:pPr>
      <w:r w:rsidRPr="00F25D08">
        <w:t>9.</w:t>
      </w:r>
      <w:r w:rsidRPr="00F25D08">
        <w:tab/>
        <w:t>GRB была проинформирована о том, что Рабочая группа по вопросам торможения и ходовой части (GRRF) на своей сессии в феврале 2016 года пр</w:t>
      </w:r>
      <w:r w:rsidRPr="00F25D08">
        <w:t>и</w:t>
      </w:r>
      <w:r w:rsidRPr="00F25D08">
        <w:t xml:space="preserve">няла предложения по поправкам к Правилам </w:t>
      </w:r>
      <w:r w:rsidR="004022C5" w:rsidRPr="00F25D08">
        <w:t>№ </w:t>
      </w:r>
      <w:r w:rsidRPr="00F25D08">
        <w:t>117 с целью согласования нек</w:t>
      </w:r>
      <w:r w:rsidRPr="00F25D08">
        <w:t>о</w:t>
      </w:r>
      <w:r w:rsidRPr="00F25D08">
        <w:t xml:space="preserve">торых определений и пунктов в правилах </w:t>
      </w:r>
      <w:r w:rsidR="004022C5" w:rsidRPr="00F25D08">
        <w:t>№ </w:t>
      </w:r>
      <w:r w:rsidRPr="00F25D08">
        <w:t>30, 54 и 75. Принятые предложения включают также определение термина «изготовитель» из Сводной резолюции о конструкции транспортных средств (СР.3) и поправки к требованиям, каса</w:t>
      </w:r>
      <w:r w:rsidRPr="00F25D08">
        <w:t>ю</w:t>
      </w:r>
      <w:r w:rsidRPr="00F25D08">
        <w:t>щимся маркировки шин.</w:t>
      </w:r>
    </w:p>
    <w:p w:rsidR="00BF0148" w:rsidRPr="00F25D08" w:rsidRDefault="00BF0148" w:rsidP="00BF0148">
      <w:pPr>
        <w:pStyle w:val="SingleTxtGR"/>
      </w:pPr>
      <w:r w:rsidRPr="00F25D08">
        <w:t>10.</w:t>
      </w:r>
      <w:r w:rsidRPr="00F25D08">
        <w:tab/>
        <w:t>Эксперт от Нидерландов представил несколько видеофильмов о шуме, производимом шинами грузовых автомобилей на бесшумной дорожной повер</w:t>
      </w:r>
      <w:r w:rsidRPr="00F25D08">
        <w:t>х</w:t>
      </w:r>
      <w:r w:rsidRPr="00F25D08">
        <w:t xml:space="preserve">ности, и напомнил о своем предложении снизить соответствующие предельные значения для шин в Правилах </w:t>
      </w:r>
      <w:r w:rsidR="004022C5" w:rsidRPr="00F25D08">
        <w:t>№ </w:t>
      </w:r>
      <w:r w:rsidRPr="00F25D08">
        <w:t>117. Эксперт от ЕК указал, что на данном эт</w:t>
      </w:r>
      <w:r w:rsidRPr="00F25D08">
        <w:t>а</w:t>
      </w:r>
      <w:r w:rsidRPr="00F25D08">
        <w:t>пе ЕК воздерживается от высказывания каких-либо мнений по этому предлож</w:t>
      </w:r>
      <w:r w:rsidRPr="00F25D08">
        <w:t>е</w:t>
      </w:r>
      <w:r w:rsidRPr="00F25D08">
        <w:t>нию и что в первую очередь необходимо организовать и провести внутренние обсуждения по этому вопросу среди государств − членов ЕС. Эксперт от Н</w:t>
      </w:r>
      <w:r w:rsidRPr="00F25D08">
        <w:t>и</w:t>
      </w:r>
      <w:r w:rsidRPr="00F25D08">
        <w:t>дерландов проинформировал GRB о том, что его страна уже направила предл</w:t>
      </w:r>
      <w:r w:rsidRPr="00F25D08">
        <w:t>о</w:t>
      </w:r>
      <w:r w:rsidRPr="00F25D08">
        <w:t>жение в этой связи в адрес ЕК и Европейского парламента.</w:t>
      </w:r>
    </w:p>
    <w:p w:rsidR="00BF0148" w:rsidRPr="00F25D08" w:rsidRDefault="00BF0148" w:rsidP="00B2452B">
      <w:pPr>
        <w:pStyle w:val="HChGR"/>
      </w:pPr>
      <w:r w:rsidRPr="00F25D08">
        <w:tab/>
        <w:t>IX.</w:t>
      </w:r>
      <w:r w:rsidRPr="00F25D08">
        <w:tab/>
        <w:t>Общие поправки (пункт 8 повестки дня)</w:t>
      </w:r>
    </w:p>
    <w:p w:rsidR="00BF0148" w:rsidRPr="00F25D08" w:rsidRDefault="00BF0148" w:rsidP="00BF0148">
      <w:pPr>
        <w:pStyle w:val="SingleTxtGR"/>
      </w:pPr>
      <w:r w:rsidRPr="00F25D08">
        <w:rPr>
          <w:i/>
          <w:iCs/>
        </w:rPr>
        <w:t>Документация</w:t>
      </w:r>
      <w:r w:rsidRPr="00F25D08">
        <w:t>:</w:t>
      </w:r>
      <w:r w:rsidRPr="00F25D08">
        <w:tab/>
        <w:t>неофициальный документ GRB-63-02</w:t>
      </w:r>
    </w:p>
    <w:p w:rsidR="00BF0148" w:rsidRPr="00F25D08" w:rsidRDefault="00BF0148" w:rsidP="00BF0148">
      <w:pPr>
        <w:pStyle w:val="SingleTxtGR"/>
      </w:pPr>
      <w:r w:rsidRPr="00F25D08">
        <w:t>11.</w:t>
      </w:r>
      <w:r w:rsidRPr="00F25D08">
        <w:tab/>
        <w:t>Эксперт от МАЗМ представил пересмотренные общие поправки к прав</w:t>
      </w:r>
      <w:r w:rsidRPr="00F25D08">
        <w:t>и</w:t>
      </w:r>
      <w:r w:rsidRPr="00F25D08">
        <w:t xml:space="preserve">лам </w:t>
      </w:r>
      <w:r w:rsidR="004022C5" w:rsidRPr="00F25D08">
        <w:t>№ </w:t>
      </w:r>
      <w:r w:rsidRPr="00F25D08">
        <w:t>9, 41, 63 и 92 с целью уточнить, что положения, касающиеся волокн</w:t>
      </w:r>
      <w:r w:rsidRPr="00F25D08">
        <w:t>и</w:t>
      </w:r>
      <w:r w:rsidRPr="00F25D08">
        <w:t>стых материалов, применимы только в том случае, если такие материалы вст</w:t>
      </w:r>
      <w:r w:rsidRPr="00F25D08">
        <w:t>у</w:t>
      </w:r>
      <w:r w:rsidRPr="00F25D08">
        <w:t>пают в контакт с отработавшими газами (GRB-63-02). GRE приняла эти пре</w:t>
      </w:r>
      <w:r w:rsidRPr="00F25D08">
        <w:t>д</w:t>
      </w:r>
      <w:r w:rsidRPr="00F25D08">
        <w:t>ложения (приложения III–VI) и поручила секретариату представить их WP.29 и AC.1 для рассмотрения и голосования на их сессиях в июне 2016 года в кач</w:t>
      </w:r>
      <w:r w:rsidRPr="00F25D08">
        <w:t>е</w:t>
      </w:r>
      <w:r w:rsidRPr="00F25D08">
        <w:t xml:space="preserve">стве проекта дополнения 2 к поправкам серии 07 к Правилам </w:t>
      </w:r>
      <w:r w:rsidR="004022C5" w:rsidRPr="00F25D08">
        <w:t>№ </w:t>
      </w:r>
      <w:r w:rsidRPr="00F25D08">
        <w:t>9, проекта д</w:t>
      </w:r>
      <w:r w:rsidRPr="00F25D08">
        <w:t>о</w:t>
      </w:r>
      <w:r w:rsidRPr="00F25D08">
        <w:t xml:space="preserve">полнения 5 к поправкам серии 04 к Правилам </w:t>
      </w:r>
      <w:r w:rsidR="004022C5" w:rsidRPr="00F25D08">
        <w:t>№ </w:t>
      </w:r>
      <w:r w:rsidRPr="00F25D08">
        <w:t xml:space="preserve">41, проекта дополнения 2 к поправкам серии 02 к Правилам </w:t>
      </w:r>
      <w:r w:rsidR="004022C5" w:rsidRPr="00F25D08">
        <w:t>№ </w:t>
      </w:r>
      <w:r w:rsidRPr="00F25D08">
        <w:t>63 и проекта дополнения 1 к поправкам с</w:t>
      </w:r>
      <w:r w:rsidRPr="00F25D08">
        <w:t>е</w:t>
      </w:r>
      <w:r w:rsidRPr="00F25D08">
        <w:t xml:space="preserve">рии 01 к Правилам </w:t>
      </w:r>
      <w:r w:rsidR="004022C5" w:rsidRPr="00F25D08">
        <w:t>№ </w:t>
      </w:r>
      <w:r w:rsidRPr="00F25D08">
        <w:t>92.</w:t>
      </w:r>
    </w:p>
    <w:p w:rsidR="00BF0148" w:rsidRPr="00F25D08" w:rsidRDefault="00BF0148" w:rsidP="00B2452B">
      <w:pPr>
        <w:pStyle w:val="HChGR"/>
      </w:pPr>
      <w:r w:rsidRPr="00F25D08">
        <w:tab/>
        <w:t>X.</w:t>
      </w:r>
      <w:r w:rsidRPr="00F25D08">
        <w:tab/>
        <w:t>Обмен информацией о национальных и</w:t>
      </w:r>
      <w:r w:rsidR="00B2452B" w:rsidRPr="00F25D08">
        <w:t> </w:t>
      </w:r>
      <w:r w:rsidRPr="00F25D08">
        <w:t>международных требованиях, касающихся уровней</w:t>
      </w:r>
      <w:r w:rsidR="00B2452B" w:rsidRPr="00F25D08">
        <w:t> </w:t>
      </w:r>
      <w:r w:rsidRPr="00F25D08">
        <w:t>шума (пункт 9 повестки дня)</w:t>
      </w:r>
    </w:p>
    <w:p w:rsidR="00BF0148" w:rsidRPr="00F25D08" w:rsidRDefault="00BF0148" w:rsidP="00B2452B">
      <w:pPr>
        <w:pStyle w:val="SingleTxtGR"/>
        <w:ind w:left="2835" w:hanging="1701"/>
        <w:jc w:val="left"/>
      </w:pPr>
      <w:r w:rsidRPr="00F25D08">
        <w:rPr>
          <w:i/>
          <w:iCs/>
        </w:rPr>
        <w:t>Документация</w:t>
      </w:r>
      <w:r w:rsidRPr="00F25D08">
        <w:t>:</w:t>
      </w:r>
      <w:r w:rsidRPr="00F25D08">
        <w:tab/>
        <w:t xml:space="preserve">неофициальные документы GRB-63-03, GRB-63-05, </w:t>
      </w:r>
      <w:r w:rsidR="00B2452B" w:rsidRPr="00F25D08">
        <w:br/>
      </w:r>
      <w:r w:rsidRPr="00F25D08">
        <w:t xml:space="preserve">GRB-63-07, GRB-63-08, GRB-63-09, GRB-63-18 </w:t>
      </w:r>
      <w:r w:rsidR="00B2452B" w:rsidRPr="00F25D08">
        <w:br/>
      </w:r>
      <w:r w:rsidRPr="00F25D08">
        <w:t>и GRB-63-18-Add.1</w:t>
      </w:r>
    </w:p>
    <w:p w:rsidR="00BF0148" w:rsidRPr="00F25D08" w:rsidRDefault="00BF0148" w:rsidP="00BF0148">
      <w:pPr>
        <w:pStyle w:val="SingleTxtGR"/>
      </w:pPr>
      <w:r w:rsidRPr="00F25D08">
        <w:t>12.</w:t>
      </w:r>
      <w:r w:rsidRPr="00F25D08">
        <w:tab/>
        <w:t>Эксперт от САИТО провел презентацию (GRB-63-05) в поддержку ко</w:t>
      </w:r>
      <w:r w:rsidRPr="00F25D08">
        <w:t>м</w:t>
      </w:r>
      <w:r w:rsidRPr="00F25D08">
        <w:t>плексного и долгосрочного подхода к рациональному городскому планиров</w:t>
      </w:r>
      <w:r w:rsidRPr="00F25D08">
        <w:t>а</w:t>
      </w:r>
      <w:r w:rsidRPr="00F25D08">
        <w:t>нию в целях предотвращения негативных последствий для здоровья и благоп</w:t>
      </w:r>
      <w:r w:rsidRPr="00F25D08">
        <w:t>о</w:t>
      </w:r>
      <w:r w:rsidRPr="00F25D08">
        <w:t>лучия населения.</w:t>
      </w:r>
    </w:p>
    <w:p w:rsidR="00BF0148" w:rsidRPr="00F25D08" w:rsidRDefault="00BF0148" w:rsidP="00BF0148">
      <w:pPr>
        <w:pStyle w:val="SingleTxtGR"/>
      </w:pPr>
      <w:r w:rsidRPr="00F25D08">
        <w:lastRenderedPageBreak/>
        <w:t>13.</w:t>
      </w:r>
      <w:r w:rsidRPr="00F25D08">
        <w:tab/>
        <w:t>Эксперт от ЕК проинформировал GRB об исследовании по вопросу о п</w:t>
      </w:r>
      <w:r w:rsidRPr="00F25D08">
        <w:t>у</w:t>
      </w:r>
      <w:r w:rsidRPr="00F25D08">
        <w:t xml:space="preserve">тях ужесточения требований к испытаниям для определения уровня звука для мопедов и трехколесных транспортных средств в правилах </w:t>
      </w:r>
      <w:r w:rsidR="004022C5" w:rsidRPr="00F25D08">
        <w:t>№ </w:t>
      </w:r>
      <w:r w:rsidRPr="00F25D08">
        <w:t>9 и 63 и сменных систем глушителей для транспортных средств категории L (L</w:t>
      </w:r>
      <w:r w:rsidRPr="00F25D08">
        <w:rPr>
          <w:vertAlign w:val="subscript"/>
        </w:rPr>
        <w:t>1</w:t>
      </w:r>
      <w:r w:rsidRPr="00F25D08">
        <w:t>–L</w:t>
      </w:r>
      <w:r w:rsidRPr="00F25D08">
        <w:rPr>
          <w:vertAlign w:val="subscript"/>
        </w:rPr>
        <w:t>5</w:t>
      </w:r>
      <w:r w:rsidRPr="00F25D08">
        <w:t xml:space="preserve">) в Правилах </w:t>
      </w:r>
      <w:r w:rsidR="004022C5" w:rsidRPr="00F25D08">
        <w:t>№ </w:t>
      </w:r>
      <w:r w:rsidRPr="00F25D08">
        <w:t>92, которое необходимо было завершить, прежде чем Европейский союз (ЕС) сможет принять эти правила (GRB-63-18). Это исследование включало консул</w:t>
      </w:r>
      <w:r w:rsidRPr="00F25D08">
        <w:t>ь</w:t>
      </w:r>
      <w:r w:rsidRPr="00F25D08">
        <w:t>тации с общественностью и было организовано в ответ на частые запросы граждан о снижении уровня звука, производимого мопедами и трехколесными транспортными средствами, а также сменными системами глушителей для всех транспортных средств категории L. В том же ключе эксперт от ЕК сообщил о ходе продолжающихся консультаций с общественностью по директиве ЕС об уровне шума в окружающей среде</w:t>
      </w:r>
      <w:r w:rsidRPr="00F25D08">
        <w:rPr>
          <w:vertAlign w:val="superscript"/>
        </w:rPr>
        <w:footnoteReference w:id="1"/>
      </w:r>
      <w:r w:rsidRPr="00F25D08">
        <w:t xml:space="preserve"> (GRB-63-18-Add.1).</w:t>
      </w:r>
    </w:p>
    <w:p w:rsidR="00BF0148" w:rsidRPr="00F25D08" w:rsidRDefault="00BF0148" w:rsidP="00BF0148">
      <w:pPr>
        <w:pStyle w:val="SingleTxtGR"/>
      </w:pPr>
      <w:r w:rsidRPr="00F25D08">
        <w:t>14.</w:t>
      </w:r>
      <w:r w:rsidRPr="00F25D08">
        <w:tab/>
        <w:t xml:space="preserve">На основе результатов этого исследования эксперт от ЕК предложил набор общих поправок к правилам </w:t>
      </w:r>
      <w:r w:rsidR="004022C5" w:rsidRPr="00F25D08">
        <w:t>№ </w:t>
      </w:r>
      <w:r w:rsidRPr="00F25D08">
        <w:t xml:space="preserve">9, 63 и 92 (GRB-63-03, GRB-63-05, </w:t>
      </w:r>
      <w:r w:rsidR="000870BF" w:rsidRPr="00D942AA">
        <w:br/>
      </w:r>
      <w:r w:rsidRPr="00F25D08">
        <w:t>GRB-63-07, GRB-63-08 и GRB-63-09). Эксперты от Франции, Германии, МАЗМ и МОПАП высказали ряд замечаний по этим документам. GRB предложила всем экспертам передать свои письменные замечания, если таковые имеются, эксперту от ЕК. В конечном итоге GRB решила продолжить рассмотрение этих предложений по поправкам на следующей сессии на основе официального д</w:t>
      </w:r>
      <w:r w:rsidRPr="00F25D08">
        <w:t>о</w:t>
      </w:r>
      <w:r w:rsidRPr="00F25D08">
        <w:t>кумента, который будет представлен экспертом от ЕК.</w:t>
      </w:r>
    </w:p>
    <w:p w:rsidR="00BF0148" w:rsidRPr="00F25D08" w:rsidRDefault="00BF0148" w:rsidP="00B2452B">
      <w:pPr>
        <w:pStyle w:val="HChGR"/>
      </w:pPr>
      <w:r w:rsidRPr="00F25D08">
        <w:tab/>
        <w:t>XI.</w:t>
      </w:r>
      <w:r w:rsidRPr="00F25D08">
        <w:tab/>
        <w:t xml:space="preserve">Влияние поверхности дороги на уровень звука, производимого шинами при качении </w:t>
      </w:r>
      <w:r w:rsidR="00F2512E" w:rsidRPr="00F25D08">
        <w:br/>
      </w:r>
      <w:r w:rsidRPr="00F25D08">
        <w:t>(пункт 10 повестки дня)</w:t>
      </w:r>
    </w:p>
    <w:p w:rsidR="00BF0148" w:rsidRPr="00F25D08" w:rsidRDefault="00BF0148" w:rsidP="00BF0148">
      <w:pPr>
        <w:pStyle w:val="SingleTxtGR"/>
      </w:pPr>
      <w:r w:rsidRPr="00F25D08">
        <w:t>15.</w:t>
      </w:r>
      <w:r w:rsidRPr="00F25D08">
        <w:tab/>
        <w:t>Эксперт от Нидерландов указал, что в одной из провинций его страны была введена система маркировки дорожных поверхностей в зависимости от уровня шума и что национальные власти изучают эту систему. Он добавил, что более подробная информация будет представлена на следующей сессии GRB.</w:t>
      </w:r>
    </w:p>
    <w:p w:rsidR="00BF0148" w:rsidRPr="00F25D08" w:rsidRDefault="00BF0148" w:rsidP="00F2512E">
      <w:pPr>
        <w:pStyle w:val="HChGR"/>
      </w:pPr>
      <w:r w:rsidRPr="00F25D08">
        <w:tab/>
        <w:t>XII.</w:t>
      </w:r>
      <w:r w:rsidRPr="00F25D08">
        <w:tab/>
        <w:t xml:space="preserve">Бесшумные автотранспортные средства </w:t>
      </w:r>
      <w:r w:rsidR="00F2512E" w:rsidRPr="00F25D08">
        <w:br/>
      </w:r>
      <w:r w:rsidRPr="00F25D08">
        <w:t>(пункт 11 повестки дня)</w:t>
      </w:r>
    </w:p>
    <w:p w:rsidR="00BF0148" w:rsidRPr="00F25D08" w:rsidRDefault="00BF0148" w:rsidP="00F2512E">
      <w:pPr>
        <w:pStyle w:val="SingleTxtGR"/>
        <w:ind w:left="2835" w:hanging="1701"/>
        <w:jc w:val="left"/>
      </w:pPr>
      <w:r w:rsidRPr="00F25D08">
        <w:rPr>
          <w:i/>
          <w:iCs/>
        </w:rPr>
        <w:t>Документация</w:t>
      </w:r>
      <w:r w:rsidRPr="00F25D08">
        <w:t>:</w:t>
      </w:r>
      <w:r w:rsidRPr="00F25D08">
        <w:tab/>
        <w:t xml:space="preserve">ECE/TRANS/WP.29/2016/26, </w:t>
      </w:r>
      <w:r w:rsidR="00F2512E" w:rsidRPr="00F25D08">
        <w:br/>
      </w:r>
      <w:r w:rsidRPr="00F25D08">
        <w:t xml:space="preserve">неофициальные документы GRB-63-12, GRB-63-13 </w:t>
      </w:r>
      <w:r w:rsidR="00F2512E" w:rsidRPr="00F25D08">
        <w:br/>
      </w:r>
      <w:r w:rsidRPr="00F25D08">
        <w:t xml:space="preserve">и GRB-63-14 </w:t>
      </w:r>
    </w:p>
    <w:p w:rsidR="00BF0148" w:rsidRPr="00F25D08" w:rsidRDefault="00BF0148" w:rsidP="00BF0148">
      <w:pPr>
        <w:pStyle w:val="SingleTxtGR"/>
      </w:pPr>
      <w:r w:rsidRPr="00F25D08">
        <w:t>16.</w:t>
      </w:r>
      <w:r w:rsidRPr="00F25D08">
        <w:tab/>
        <w:t>Эксперты от Германии и Франции в качестве сопредседателей неофиц</w:t>
      </w:r>
      <w:r w:rsidRPr="00F25D08">
        <w:t>и</w:t>
      </w:r>
      <w:r w:rsidRPr="00F25D08">
        <w:t>альной рабочей группы (НРГ) по разработке правил, касающихся бесшумных автотранспортных средств (БАТС), в рамках Соглашения 1958 года представили информацию о ходе работы, связанной с БАТС (GRB-63-13). GRB отметила, что WP.29 на своей сессии в марте 2016 года рассмотрит проект правил, касающи</w:t>
      </w:r>
      <w:r w:rsidRPr="00F25D08">
        <w:t>х</w:t>
      </w:r>
      <w:r w:rsidRPr="00F25D08">
        <w:t>ся БАТС (ECE/TRANS/WP.29/2016/26). На своей сессии в ноябре 2015 года WP.29 решил продлить мандат НРГ по БАТС в целях решения вопросов, подн</w:t>
      </w:r>
      <w:r w:rsidRPr="00F25D08">
        <w:t>я</w:t>
      </w:r>
      <w:r w:rsidRPr="00F25D08">
        <w:t>тых ВСС (ECE/TRANS/WP.29/1118, пункты 24, 100−102), в частности, об уро</w:t>
      </w:r>
      <w:r w:rsidRPr="00F25D08">
        <w:t>в</w:t>
      </w:r>
      <w:r w:rsidRPr="00F25D08">
        <w:t>нях звукового давления, факультативной установке переключателей для вр</w:t>
      </w:r>
      <w:r w:rsidRPr="00F25D08">
        <w:t>е</w:t>
      </w:r>
      <w:r w:rsidRPr="00F25D08">
        <w:t>менной остановки системы звукового предупреждения о транспортном средстве (АВАС) и звуке, издаваемом транспортным средством в неподвижном состо</w:t>
      </w:r>
      <w:r w:rsidRPr="00F25D08">
        <w:t>я</w:t>
      </w:r>
      <w:r w:rsidRPr="00F25D08">
        <w:t xml:space="preserve">нии. НРГ по разработке правил, касающихся БАТС, рассмотрит также вопрос о </w:t>
      </w:r>
      <w:r w:rsidRPr="00F25D08">
        <w:lastRenderedPageBreak/>
        <w:t>возможном распространении сферы действия правил, касающихся БАТС, на транспортные средства категории L.</w:t>
      </w:r>
    </w:p>
    <w:p w:rsidR="00BF0148" w:rsidRPr="00F25D08" w:rsidRDefault="00BF0148" w:rsidP="00BF0148">
      <w:pPr>
        <w:pStyle w:val="SingleTxtGR"/>
      </w:pPr>
      <w:r w:rsidRPr="00F25D08">
        <w:t>17.</w:t>
      </w:r>
      <w:r w:rsidRPr="00F25D08">
        <w:tab/>
        <w:t>С учетом вышеупомянутых новых задач эксперты от Франции и Герм</w:t>
      </w:r>
      <w:r w:rsidRPr="00F25D08">
        <w:t>а</w:t>
      </w:r>
      <w:r w:rsidRPr="00F25D08">
        <w:t>нии предложили обновить положения о круге ведения (КВ) НРГ по разработке правил, касающихся БАТС (GRB-63-14). GRB утвердила пересмотренные п</w:t>
      </w:r>
      <w:r w:rsidRPr="00F25D08">
        <w:t>о</w:t>
      </w:r>
      <w:r w:rsidRPr="00F25D08">
        <w:t>ложения о КВ, воспроизведенные в приложении VII.</w:t>
      </w:r>
    </w:p>
    <w:p w:rsidR="00BF0148" w:rsidRPr="00F25D08" w:rsidRDefault="00BF0148" w:rsidP="00BF0148">
      <w:pPr>
        <w:pStyle w:val="SingleTxtGR"/>
      </w:pPr>
      <w:r w:rsidRPr="00F25D08">
        <w:t xml:space="preserve">18. </w:t>
      </w:r>
      <w:r w:rsidRPr="00F25D08">
        <w:tab/>
        <w:t>Эксперт от Соединенных Штатов Америки в своем качестве Председат</w:t>
      </w:r>
      <w:r w:rsidRPr="00F25D08">
        <w:t>е</w:t>
      </w:r>
      <w:r w:rsidRPr="00F25D08">
        <w:t>ля НРГ по глобальным техническим правилам (ГТП), касающимся БАТС, с</w:t>
      </w:r>
      <w:r w:rsidRPr="00F25D08">
        <w:t>о</w:t>
      </w:r>
      <w:r w:rsidRPr="00F25D08">
        <w:t>общил GRB, что в ближайшие месяцы в его стране будут опубликованы наци</w:t>
      </w:r>
      <w:r w:rsidRPr="00F25D08">
        <w:t>о</w:t>
      </w:r>
      <w:r w:rsidRPr="00F25D08">
        <w:t>нальные правила по АВАС и что после их опубликования он созовет сессию НРГ по ГТП, касающимся БАТС. Он указал также, что в соответствии с этими национальными правилами установка переключателя временной остановки АВАС будет запрещена.</w:t>
      </w:r>
    </w:p>
    <w:p w:rsidR="00BF0148" w:rsidRPr="00F25D08" w:rsidRDefault="00BF0148" w:rsidP="00BF0148">
      <w:pPr>
        <w:pStyle w:val="SingleTxtGR"/>
      </w:pPr>
      <w:r w:rsidRPr="00F25D08">
        <w:t>19.</w:t>
      </w:r>
      <w:r w:rsidRPr="00F25D08">
        <w:tab/>
        <w:t>Эксперт от Японии отметил, что АВАС имеет решающее значение для безопасности велосипедистов и пешеходов, особенно для людей с ослабленным зрением, и предложил поправки к проекту правил, касающихся БАТС, запр</w:t>
      </w:r>
      <w:r w:rsidRPr="00F25D08">
        <w:t>е</w:t>
      </w:r>
      <w:r w:rsidRPr="00F25D08">
        <w:t>щающие функцию временной остановки (GRB-63-12). Эксперт от ВСС подде</w:t>
      </w:r>
      <w:r w:rsidRPr="00F25D08">
        <w:t>р</w:t>
      </w:r>
      <w:r w:rsidRPr="00F25D08">
        <w:t>жал это предложение и выразил свою обеспокоенность по поводу переключат</w:t>
      </w:r>
      <w:r w:rsidRPr="00F25D08">
        <w:t>е</w:t>
      </w:r>
      <w:r w:rsidRPr="00F25D08">
        <w:t>ля для временной остановки, который обеспечивает возможность нейтрализ</w:t>
      </w:r>
      <w:r w:rsidRPr="00F25D08">
        <w:t>а</w:t>
      </w:r>
      <w:r w:rsidRPr="00F25D08">
        <w:t>ции предохранительного устройства. GRB отметила, что формулировка этого предложения может быть усовершенствована и предложила эксперту от Японии представить обновленный текст в качестве официального документа для ра</w:t>
      </w:r>
      <w:r w:rsidRPr="00F25D08">
        <w:t>с</w:t>
      </w:r>
      <w:r w:rsidRPr="00F25D08">
        <w:t>смотрения на следующей сессии.</w:t>
      </w:r>
    </w:p>
    <w:p w:rsidR="00BF0148" w:rsidRPr="00F25D08" w:rsidRDefault="00BF0148" w:rsidP="00F2512E">
      <w:pPr>
        <w:pStyle w:val="HChGR"/>
      </w:pPr>
      <w:r w:rsidRPr="00F25D08">
        <w:tab/>
        <w:t>XIII.</w:t>
      </w:r>
      <w:r w:rsidRPr="00F25D08">
        <w:tab/>
        <w:t>Сокращения и аббревиатуры в правилах, относящихся к ведению Рабочей группы по вопросам шума (GRB) (пункт 12 повестки дня)</w:t>
      </w:r>
    </w:p>
    <w:p w:rsidR="00BF0148" w:rsidRPr="00F25D08" w:rsidRDefault="00BF0148" w:rsidP="00BF0148">
      <w:pPr>
        <w:pStyle w:val="SingleTxtGR"/>
      </w:pPr>
      <w:r w:rsidRPr="00F25D08">
        <w:rPr>
          <w:i/>
          <w:iCs/>
        </w:rPr>
        <w:t>Документация</w:t>
      </w:r>
      <w:r w:rsidRPr="00F25D08">
        <w:t>:</w:t>
      </w:r>
      <w:r w:rsidRPr="00F25D08">
        <w:tab/>
        <w:t>неофициальные документы WP.29-165-16 и GRB-63-09</w:t>
      </w:r>
    </w:p>
    <w:p w:rsidR="00BF0148" w:rsidRPr="00F25D08" w:rsidRDefault="00BF0148" w:rsidP="00BF0148">
      <w:pPr>
        <w:pStyle w:val="SingleTxtGR"/>
      </w:pPr>
      <w:r w:rsidRPr="00F25D08">
        <w:t>20.</w:t>
      </w:r>
      <w:r w:rsidRPr="00F25D08">
        <w:tab/>
        <w:t>GRB напомнила о просьбе WP.29 представить в среднесрочной перспе</w:t>
      </w:r>
      <w:r w:rsidRPr="00F25D08">
        <w:t>к</w:t>
      </w:r>
      <w:r w:rsidRPr="00F25D08">
        <w:t xml:space="preserve">тиве альтернативную аббревиатуру для термина «Replacement Exhaust Silencing System» (RESS) («сменные системы глушителя») в Правилах </w:t>
      </w:r>
      <w:r w:rsidR="004022C5" w:rsidRPr="00F25D08">
        <w:t>№ </w:t>
      </w:r>
      <w:r w:rsidRPr="00F25D08">
        <w:t>92 на англи</w:t>
      </w:r>
      <w:r w:rsidRPr="00F25D08">
        <w:t>й</w:t>
      </w:r>
      <w:r w:rsidRPr="00F25D08">
        <w:t>ском языке (WP.29-165-16). В качестве замены эксперты от МАЗМ и МОПАП предложили новый термин «неоригинальные сменные системы глушителя» («Non-Original Replacement Exhaust Silencing System» (NORESS)). В предвар</w:t>
      </w:r>
      <w:r w:rsidRPr="00F25D08">
        <w:t>и</w:t>
      </w:r>
      <w:r w:rsidRPr="00F25D08">
        <w:t>тельном порядке GRB согласилась с этим предложением и отметила, что ук</w:t>
      </w:r>
      <w:r w:rsidRPr="00F25D08">
        <w:t>а</w:t>
      </w:r>
      <w:r w:rsidRPr="00F25D08">
        <w:t xml:space="preserve">занная аббревиатура уже используется в предложении о поправке к Правилам </w:t>
      </w:r>
      <w:r w:rsidR="004022C5" w:rsidRPr="00F25D08">
        <w:t>№ </w:t>
      </w:r>
      <w:r w:rsidRPr="00F25D08">
        <w:t>92 (GRB-63-09).</w:t>
      </w:r>
    </w:p>
    <w:p w:rsidR="00BF0148" w:rsidRPr="00F25D08" w:rsidRDefault="00BF0148" w:rsidP="00F2512E">
      <w:pPr>
        <w:pStyle w:val="HChGR"/>
      </w:pPr>
      <w:r w:rsidRPr="00F25D08">
        <w:tab/>
        <w:t>XIV.</w:t>
      </w:r>
      <w:r w:rsidRPr="00F25D08">
        <w:tab/>
        <w:t>Предложение по поправкам к Сводной резолюции о</w:t>
      </w:r>
      <w:r w:rsidR="00F2512E" w:rsidRPr="00F25D08">
        <w:t> </w:t>
      </w:r>
      <w:r w:rsidRPr="00F25D08">
        <w:t xml:space="preserve">конструкции транспортных средств </w:t>
      </w:r>
      <w:r w:rsidR="00F2512E" w:rsidRPr="00F25D08">
        <w:br/>
      </w:r>
      <w:r w:rsidRPr="00F25D08">
        <w:t>(пункт 13 повестки дня)</w:t>
      </w:r>
    </w:p>
    <w:p w:rsidR="00BF0148" w:rsidRPr="00F25D08" w:rsidRDefault="00BF0148" w:rsidP="00BF0148">
      <w:pPr>
        <w:pStyle w:val="SingleTxtGR"/>
      </w:pPr>
      <w:r w:rsidRPr="00F25D08">
        <w:t>21.</w:t>
      </w:r>
      <w:r w:rsidRPr="00F25D08">
        <w:tab/>
        <w:t>GRB отметила, что новый Пересмотр 4 Сводной резолюции о констру</w:t>
      </w:r>
      <w:r w:rsidRPr="00F25D08">
        <w:t>к</w:t>
      </w:r>
      <w:r w:rsidRPr="00F25D08">
        <w:t>ции транспортных средств (СР.3) недавно был размещен на веб-сайте ЕЭК ООН.</w:t>
      </w:r>
    </w:p>
    <w:p w:rsidR="00BF0148" w:rsidRPr="00F25D08" w:rsidRDefault="00BF0148" w:rsidP="00F2512E">
      <w:pPr>
        <w:pStyle w:val="HChGR"/>
      </w:pPr>
      <w:r w:rsidRPr="00F25D08">
        <w:lastRenderedPageBreak/>
        <w:tab/>
        <w:t>XV.</w:t>
      </w:r>
      <w:r w:rsidRPr="00F25D08">
        <w:tab/>
        <w:t>Разработка международной системы официального утверждения типа комплектного транспортного средства (МОУТКТС) и участие в ней рабочих групп (пункт 14 повестки дня)</w:t>
      </w:r>
    </w:p>
    <w:p w:rsidR="00BF0148" w:rsidRPr="00F25D08" w:rsidRDefault="00BF0148" w:rsidP="00BF0148">
      <w:pPr>
        <w:pStyle w:val="SingleTxtGR"/>
      </w:pPr>
      <w:r w:rsidRPr="00F25D08">
        <w:t>22.</w:t>
      </w:r>
      <w:r w:rsidRPr="00F25D08">
        <w:tab/>
        <w:t>Секретариат сообщил GRB о недавней деятельности подгруппы по пр</w:t>
      </w:r>
      <w:r w:rsidRPr="00F25D08">
        <w:t>а</w:t>
      </w:r>
      <w:r w:rsidRPr="00F25D08">
        <w:t xml:space="preserve">вилам </w:t>
      </w:r>
      <w:r w:rsidR="004022C5" w:rsidRPr="00F25D08">
        <w:t>№ </w:t>
      </w:r>
      <w:r w:rsidRPr="00F25D08">
        <w:t>0 ООН по МОУТКТС, о ходе работы по Пересмотру 3 Соглашения 1958 года, а также о разработке электронной базы данных для обмена докуме</w:t>
      </w:r>
      <w:r w:rsidRPr="00F25D08">
        <w:t>н</w:t>
      </w:r>
      <w:r w:rsidRPr="00F25D08">
        <w:t xml:space="preserve">тацией об официальном утверждении типа (ДЕТА). GRB отметила, что правила </w:t>
      </w:r>
      <w:r w:rsidR="004022C5" w:rsidRPr="00F25D08">
        <w:t>№ </w:t>
      </w:r>
      <w:r w:rsidRPr="00F25D08">
        <w:t>28 и 51 будут включены в МОУТКТС.</w:t>
      </w:r>
    </w:p>
    <w:p w:rsidR="00BF0148" w:rsidRPr="00F25D08" w:rsidRDefault="00BF0148" w:rsidP="00F2512E">
      <w:pPr>
        <w:pStyle w:val="HChGR"/>
      </w:pPr>
      <w:r w:rsidRPr="00F25D08">
        <w:tab/>
        <w:t>XVI.</w:t>
      </w:r>
      <w:r w:rsidRPr="00F25D08">
        <w:tab/>
        <w:t>Основные вопросы, рассмотренные на сессии WP.29 в</w:t>
      </w:r>
      <w:r w:rsidR="00F2512E" w:rsidRPr="00F25D08">
        <w:t> </w:t>
      </w:r>
      <w:r w:rsidRPr="00F25D08">
        <w:t>ноябре 2015 года (пункт 15 повестки дня)</w:t>
      </w:r>
    </w:p>
    <w:p w:rsidR="00BF0148" w:rsidRPr="00F25D08" w:rsidRDefault="00BF0148" w:rsidP="00AC380B">
      <w:pPr>
        <w:pStyle w:val="SingleTxtGR"/>
        <w:ind w:left="2835" w:hanging="1701"/>
        <w:jc w:val="left"/>
      </w:pPr>
      <w:r w:rsidRPr="00F25D08">
        <w:rPr>
          <w:i/>
          <w:iCs/>
        </w:rPr>
        <w:t>Документация</w:t>
      </w:r>
      <w:r w:rsidRPr="00F25D08">
        <w:t>:</w:t>
      </w:r>
      <w:r w:rsidRPr="00F25D08">
        <w:tab/>
        <w:t xml:space="preserve">ECE/TRANS/WP.29/1118, </w:t>
      </w:r>
      <w:r w:rsidR="00AC380B" w:rsidRPr="00F25D08">
        <w:br/>
      </w:r>
      <w:r w:rsidRPr="00F25D08">
        <w:t>неофициальный документ GRB-63-06</w:t>
      </w:r>
    </w:p>
    <w:p w:rsidR="00BF0148" w:rsidRPr="00F25D08" w:rsidRDefault="00BF0148" w:rsidP="00BF0148">
      <w:pPr>
        <w:pStyle w:val="SingleTxtGR"/>
      </w:pPr>
      <w:r w:rsidRPr="00F25D08">
        <w:t>23.</w:t>
      </w:r>
      <w:r w:rsidRPr="00F25D08">
        <w:tab/>
        <w:t xml:space="preserve">Секретариат сообщил об основных вопросах, рассмотренных в ходе </w:t>
      </w:r>
      <w:r w:rsidR="00AC380B" w:rsidRPr="00F25D08">
        <w:br/>
      </w:r>
      <w:r w:rsidRPr="00F25D08">
        <w:t>167-й сессии WP.29 (ECE/TRANS/WP.29/1118, GRB-63-06).</w:t>
      </w:r>
    </w:p>
    <w:p w:rsidR="00BF0148" w:rsidRPr="00F25D08" w:rsidRDefault="00BF0148" w:rsidP="00AC380B">
      <w:pPr>
        <w:pStyle w:val="HChGR"/>
      </w:pPr>
      <w:r w:rsidRPr="00F25D08">
        <w:tab/>
        <w:t>XVII.</w:t>
      </w:r>
      <w:r w:rsidRPr="00F25D08">
        <w:tab/>
        <w:t>Обмен мнениями по поводу будущей работы GRB (пункт 16 повестки дня)</w:t>
      </w:r>
    </w:p>
    <w:p w:rsidR="00BF0148" w:rsidRPr="00F25D08" w:rsidRDefault="00BF0148" w:rsidP="00BF0148">
      <w:pPr>
        <w:pStyle w:val="SingleTxtGR"/>
      </w:pPr>
      <w:r w:rsidRPr="00F25D08">
        <w:rPr>
          <w:i/>
          <w:iCs/>
        </w:rPr>
        <w:t>Документация</w:t>
      </w:r>
      <w:r w:rsidRPr="00F25D08">
        <w:t>:</w:t>
      </w:r>
      <w:r w:rsidRPr="00F25D08">
        <w:tab/>
        <w:t xml:space="preserve">неофициальный документ GRB-62-08-Rev.2 </w:t>
      </w:r>
    </w:p>
    <w:p w:rsidR="00BF0148" w:rsidRPr="00F25D08" w:rsidRDefault="00BF0148" w:rsidP="00BF0148">
      <w:pPr>
        <w:pStyle w:val="SingleTxtGR"/>
      </w:pPr>
      <w:r w:rsidRPr="00F25D08">
        <w:t>24.</w:t>
      </w:r>
      <w:r w:rsidRPr="00F25D08">
        <w:tab/>
        <w:t>Председатель представил пересмотренный перечень возможных вопросов для будущей деятельности GRB, составленный на втором неофициальном с</w:t>
      </w:r>
      <w:r w:rsidRPr="00F25D08">
        <w:t>о</w:t>
      </w:r>
      <w:r w:rsidRPr="00F25D08">
        <w:t>вещании в декабре 2015 года, а также письменные замечания некоторых эк</w:t>
      </w:r>
      <w:r w:rsidRPr="00F25D08">
        <w:t>с</w:t>
      </w:r>
      <w:r w:rsidRPr="00F25D08">
        <w:t>пертов (GRB-62-08-Rev.2). GRB отметила, что некоторые из этих вопросов м</w:t>
      </w:r>
      <w:r w:rsidRPr="00F25D08">
        <w:t>о</w:t>
      </w:r>
      <w:r w:rsidRPr="00F25D08">
        <w:t xml:space="preserve">гут быть адресованы непосредственно GRB, в то время как другие, возможно, потребуют создания неофициальных рабочих групп (НРГ). В частности, было предложено создать НРГ по правилам </w:t>
      </w:r>
      <w:r w:rsidR="004022C5" w:rsidRPr="00F25D08">
        <w:t>№ </w:t>
      </w:r>
      <w:r w:rsidRPr="00F25D08">
        <w:t>41 и 51 в отношении ДППШ и исп</w:t>
      </w:r>
      <w:r w:rsidRPr="00F25D08">
        <w:t>ы</w:t>
      </w:r>
      <w:r w:rsidRPr="00F25D08">
        <w:t>таний на уровень шума от проезжающих транспортных средств, находящихся в эксплуатации (в ходе проверок на дорогах и периодических технических осмотров). В предварительном порядке эксперты от Франции и Германии соо</w:t>
      </w:r>
      <w:r w:rsidRPr="00F25D08">
        <w:t>т</w:t>
      </w:r>
      <w:r w:rsidRPr="00F25D08">
        <w:t>ветственно выразили готовность стать председателями этих групп. Эксперты от Китая, Японии, Венгрии, ЕК, МАЗМ и МОПАП высказались в поддержку с</w:t>
      </w:r>
      <w:r w:rsidRPr="00F25D08">
        <w:t>о</w:t>
      </w:r>
      <w:r w:rsidRPr="00F25D08">
        <w:t>здания таких НРГ. GRB решила принять решение об их учреждении на след</w:t>
      </w:r>
      <w:r w:rsidRPr="00F25D08">
        <w:t>у</w:t>
      </w:r>
      <w:r w:rsidRPr="00F25D08">
        <w:t>ющей сессии.</w:t>
      </w:r>
    </w:p>
    <w:p w:rsidR="00BF0148" w:rsidRPr="00F25D08" w:rsidRDefault="00BF0148" w:rsidP="00BF0148">
      <w:pPr>
        <w:pStyle w:val="SingleTxtGR"/>
      </w:pPr>
      <w:r w:rsidRPr="00F25D08">
        <w:t>25.</w:t>
      </w:r>
      <w:r w:rsidRPr="00F25D08">
        <w:tab/>
        <w:t>Эксперт от ЕК высказал ряд дополнительных замечаний по докуме</w:t>
      </w:r>
      <w:r w:rsidRPr="00F25D08">
        <w:t>н</w:t>
      </w:r>
      <w:r w:rsidRPr="00F25D08">
        <w:t>ту</w:t>
      </w:r>
      <w:r w:rsidR="000870BF">
        <w:rPr>
          <w:lang w:val="en-US"/>
        </w:rPr>
        <w:t> </w:t>
      </w:r>
      <w:r w:rsidRPr="00F25D08">
        <w:t>GRB-62-08-Rev.2. В частности, он отметил, что положения об АСЕП (в о</w:t>
      </w:r>
      <w:r w:rsidRPr="00F25D08">
        <w:t>б</w:t>
      </w:r>
      <w:r w:rsidRPr="00F25D08">
        <w:t>легченном варианте) и испытания для проезжающих транспортных средств я</w:t>
      </w:r>
      <w:r w:rsidRPr="00F25D08">
        <w:t>в</w:t>
      </w:r>
      <w:r w:rsidRPr="00F25D08">
        <w:t xml:space="preserve">ляются также необходимыми для правил </w:t>
      </w:r>
      <w:r w:rsidR="004022C5" w:rsidRPr="00F25D08">
        <w:t>№ </w:t>
      </w:r>
      <w:r w:rsidRPr="00F25D08">
        <w:t>9 и 63, как это предлагается в док</w:t>
      </w:r>
      <w:r w:rsidRPr="00F25D08">
        <w:t>у</w:t>
      </w:r>
      <w:r w:rsidRPr="00F25D08">
        <w:t xml:space="preserve">ментах GRB-63-07 и GRB-63-08. В отношении возможных новых предельных значений уровня звука в правилах </w:t>
      </w:r>
      <w:r w:rsidR="004022C5" w:rsidRPr="00F25D08">
        <w:t>№ </w:t>
      </w:r>
      <w:r w:rsidRPr="00F25D08">
        <w:t>9, 63, 92 и 117, а также для шин с восст</w:t>
      </w:r>
      <w:r w:rsidRPr="00F25D08">
        <w:t>а</w:t>
      </w:r>
      <w:r w:rsidRPr="00F25D08">
        <w:t>новленным протектором он указал, что такие предельные значения могут быть предложены только после того, как будут в надлежащие сроки проведены о</w:t>
      </w:r>
      <w:r w:rsidRPr="00F25D08">
        <w:t>б</w:t>
      </w:r>
      <w:r w:rsidRPr="00F25D08">
        <w:t>суждения с государствами − членами ЕС с учетом внутреннего планирования и при наличии ресурсов.</w:t>
      </w:r>
    </w:p>
    <w:p w:rsidR="00BF0148" w:rsidRPr="00F25D08" w:rsidRDefault="00BF0148" w:rsidP="00BF0148">
      <w:pPr>
        <w:pStyle w:val="SingleTxtGR"/>
      </w:pPr>
      <w:r w:rsidRPr="00F25D08">
        <w:lastRenderedPageBreak/>
        <w:t>26.</w:t>
      </w:r>
      <w:r w:rsidRPr="00F25D08">
        <w:tab/>
        <w:t>Эксперт от Российской Федерации предложил добавить в перечень во</w:t>
      </w:r>
      <w:r w:rsidRPr="00F25D08">
        <w:t>з</w:t>
      </w:r>
      <w:r w:rsidRPr="00F25D08">
        <w:t>можных будущих мероприятий на долгосрочную перспективу следующие в</w:t>
      </w:r>
      <w:r w:rsidRPr="00F25D08">
        <w:t>о</w:t>
      </w:r>
      <w:r w:rsidRPr="00F25D08">
        <w:t>просы: инфразвуковой мониторинг и подготовка определения бесшумных транспортных средств. Эксперт от ЕТОПОК выразил мнение о том, что ра</w:t>
      </w:r>
      <w:r w:rsidRPr="00F25D08">
        <w:t>с</w:t>
      </w:r>
      <w:r w:rsidRPr="00F25D08">
        <w:t>смотрение вопроса о шинах с восстановленным протектором преждевременно, и отметил, что GRRF также следует принимать участие в обсуждении этого в</w:t>
      </w:r>
      <w:r w:rsidRPr="00F25D08">
        <w:t>о</w:t>
      </w:r>
      <w:r w:rsidRPr="00F25D08">
        <w:t>проса.</w:t>
      </w:r>
    </w:p>
    <w:p w:rsidR="00BF0148" w:rsidRPr="00F25D08" w:rsidRDefault="00BF0148" w:rsidP="00BF0148">
      <w:pPr>
        <w:pStyle w:val="SingleTxtGR"/>
      </w:pPr>
      <w:r w:rsidRPr="00F25D08">
        <w:t>27.</w:t>
      </w:r>
      <w:r w:rsidRPr="00F25D08">
        <w:tab/>
        <w:t>GRB предложила Председателю обновить указанный перечень на основе полученных замечаний и решила вернуться к этому вопросу на своей следу</w:t>
      </w:r>
      <w:r w:rsidRPr="00F25D08">
        <w:t>ю</w:t>
      </w:r>
      <w:r w:rsidRPr="00F25D08">
        <w:t>щей сессии.</w:t>
      </w:r>
    </w:p>
    <w:p w:rsidR="00BF0148" w:rsidRPr="00F25D08" w:rsidRDefault="00BF0148" w:rsidP="00AC380B">
      <w:pPr>
        <w:pStyle w:val="HChGR"/>
      </w:pPr>
      <w:r w:rsidRPr="00F25D08">
        <w:tab/>
        <w:t>XVIII.</w:t>
      </w:r>
      <w:r w:rsidRPr="00F25D08">
        <w:tab/>
        <w:t>Прочие вопросы (пункт 17 повестки дня)</w:t>
      </w:r>
    </w:p>
    <w:p w:rsidR="00BF0148" w:rsidRPr="00F25D08" w:rsidRDefault="00BF0148" w:rsidP="00BF0148">
      <w:pPr>
        <w:pStyle w:val="SingleTxtGR"/>
      </w:pPr>
      <w:r w:rsidRPr="00F25D08">
        <w:t>28.</w:t>
      </w:r>
      <w:r w:rsidRPr="00F25D08">
        <w:tab/>
        <w:t>GRB была проинформирована о том, что г-н Жан-Клод Нуаром (ЕТОПОК) выходит на пенсию и больше не будет присутствовать на ее сессиях. GRB высоко оценила его значительный вклад в работу группы и пожелала ему счастья в дальнейшей жизни.</w:t>
      </w:r>
    </w:p>
    <w:p w:rsidR="00BF0148" w:rsidRPr="00F25D08" w:rsidRDefault="00BF0148" w:rsidP="00BF0148">
      <w:pPr>
        <w:pStyle w:val="SingleTxtGR"/>
      </w:pPr>
      <w:r w:rsidRPr="00F25D08">
        <w:t>29.</w:t>
      </w:r>
      <w:r w:rsidRPr="00F25D08">
        <w:tab/>
        <w:t>Руководитель Секции по правилам в области транспортных средств и транспортным инновациям г-н Вальтер Нисслер проинформировал GRB об упразднении ряда должностей категории общего обслуживания (ОО) в Евр</w:t>
      </w:r>
      <w:r w:rsidRPr="00F25D08">
        <w:t>о</w:t>
      </w:r>
      <w:r w:rsidRPr="00F25D08">
        <w:t>пейской экономической комиссии Организации Объединенных Наций (ЕЭК</w:t>
      </w:r>
      <w:r w:rsidR="00AC380B" w:rsidRPr="00F25D08">
        <w:t> </w:t>
      </w:r>
      <w:r w:rsidRPr="00F25D08">
        <w:t>ООН) в соответствии с решением, принятым Генеральной Ассамблеей Организации Объединенных Наций в декабре 2015 года. Он далее пояснил, что с 1 января 2016 года в Секции по правилам в области транспортных средств и транспортным инновациям в связи с предстоящим выходом на пенсию штатн</w:t>
      </w:r>
      <w:r w:rsidRPr="00F25D08">
        <w:t>о</w:t>
      </w:r>
      <w:r w:rsidRPr="00F25D08">
        <w:t>го сотрудника была упразднена одна должность категории ОО. Он предупредил, что эта досадная ситуация может в будущем сказаться на способности Секции предоставлять соответствующие услуги.</w:t>
      </w:r>
    </w:p>
    <w:p w:rsidR="00BF0148" w:rsidRPr="00F25D08" w:rsidRDefault="00BF0148" w:rsidP="00BF0148">
      <w:pPr>
        <w:pStyle w:val="SingleTxtGR"/>
      </w:pPr>
      <w:r w:rsidRPr="00F25D08">
        <w:t>30.</w:t>
      </w:r>
      <w:r w:rsidRPr="00F25D08">
        <w:tab/>
        <w:t>Некоторые эксперты поинтересовались, можно ли будет перенести осе</w:t>
      </w:r>
      <w:r w:rsidRPr="00F25D08">
        <w:t>н</w:t>
      </w:r>
      <w:r w:rsidRPr="00F25D08">
        <w:t>нюю сессию GRB на вторую неделю сентября. Председатель предложил секр</w:t>
      </w:r>
      <w:r w:rsidRPr="00F25D08">
        <w:t>е</w:t>
      </w:r>
      <w:r w:rsidRPr="00F25D08">
        <w:t>тариату изучить этот вопрос с учетом ежегодного графика совещаний WP.29 и его вспомогательных органов.</w:t>
      </w:r>
    </w:p>
    <w:p w:rsidR="00BF0148" w:rsidRPr="00F25D08" w:rsidRDefault="00BF0148" w:rsidP="00AC380B">
      <w:pPr>
        <w:pStyle w:val="HChGR"/>
      </w:pPr>
      <w:r w:rsidRPr="00F25D08">
        <w:tab/>
        <w:t>XIX.</w:t>
      </w:r>
      <w:r w:rsidRPr="00F25D08">
        <w:tab/>
        <w:t>Предварительная повестка дня шестьдесят четвертой сессии (пункт 18 повестки дня)</w:t>
      </w:r>
    </w:p>
    <w:p w:rsidR="00BF0148" w:rsidRPr="00F25D08" w:rsidRDefault="00BF0148" w:rsidP="00BF0148">
      <w:pPr>
        <w:pStyle w:val="SingleTxtGR"/>
      </w:pPr>
      <w:r w:rsidRPr="00F25D08">
        <w:t>31.</w:t>
      </w:r>
      <w:r w:rsidRPr="00F25D08">
        <w:tab/>
        <w:t>В связи со своей шестьдесят четвертой сессией, которую планируется провести в Женеве с 5 (с 14 ч. 30 м.) по 7 (до 17 ч. 30 м.) сентября 2016 года, GRB отметила, что крайний срок для представления официальной документ</w:t>
      </w:r>
      <w:r w:rsidRPr="00F25D08">
        <w:t>а</w:t>
      </w:r>
      <w:r w:rsidRPr="00F25D08">
        <w:t>ции в секретариат − 10 июня 2016 года, т.е. за 12 недель до начала сессии. Была утверждена следующая предварительная повестка дня:</w:t>
      </w:r>
    </w:p>
    <w:p w:rsidR="00BF0148" w:rsidRPr="00F25D08" w:rsidRDefault="00BF0148" w:rsidP="00AC380B">
      <w:pPr>
        <w:pStyle w:val="SingleTxtGR"/>
        <w:suppressAutoHyphens/>
        <w:ind w:left="2261" w:right="1138" w:hanging="562"/>
        <w:jc w:val="left"/>
      </w:pPr>
      <w:r w:rsidRPr="00F25D08">
        <w:t>1.</w:t>
      </w:r>
      <w:r w:rsidRPr="00F25D08">
        <w:tab/>
        <w:t>Утверждение повестки дня.</w:t>
      </w:r>
    </w:p>
    <w:p w:rsidR="00BF0148" w:rsidRPr="00F25D08" w:rsidRDefault="00BF0148" w:rsidP="00AC380B">
      <w:pPr>
        <w:pStyle w:val="SingleTxtGR"/>
        <w:suppressAutoHyphens/>
        <w:ind w:left="2261" w:right="1138" w:hanging="562"/>
        <w:jc w:val="left"/>
      </w:pPr>
      <w:r w:rsidRPr="00F25D08">
        <w:t>2.</w:t>
      </w:r>
      <w:r w:rsidRPr="00F25D08">
        <w:tab/>
        <w:t xml:space="preserve">Правила </w:t>
      </w:r>
      <w:r w:rsidR="004022C5" w:rsidRPr="00F25D08">
        <w:t>№ </w:t>
      </w:r>
      <w:r w:rsidRPr="00F25D08">
        <w:t>28 (звуковые сигнальные приборы).</w:t>
      </w:r>
    </w:p>
    <w:p w:rsidR="00BF0148" w:rsidRPr="00F25D08" w:rsidRDefault="00BF0148" w:rsidP="00AC380B">
      <w:pPr>
        <w:pStyle w:val="SingleTxtGR"/>
        <w:suppressAutoHyphens/>
        <w:ind w:left="2261" w:right="1138" w:hanging="562"/>
        <w:jc w:val="left"/>
      </w:pPr>
      <w:r w:rsidRPr="00F25D08">
        <w:t>3.</w:t>
      </w:r>
      <w:r w:rsidRPr="00F25D08">
        <w:tab/>
        <w:t xml:space="preserve">Правила </w:t>
      </w:r>
      <w:r w:rsidR="004022C5" w:rsidRPr="00F25D08">
        <w:t>№ </w:t>
      </w:r>
      <w:r w:rsidRPr="00F25D08">
        <w:t>41 (шум, производимый мотоциклами): разработка.</w:t>
      </w:r>
    </w:p>
    <w:p w:rsidR="00BF0148" w:rsidRPr="00F25D08" w:rsidRDefault="00BF0148" w:rsidP="004F543D">
      <w:pPr>
        <w:pStyle w:val="SingleTxtGR"/>
        <w:keepNext/>
        <w:suppressAutoHyphens/>
        <w:ind w:left="2261" w:right="1138" w:hanging="562"/>
        <w:jc w:val="left"/>
      </w:pPr>
      <w:r w:rsidRPr="00F25D08">
        <w:lastRenderedPageBreak/>
        <w:t>4.</w:t>
      </w:r>
      <w:r w:rsidRPr="00F25D08">
        <w:tab/>
        <w:t xml:space="preserve">Правила </w:t>
      </w:r>
      <w:r w:rsidR="004022C5" w:rsidRPr="00F25D08">
        <w:t>№ </w:t>
      </w:r>
      <w:r w:rsidRPr="00F25D08">
        <w:t>51 (шум, производимый транспортными средствами категорий M и N):</w:t>
      </w:r>
    </w:p>
    <w:p w:rsidR="00BF0148" w:rsidRPr="00F25D08" w:rsidRDefault="00BF0148" w:rsidP="004F543D">
      <w:pPr>
        <w:pStyle w:val="SingleTxtGR"/>
        <w:keepNext/>
        <w:suppressAutoHyphens/>
        <w:ind w:left="2261" w:right="1138" w:hanging="562"/>
        <w:jc w:val="left"/>
      </w:pPr>
      <w:r w:rsidRPr="00F25D08">
        <w:tab/>
      </w:r>
      <w:r w:rsidR="004F543D" w:rsidRPr="00F25D08">
        <w:tab/>
      </w:r>
      <w:r w:rsidRPr="00F25D08">
        <w:t>а)</w:t>
      </w:r>
      <w:r w:rsidRPr="00F25D08">
        <w:tab/>
        <w:t>разработка;</w:t>
      </w:r>
    </w:p>
    <w:p w:rsidR="00BF0148" w:rsidRPr="00F25D08" w:rsidRDefault="00BF0148" w:rsidP="00AC380B">
      <w:pPr>
        <w:pStyle w:val="SingleTxtGR"/>
        <w:suppressAutoHyphens/>
        <w:ind w:left="2261" w:right="1138" w:hanging="562"/>
        <w:jc w:val="left"/>
      </w:pPr>
      <w:r w:rsidRPr="00F25D08">
        <w:tab/>
      </w:r>
      <w:r w:rsidR="004F543D" w:rsidRPr="00F25D08">
        <w:tab/>
      </w:r>
      <w:r w:rsidRPr="00F25D08">
        <w:t>b)</w:t>
      </w:r>
      <w:r w:rsidRPr="00F25D08">
        <w:tab/>
        <w:t>дополнительные положения о производимом шуме.</w:t>
      </w:r>
    </w:p>
    <w:p w:rsidR="00BF0148" w:rsidRPr="00F25D08" w:rsidRDefault="00BF0148" w:rsidP="00AC380B">
      <w:pPr>
        <w:pStyle w:val="SingleTxtGR"/>
        <w:suppressAutoHyphens/>
        <w:ind w:left="2261" w:right="1138" w:hanging="562"/>
        <w:jc w:val="left"/>
      </w:pPr>
      <w:r w:rsidRPr="00F25D08">
        <w:t>5.</w:t>
      </w:r>
      <w:r w:rsidRPr="00F25D08">
        <w:tab/>
        <w:t xml:space="preserve">Правила </w:t>
      </w:r>
      <w:r w:rsidR="004022C5" w:rsidRPr="00F25D08">
        <w:t>№ </w:t>
      </w:r>
      <w:r w:rsidRPr="00F25D08">
        <w:t>59 (сменные системы глушителей).</w:t>
      </w:r>
    </w:p>
    <w:p w:rsidR="00BF0148" w:rsidRPr="00F25D08" w:rsidRDefault="00BF0148" w:rsidP="00AC380B">
      <w:pPr>
        <w:pStyle w:val="SingleTxtGR"/>
        <w:suppressAutoHyphens/>
        <w:ind w:left="2261" w:right="1138" w:hanging="562"/>
        <w:jc w:val="left"/>
      </w:pPr>
      <w:r w:rsidRPr="00F25D08">
        <w:t>6.</w:t>
      </w:r>
      <w:r w:rsidRPr="00F25D08">
        <w:tab/>
        <w:t xml:space="preserve">Правила </w:t>
      </w:r>
      <w:r w:rsidR="004022C5" w:rsidRPr="00F25D08">
        <w:t>№ </w:t>
      </w:r>
      <w:r w:rsidRPr="00F25D08">
        <w:t>92 (сменные системы глушителей для мотоциклов).</w:t>
      </w:r>
    </w:p>
    <w:p w:rsidR="00BF0148" w:rsidRPr="00F25D08" w:rsidRDefault="00BF0148" w:rsidP="00AC380B">
      <w:pPr>
        <w:pStyle w:val="SingleTxtGR"/>
        <w:suppressAutoHyphens/>
        <w:ind w:left="2261" w:right="1138" w:hanging="562"/>
        <w:jc w:val="left"/>
      </w:pPr>
      <w:r w:rsidRPr="00F25D08">
        <w:t>7.</w:t>
      </w:r>
      <w:r w:rsidRPr="00F25D08">
        <w:tab/>
        <w:t xml:space="preserve">Правила </w:t>
      </w:r>
      <w:r w:rsidR="004022C5" w:rsidRPr="00F25D08">
        <w:t>№ </w:t>
      </w:r>
      <w:r w:rsidRPr="00F25D08">
        <w:t>117 (звук, производимый шинами при качении, и их сцепление на мокрой поверхности).</w:t>
      </w:r>
    </w:p>
    <w:p w:rsidR="00BF0148" w:rsidRPr="00F25D08" w:rsidRDefault="00BF0148" w:rsidP="00AC380B">
      <w:pPr>
        <w:pStyle w:val="SingleTxtGR"/>
        <w:suppressAutoHyphens/>
        <w:ind w:left="2261" w:right="1138" w:hanging="562"/>
        <w:jc w:val="left"/>
      </w:pPr>
      <w:r w:rsidRPr="00F25D08">
        <w:t>8.</w:t>
      </w:r>
      <w:r w:rsidRPr="00F25D08">
        <w:tab/>
        <w:t>Общие поправки.</w:t>
      </w:r>
    </w:p>
    <w:p w:rsidR="00BF0148" w:rsidRPr="00F25D08" w:rsidRDefault="00BF0148" w:rsidP="00AC380B">
      <w:pPr>
        <w:pStyle w:val="SingleTxtGR"/>
        <w:suppressAutoHyphens/>
        <w:ind w:left="2261" w:right="1138" w:hanging="562"/>
        <w:jc w:val="left"/>
      </w:pPr>
      <w:r w:rsidRPr="00F25D08">
        <w:t>9.</w:t>
      </w:r>
      <w:r w:rsidRPr="00F25D08">
        <w:tab/>
        <w:t>Обмен информацией о национальных и международных требованиях, касающихся уровней шума.</w:t>
      </w:r>
    </w:p>
    <w:p w:rsidR="00BF0148" w:rsidRPr="00F25D08" w:rsidRDefault="00BF0148" w:rsidP="00AC380B">
      <w:pPr>
        <w:pStyle w:val="SingleTxtGR"/>
        <w:suppressAutoHyphens/>
        <w:ind w:left="2261" w:right="1138" w:hanging="562"/>
        <w:jc w:val="left"/>
      </w:pPr>
      <w:r w:rsidRPr="00F25D08">
        <w:t>10.</w:t>
      </w:r>
      <w:r w:rsidRPr="00F25D08">
        <w:tab/>
        <w:t>Влияние поверхности дороги на уровень звука, производимого шинами при качении.</w:t>
      </w:r>
    </w:p>
    <w:p w:rsidR="00BF0148" w:rsidRPr="00F25D08" w:rsidRDefault="00BF0148" w:rsidP="00AC380B">
      <w:pPr>
        <w:pStyle w:val="SingleTxtGR"/>
        <w:suppressAutoHyphens/>
        <w:ind w:left="2261" w:right="1138" w:hanging="562"/>
        <w:jc w:val="left"/>
      </w:pPr>
      <w:r w:rsidRPr="00F25D08">
        <w:t>11.</w:t>
      </w:r>
      <w:r w:rsidRPr="00F25D08">
        <w:tab/>
        <w:t>Бесшумные автотранспортные средства.</w:t>
      </w:r>
    </w:p>
    <w:p w:rsidR="00BF0148" w:rsidRPr="00F25D08" w:rsidRDefault="00BF0148" w:rsidP="00AC380B">
      <w:pPr>
        <w:pStyle w:val="SingleTxtGR"/>
        <w:suppressAutoHyphens/>
        <w:ind w:left="2261" w:right="1138" w:hanging="562"/>
        <w:jc w:val="left"/>
      </w:pPr>
      <w:r w:rsidRPr="00F25D08">
        <w:t>12.</w:t>
      </w:r>
      <w:r w:rsidRPr="00F25D08">
        <w:tab/>
        <w:t>Сокращения и аббревиатуры в правилах, относящихся к ведению GRB.</w:t>
      </w:r>
    </w:p>
    <w:p w:rsidR="00BF0148" w:rsidRPr="00F25D08" w:rsidRDefault="00BF0148" w:rsidP="00AC380B">
      <w:pPr>
        <w:pStyle w:val="SingleTxtGR"/>
        <w:suppressAutoHyphens/>
        <w:ind w:left="2261" w:right="1138" w:hanging="562"/>
        <w:jc w:val="left"/>
      </w:pPr>
      <w:r w:rsidRPr="00F25D08">
        <w:t>13.</w:t>
      </w:r>
      <w:r w:rsidRPr="00F25D08">
        <w:tab/>
        <w:t>Предложение по поправкам к Сводной резолюции о конструкции транспортных средств.</w:t>
      </w:r>
    </w:p>
    <w:p w:rsidR="00BF0148" w:rsidRPr="00F25D08" w:rsidRDefault="00BF0148" w:rsidP="00AC380B">
      <w:pPr>
        <w:pStyle w:val="SingleTxtGR"/>
        <w:suppressAutoHyphens/>
        <w:ind w:left="2261" w:right="1138" w:hanging="562"/>
        <w:jc w:val="left"/>
      </w:pPr>
      <w:r w:rsidRPr="00F25D08">
        <w:t>14.</w:t>
      </w:r>
      <w:r w:rsidRPr="00F25D08">
        <w:tab/>
        <w:t>Разработка международной системы официального утверждения типа комплектного транспортного средства (МОУТКТС) и участие в ней рабочих групп.</w:t>
      </w:r>
    </w:p>
    <w:p w:rsidR="00BF0148" w:rsidRPr="00F25D08" w:rsidRDefault="00BF0148" w:rsidP="00AC380B">
      <w:pPr>
        <w:pStyle w:val="SingleTxtGR"/>
        <w:suppressAutoHyphens/>
        <w:ind w:left="2261" w:right="1138" w:hanging="562"/>
        <w:jc w:val="left"/>
      </w:pPr>
      <w:r w:rsidRPr="00F25D08">
        <w:t>15.</w:t>
      </w:r>
      <w:r w:rsidRPr="00F25D08">
        <w:tab/>
        <w:t>Основные вопросы, рассмотренные на сессии WP.29 в ноябре 2015</w:t>
      </w:r>
      <w:r w:rsidR="00AC380B" w:rsidRPr="00F25D08">
        <w:t> </w:t>
      </w:r>
      <w:r w:rsidRPr="00F25D08">
        <w:t>года.</w:t>
      </w:r>
    </w:p>
    <w:p w:rsidR="00BF0148" w:rsidRPr="00F25D08" w:rsidRDefault="00BF0148" w:rsidP="00AC380B">
      <w:pPr>
        <w:pStyle w:val="SingleTxtGR"/>
        <w:suppressAutoHyphens/>
        <w:ind w:left="2261" w:right="1138" w:hanging="562"/>
        <w:jc w:val="left"/>
      </w:pPr>
      <w:r w:rsidRPr="00F25D08">
        <w:t>16.</w:t>
      </w:r>
      <w:r w:rsidRPr="00F25D08">
        <w:tab/>
        <w:t>Обмен мнениями по поводу будущей работы GRB.</w:t>
      </w:r>
    </w:p>
    <w:p w:rsidR="00BF0148" w:rsidRPr="00F25D08" w:rsidRDefault="00BF0148" w:rsidP="00AC380B">
      <w:pPr>
        <w:pStyle w:val="SingleTxtGR"/>
        <w:suppressAutoHyphens/>
        <w:ind w:left="2261" w:right="1138" w:hanging="562"/>
        <w:jc w:val="left"/>
      </w:pPr>
      <w:r w:rsidRPr="00F25D08">
        <w:t>17.</w:t>
      </w:r>
      <w:r w:rsidRPr="00F25D08">
        <w:tab/>
        <w:t>Прочие вопросы.</w:t>
      </w:r>
    </w:p>
    <w:p w:rsidR="00BF0148" w:rsidRPr="00F25D08" w:rsidRDefault="00BF0148" w:rsidP="00AC380B">
      <w:pPr>
        <w:pStyle w:val="SingleTxtGR"/>
        <w:suppressAutoHyphens/>
        <w:ind w:left="2261" w:right="1138" w:hanging="562"/>
        <w:jc w:val="left"/>
      </w:pPr>
      <w:r w:rsidRPr="00F25D08">
        <w:t>18.</w:t>
      </w:r>
      <w:r w:rsidRPr="00F25D08">
        <w:tab/>
        <w:t>Предварительная повестка дня шестьдесят четвертой сессии.</w:t>
      </w:r>
    </w:p>
    <w:p w:rsidR="00A658DB" w:rsidRPr="00F25D08" w:rsidRDefault="00BF0148" w:rsidP="00AC380B">
      <w:pPr>
        <w:pStyle w:val="SingleTxtGR"/>
        <w:suppressAutoHyphens/>
        <w:ind w:left="2261" w:right="1138" w:hanging="562"/>
        <w:jc w:val="left"/>
      </w:pPr>
      <w:r w:rsidRPr="00F25D08">
        <w:t xml:space="preserve">19. </w:t>
      </w:r>
      <w:r w:rsidRPr="00F25D08">
        <w:tab/>
        <w:t>Выборы должностных лиц.</w:t>
      </w:r>
    </w:p>
    <w:p w:rsidR="00AC380B" w:rsidRPr="00F25D08" w:rsidRDefault="00AC380B">
      <w:pPr>
        <w:spacing w:line="240" w:lineRule="auto"/>
        <w:rPr>
          <w:b/>
        </w:rPr>
      </w:pPr>
      <w:r w:rsidRPr="00F25D08">
        <w:rPr>
          <w:b/>
        </w:rPr>
        <w:br w:type="page"/>
      </w:r>
    </w:p>
    <w:p w:rsidR="00BF0148" w:rsidRPr="00F25D08" w:rsidRDefault="00BF0148" w:rsidP="006C4E4C">
      <w:pPr>
        <w:pStyle w:val="HChGR"/>
        <w:spacing w:before="180" w:after="180"/>
      </w:pPr>
      <w:r w:rsidRPr="00F25D08">
        <w:lastRenderedPageBreak/>
        <w:t>Приложение I</w:t>
      </w:r>
    </w:p>
    <w:p w:rsidR="00BF0148" w:rsidRPr="00F25D08" w:rsidRDefault="00BF0148" w:rsidP="00430428">
      <w:pPr>
        <w:pStyle w:val="HChGR"/>
        <w:spacing w:before="240"/>
        <w:ind w:left="1138" w:right="1138" w:hanging="1138"/>
      </w:pPr>
      <w:r w:rsidRPr="00F25D08">
        <w:tab/>
      </w:r>
      <w:r w:rsidRPr="00F25D08">
        <w:tab/>
        <w:t>Перечень неофициальных документов (GRB-63-…), распространенных в ходе сессии</w:t>
      </w:r>
    </w:p>
    <w:tbl>
      <w:tblPr>
        <w:tblW w:w="8460" w:type="dxa"/>
        <w:tblInd w:w="1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1440"/>
        <w:gridCol w:w="810"/>
        <w:gridCol w:w="450"/>
        <w:gridCol w:w="4230"/>
        <w:gridCol w:w="720"/>
      </w:tblGrid>
      <w:tr w:rsidR="006C4E4C" w:rsidRPr="00F25D08" w:rsidTr="0057786C">
        <w:trPr>
          <w:cantSplit/>
          <w:tblHeader/>
        </w:trPr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148" w:rsidRPr="00F25D08" w:rsidRDefault="00BF0148" w:rsidP="004022C5">
            <w:pPr>
              <w:spacing w:before="40" w:after="4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25D0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Условное обознач</w:t>
            </w:r>
            <w:r w:rsidRPr="00F25D0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е</w:t>
            </w:r>
            <w:r w:rsidRPr="00F25D0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ние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148" w:rsidRPr="00F25D08" w:rsidRDefault="00BF0148" w:rsidP="006C4E4C">
            <w:pPr>
              <w:suppressAutoHyphens/>
              <w:spacing w:before="40" w:after="40" w:line="240" w:lineRule="auto"/>
              <w:ind w:left="58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25D0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Представлен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25D0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Название пункта повестки дня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25D0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Язык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148" w:rsidRPr="00F25D08" w:rsidRDefault="00BF0148" w:rsidP="004022C5">
            <w:pPr>
              <w:pStyle w:val="FootnoteText"/>
              <w:tabs>
                <w:tab w:val="clear" w:pos="1021"/>
              </w:tabs>
              <w:spacing w:before="40" w:after="40" w:line="240" w:lineRule="auto"/>
              <w:ind w:left="57" w:right="34" w:firstLine="0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</w:pPr>
            <w:r w:rsidRPr="00F25D08"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  <w:t>Название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25D0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Стадия</w:t>
            </w:r>
          </w:p>
        </w:tc>
      </w:tr>
      <w:tr w:rsidR="006C4E4C" w:rsidRPr="00F25D08" w:rsidTr="0057786C"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:rsidR="00BF0148" w:rsidRPr="00F25D08" w:rsidRDefault="00BF0148" w:rsidP="006C4E4C">
            <w:pPr>
              <w:suppressAutoHyphens/>
              <w:spacing w:before="40" w:after="40" w:line="240" w:lineRule="auto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 xml:space="preserve">Российской Федерацией 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E</w:t>
            </w:r>
          </w:p>
        </w:tc>
        <w:tc>
          <w:tcPr>
            <w:tcW w:w="4230" w:type="dxa"/>
            <w:tcBorders>
              <w:top w:val="single" w:sz="12" w:space="0" w:color="auto"/>
            </w:tcBorders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 xml:space="preserve">Предложение по дополнению 5 к Правилам </w:t>
            </w:r>
            <w:r w:rsidR="004022C5" w:rsidRPr="00F25D08">
              <w:rPr>
                <w:rFonts w:asciiTheme="majorBidi" w:hAnsiTheme="majorBidi" w:cstheme="majorBidi"/>
                <w:sz w:val="18"/>
                <w:szCs w:val="18"/>
              </w:rPr>
              <w:t>№ </w:t>
            </w:r>
            <w:r w:rsidRPr="00F25D08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а)</w:t>
            </w:r>
          </w:p>
        </w:tc>
      </w:tr>
      <w:tr w:rsidR="006C4E4C" w:rsidRPr="00F25D08" w:rsidTr="0057786C"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F0148" w:rsidRPr="00F25D08" w:rsidRDefault="00BF0148" w:rsidP="006C4E4C">
            <w:pPr>
              <w:suppressAutoHyphens/>
              <w:spacing w:before="40" w:after="40" w:line="240" w:lineRule="auto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МАЗМ</w:t>
            </w:r>
          </w:p>
        </w:tc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E</w:t>
            </w:r>
          </w:p>
        </w:tc>
        <w:tc>
          <w:tcPr>
            <w:tcW w:w="423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 xml:space="preserve">Предложение по поправкам к правилам </w:t>
            </w:r>
            <w:r w:rsidR="004022C5" w:rsidRPr="00F25D08">
              <w:rPr>
                <w:rFonts w:asciiTheme="majorBidi" w:hAnsiTheme="majorBidi" w:cstheme="majorBidi"/>
                <w:sz w:val="18"/>
                <w:szCs w:val="18"/>
              </w:rPr>
              <w:t>№ </w:t>
            </w:r>
            <w:r w:rsidRPr="00F25D08">
              <w:rPr>
                <w:rFonts w:asciiTheme="majorBidi" w:hAnsiTheme="majorBidi" w:cstheme="majorBidi"/>
                <w:sz w:val="18"/>
                <w:szCs w:val="18"/>
              </w:rPr>
              <w:t>9, 41, 63 и 92</w:t>
            </w:r>
          </w:p>
        </w:tc>
        <w:tc>
          <w:tcPr>
            <w:tcW w:w="72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d)</w:t>
            </w:r>
          </w:p>
        </w:tc>
      </w:tr>
      <w:tr w:rsidR="006C4E4C" w:rsidRPr="00F25D08" w:rsidTr="0057786C"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BF0148" w:rsidRPr="00F25D08" w:rsidRDefault="00BF0148" w:rsidP="006C4E4C">
            <w:pPr>
              <w:suppressAutoHyphens/>
              <w:spacing w:before="40" w:after="40" w:line="240" w:lineRule="auto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Европейской комиссией</w:t>
            </w:r>
          </w:p>
        </w:tc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45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E</w:t>
            </w:r>
          </w:p>
        </w:tc>
        <w:tc>
          <w:tcPr>
            <w:tcW w:w="4230" w:type="dxa"/>
            <w:shd w:val="clear" w:color="auto" w:fill="auto"/>
          </w:tcPr>
          <w:p w:rsidR="00BF0148" w:rsidRPr="00F25D08" w:rsidRDefault="00BF0148" w:rsidP="0057786C">
            <w:pPr>
              <w:spacing w:before="40" w:after="40" w:line="240" w:lineRule="auto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 xml:space="preserve">Предложения по поправкам к правилам </w:t>
            </w:r>
            <w:r w:rsidR="004022C5" w:rsidRPr="00F25D08">
              <w:rPr>
                <w:rFonts w:asciiTheme="majorBidi" w:hAnsiTheme="majorBidi" w:cstheme="majorBidi"/>
                <w:sz w:val="18"/>
                <w:szCs w:val="18"/>
              </w:rPr>
              <w:t>№ </w:t>
            </w:r>
            <w:r w:rsidRPr="00F25D08">
              <w:rPr>
                <w:rFonts w:asciiTheme="majorBidi" w:hAnsiTheme="majorBidi" w:cstheme="majorBidi"/>
                <w:sz w:val="18"/>
                <w:szCs w:val="18"/>
              </w:rPr>
              <w:t>9, 63 и</w:t>
            </w:r>
            <w:r w:rsidR="0057786C" w:rsidRPr="00F25D08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F25D08">
              <w:rPr>
                <w:rFonts w:asciiTheme="majorBidi" w:hAnsiTheme="majorBidi" w:cstheme="majorBidi"/>
                <w:sz w:val="18"/>
                <w:szCs w:val="18"/>
              </w:rPr>
              <w:t>92</w:t>
            </w:r>
          </w:p>
        </w:tc>
        <w:tc>
          <w:tcPr>
            <w:tcW w:w="72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а)</w:t>
            </w:r>
          </w:p>
        </w:tc>
      </w:tr>
      <w:tr w:rsidR="006C4E4C" w:rsidRPr="00F25D08" w:rsidTr="0057786C"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BF0148" w:rsidRPr="00F25D08" w:rsidRDefault="00BF0148" w:rsidP="006C4E4C">
            <w:pPr>
              <w:suppressAutoHyphens/>
              <w:spacing w:before="40" w:after="40" w:line="240" w:lineRule="auto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Российской Федерацией</w:t>
            </w:r>
          </w:p>
        </w:tc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E</w:t>
            </w:r>
          </w:p>
        </w:tc>
        <w:tc>
          <w:tcPr>
            <w:tcW w:w="423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Предложение об исправлении ошибки в докуме</w:t>
            </w:r>
            <w:r w:rsidRPr="00F25D08">
              <w:rPr>
                <w:rFonts w:asciiTheme="majorBidi" w:hAnsiTheme="majorBidi" w:cstheme="majorBidi"/>
                <w:sz w:val="18"/>
                <w:szCs w:val="18"/>
              </w:rPr>
              <w:t>н</w:t>
            </w:r>
            <w:r w:rsidRPr="00F25D08">
              <w:rPr>
                <w:rFonts w:asciiTheme="majorBidi" w:hAnsiTheme="majorBidi" w:cstheme="majorBidi"/>
                <w:sz w:val="18"/>
                <w:szCs w:val="18"/>
              </w:rPr>
              <w:t>те ECE/TRANS/WP.29/GRB/2016/2</w:t>
            </w:r>
          </w:p>
        </w:tc>
        <w:tc>
          <w:tcPr>
            <w:tcW w:w="72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а)</w:t>
            </w:r>
          </w:p>
        </w:tc>
      </w:tr>
      <w:tr w:rsidR="006C4E4C" w:rsidRPr="00F25D08" w:rsidTr="0057786C"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BF0148" w:rsidRPr="00F25D08" w:rsidRDefault="00BF0148" w:rsidP="006C4E4C">
            <w:pPr>
              <w:suppressAutoHyphens/>
              <w:spacing w:before="40" w:after="40" w:line="240" w:lineRule="auto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САИТО</w:t>
            </w:r>
          </w:p>
        </w:tc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45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E</w:t>
            </w:r>
          </w:p>
        </w:tc>
        <w:tc>
          <w:tcPr>
            <w:tcW w:w="423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Рациональное городское планирование</w:t>
            </w:r>
          </w:p>
        </w:tc>
        <w:tc>
          <w:tcPr>
            <w:tcW w:w="72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а)</w:t>
            </w:r>
          </w:p>
        </w:tc>
      </w:tr>
      <w:tr w:rsidR="006C4E4C" w:rsidRPr="00F25D08" w:rsidTr="0057786C"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6-Rev.1</w:t>
            </w:r>
          </w:p>
        </w:tc>
        <w:tc>
          <w:tcPr>
            <w:tcW w:w="1440" w:type="dxa"/>
            <w:shd w:val="clear" w:color="auto" w:fill="auto"/>
          </w:tcPr>
          <w:p w:rsidR="00BF0148" w:rsidRPr="00F25D08" w:rsidRDefault="00BF0148" w:rsidP="006C4E4C">
            <w:pPr>
              <w:suppressAutoHyphens/>
              <w:spacing w:before="40" w:after="40" w:line="240" w:lineRule="auto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Секретариатом</w:t>
            </w:r>
          </w:p>
        </w:tc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45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E</w:t>
            </w:r>
          </w:p>
        </w:tc>
        <w:tc>
          <w:tcPr>
            <w:tcW w:w="423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Общая информация и основные темы WP.29</w:t>
            </w:r>
          </w:p>
        </w:tc>
        <w:tc>
          <w:tcPr>
            <w:tcW w:w="72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а)</w:t>
            </w:r>
          </w:p>
        </w:tc>
      </w:tr>
      <w:tr w:rsidR="006C4E4C" w:rsidRPr="00F25D08" w:rsidTr="0057786C"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BF0148" w:rsidRPr="00F25D08" w:rsidRDefault="00BF0148" w:rsidP="006C4E4C">
            <w:pPr>
              <w:suppressAutoHyphens/>
              <w:spacing w:before="40" w:after="40" w:line="240" w:lineRule="auto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Европейской комиссией</w:t>
            </w:r>
          </w:p>
        </w:tc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45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E</w:t>
            </w:r>
          </w:p>
        </w:tc>
        <w:tc>
          <w:tcPr>
            <w:tcW w:w="423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 xml:space="preserve">Предложение по поправкам к Правилам </w:t>
            </w:r>
            <w:r w:rsidR="004022C5" w:rsidRPr="00F25D08">
              <w:rPr>
                <w:rFonts w:asciiTheme="majorBidi" w:hAnsiTheme="majorBidi" w:cstheme="majorBidi"/>
                <w:sz w:val="18"/>
                <w:szCs w:val="18"/>
              </w:rPr>
              <w:t>№ </w:t>
            </w:r>
            <w:r w:rsidRPr="00F25D08">
              <w:rPr>
                <w:rFonts w:asciiTheme="majorBidi" w:hAnsiTheme="majorBidi" w:cstheme="majorBidi"/>
                <w:sz w:val="18"/>
                <w:szCs w:val="18"/>
              </w:rPr>
              <w:t>63</w:t>
            </w:r>
          </w:p>
        </w:tc>
        <w:tc>
          <w:tcPr>
            <w:tcW w:w="72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b)</w:t>
            </w:r>
          </w:p>
        </w:tc>
      </w:tr>
      <w:tr w:rsidR="006C4E4C" w:rsidRPr="00F25D08" w:rsidTr="0057786C"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BF0148" w:rsidRPr="00F25D08" w:rsidRDefault="00BF0148" w:rsidP="006C4E4C">
            <w:pPr>
              <w:suppressAutoHyphens/>
              <w:spacing w:before="40" w:after="40" w:line="240" w:lineRule="auto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Европейской комиссией</w:t>
            </w:r>
          </w:p>
        </w:tc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45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E</w:t>
            </w:r>
          </w:p>
        </w:tc>
        <w:tc>
          <w:tcPr>
            <w:tcW w:w="423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 xml:space="preserve">Предложение по поправкам к Правилам </w:t>
            </w:r>
            <w:r w:rsidR="004022C5" w:rsidRPr="00F25D08">
              <w:rPr>
                <w:rFonts w:asciiTheme="majorBidi" w:hAnsiTheme="majorBidi" w:cstheme="majorBidi"/>
                <w:sz w:val="18"/>
                <w:szCs w:val="18"/>
              </w:rPr>
              <w:t>№ </w:t>
            </w:r>
            <w:r w:rsidRPr="00F25D08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b)</w:t>
            </w:r>
          </w:p>
        </w:tc>
      </w:tr>
      <w:tr w:rsidR="006C4E4C" w:rsidRPr="00F25D08" w:rsidTr="0057786C"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BF0148" w:rsidRPr="00F25D08" w:rsidRDefault="00BF0148" w:rsidP="006C4E4C">
            <w:pPr>
              <w:suppressAutoHyphens/>
              <w:spacing w:before="40" w:after="40" w:line="240" w:lineRule="auto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Европейской комиссией</w:t>
            </w:r>
          </w:p>
        </w:tc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45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E</w:t>
            </w:r>
          </w:p>
        </w:tc>
        <w:tc>
          <w:tcPr>
            <w:tcW w:w="423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 xml:space="preserve">Предложение по поправкам к Правилам </w:t>
            </w:r>
            <w:r w:rsidR="004022C5" w:rsidRPr="00F25D08">
              <w:rPr>
                <w:rFonts w:asciiTheme="majorBidi" w:hAnsiTheme="majorBidi" w:cstheme="majorBidi"/>
                <w:sz w:val="18"/>
                <w:szCs w:val="18"/>
              </w:rPr>
              <w:t>№ </w:t>
            </w:r>
            <w:r w:rsidRPr="00F25D08">
              <w:rPr>
                <w:rFonts w:asciiTheme="majorBidi" w:hAnsiTheme="majorBidi" w:cstheme="majorBidi"/>
                <w:sz w:val="18"/>
                <w:szCs w:val="18"/>
              </w:rPr>
              <w:t>92</w:t>
            </w:r>
          </w:p>
        </w:tc>
        <w:tc>
          <w:tcPr>
            <w:tcW w:w="72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b)</w:t>
            </w:r>
          </w:p>
        </w:tc>
      </w:tr>
      <w:tr w:rsidR="006C4E4C" w:rsidRPr="00F25D08" w:rsidTr="0057786C"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BF0148" w:rsidRPr="00F25D08" w:rsidRDefault="00BF0148" w:rsidP="006C4E4C">
            <w:pPr>
              <w:suppressAutoHyphens/>
              <w:spacing w:before="40" w:after="40" w:line="240" w:lineRule="auto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МАЗМ</w:t>
            </w:r>
          </w:p>
        </w:tc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E</w:t>
            </w:r>
          </w:p>
        </w:tc>
        <w:tc>
          <w:tcPr>
            <w:tcW w:w="423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 xml:space="preserve">Предложение по поправкам к Правилам </w:t>
            </w:r>
            <w:r w:rsidR="004022C5" w:rsidRPr="00F25D08">
              <w:rPr>
                <w:rFonts w:asciiTheme="majorBidi" w:hAnsiTheme="majorBidi" w:cstheme="majorBidi"/>
                <w:sz w:val="18"/>
                <w:szCs w:val="18"/>
              </w:rPr>
              <w:t>№ </w:t>
            </w:r>
            <w:r w:rsidRPr="00F25D08">
              <w:rPr>
                <w:rFonts w:asciiTheme="majorBidi" w:hAnsiTheme="majorBidi" w:cstheme="majorBidi"/>
                <w:sz w:val="18"/>
                <w:szCs w:val="18"/>
              </w:rPr>
              <w:t>41</w:t>
            </w:r>
          </w:p>
        </w:tc>
        <w:tc>
          <w:tcPr>
            <w:tcW w:w="72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d)</w:t>
            </w:r>
          </w:p>
        </w:tc>
      </w:tr>
      <w:tr w:rsidR="006C4E4C" w:rsidRPr="00F25D08" w:rsidTr="0057786C"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BF0148" w:rsidRPr="00F25D08" w:rsidRDefault="00BF0148" w:rsidP="006C4E4C">
            <w:pPr>
              <w:suppressAutoHyphens/>
              <w:spacing w:before="40" w:after="40" w:line="240" w:lineRule="auto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ИСО</w:t>
            </w:r>
          </w:p>
        </w:tc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E</w:t>
            </w:r>
          </w:p>
        </w:tc>
        <w:tc>
          <w:tcPr>
            <w:tcW w:w="4230" w:type="dxa"/>
            <w:shd w:val="clear" w:color="auto" w:fill="auto"/>
          </w:tcPr>
          <w:p w:rsidR="00BF0148" w:rsidRPr="00F25D08" w:rsidRDefault="00BF0148" w:rsidP="006C4E4C">
            <w:pPr>
              <w:spacing w:before="40" w:after="40" w:line="240" w:lineRule="auto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Технические замечания по приложению 7 к</w:t>
            </w:r>
            <w:r w:rsidR="006C4E4C" w:rsidRPr="00F25D08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F25D08">
              <w:rPr>
                <w:rFonts w:asciiTheme="majorBidi" w:hAnsiTheme="majorBidi" w:cstheme="majorBidi"/>
                <w:sz w:val="18"/>
                <w:szCs w:val="18"/>
              </w:rPr>
              <w:t xml:space="preserve">поправкам серии 03 к Правилам </w:t>
            </w:r>
            <w:r w:rsidR="004022C5" w:rsidRPr="00F25D08">
              <w:rPr>
                <w:rFonts w:asciiTheme="majorBidi" w:hAnsiTheme="majorBidi" w:cstheme="majorBidi"/>
                <w:sz w:val="18"/>
                <w:szCs w:val="18"/>
              </w:rPr>
              <w:t>№ </w:t>
            </w:r>
            <w:r w:rsidRPr="00F25D08">
              <w:rPr>
                <w:rFonts w:asciiTheme="majorBidi" w:hAnsiTheme="majorBidi" w:cstheme="majorBidi"/>
                <w:sz w:val="18"/>
                <w:szCs w:val="18"/>
              </w:rPr>
              <w:t>51</w:t>
            </w:r>
          </w:p>
        </w:tc>
        <w:tc>
          <w:tcPr>
            <w:tcW w:w="72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а)</w:t>
            </w:r>
          </w:p>
        </w:tc>
      </w:tr>
      <w:tr w:rsidR="006C4E4C" w:rsidRPr="00F25D08" w:rsidTr="0057786C"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BF0148" w:rsidRPr="00F25D08" w:rsidRDefault="00BF0148" w:rsidP="006C4E4C">
            <w:pPr>
              <w:suppressAutoHyphens/>
              <w:spacing w:before="40" w:after="40" w:line="240" w:lineRule="auto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Япония</w:t>
            </w:r>
          </w:p>
        </w:tc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45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E</w:t>
            </w:r>
          </w:p>
        </w:tc>
        <w:tc>
          <w:tcPr>
            <w:tcW w:w="423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Предложение по поправкам к правилам, каса</w:t>
            </w:r>
            <w:r w:rsidRPr="00F25D08">
              <w:rPr>
                <w:rFonts w:asciiTheme="majorBidi" w:hAnsiTheme="majorBidi" w:cstheme="majorBidi"/>
                <w:sz w:val="18"/>
                <w:szCs w:val="18"/>
              </w:rPr>
              <w:t>ю</w:t>
            </w:r>
            <w:r w:rsidRPr="00F25D08">
              <w:rPr>
                <w:rFonts w:asciiTheme="majorBidi" w:hAnsiTheme="majorBidi" w:cstheme="majorBidi"/>
                <w:sz w:val="18"/>
                <w:szCs w:val="18"/>
              </w:rPr>
              <w:t>щимся БАТС</w:t>
            </w:r>
          </w:p>
        </w:tc>
        <w:tc>
          <w:tcPr>
            <w:tcW w:w="72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b)</w:t>
            </w:r>
          </w:p>
        </w:tc>
      </w:tr>
      <w:tr w:rsidR="006C4E4C" w:rsidRPr="00F25D08" w:rsidTr="0057786C"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BF0148" w:rsidRPr="00F25D08" w:rsidRDefault="00BF0148" w:rsidP="006C4E4C">
            <w:pPr>
              <w:suppressAutoHyphens/>
              <w:spacing w:before="40" w:after="40" w:line="240" w:lineRule="auto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НРГ по БАТС</w:t>
            </w:r>
          </w:p>
        </w:tc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45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E</w:t>
            </w:r>
          </w:p>
        </w:tc>
        <w:tc>
          <w:tcPr>
            <w:tcW w:w="423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Ход работы над правилами, касающимся БАТС</w:t>
            </w:r>
          </w:p>
        </w:tc>
        <w:tc>
          <w:tcPr>
            <w:tcW w:w="72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а)</w:t>
            </w:r>
          </w:p>
        </w:tc>
      </w:tr>
      <w:tr w:rsidR="006C4E4C" w:rsidRPr="00F25D08" w:rsidTr="0057786C"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BF0148" w:rsidRPr="00F25D08" w:rsidRDefault="00BF0148" w:rsidP="006C4E4C">
            <w:pPr>
              <w:suppressAutoHyphens/>
              <w:spacing w:before="40" w:after="40" w:line="240" w:lineRule="auto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Председателем</w:t>
            </w:r>
          </w:p>
        </w:tc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45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E</w:t>
            </w:r>
          </w:p>
        </w:tc>
        <w:tc>
          <w:tcPr>
            <w:tcW w:w="423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Пересмотренные положения о круге ведения НРГ по БАТС</w:t>
            </w:r>
          </w:p>
        </w:tc>
        <w:tc>
          <w:tcPr>
            <w:tcW w:w="72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d)</w:t>
            </w:r>
          </w:p>
        </w:tc>
      </w:tr>
      <w:tr w:rsidR="006C4E4C" w:rsidRPr="00F25D08" w:rsidTr="0057786C"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BF0148" w:rsidRPr="00F25D08" w:rsidRDefault="00BF0148" w:rsidP="006C4E4C">
            <w:pPr>
              <w:suppressAutoHyphens/>
              <w:spacing w:before="40" w:after="40" w:line="240" w:lineRule="auto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МАЗМ</w:t>
            </w:r>
          </w:p>
        </w:tc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E</w:t>
            </w:r>
          </w:p>
        </w:tc>
        <w:tc>
          <w:tcPr>
            <w:tcW w:w="423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Предложение по поправкам к документу ECE/TRANS/WP.29/GRB/2016/2</w:t>
            </w:r>
          </w:p>
        </w:tc>
        <w:tc>
          <w:tcPr>
            <w:tcW w:w="72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а)</w:t>
            </w:r>
          </w:p>
        </w:tc>
      </w:tr>
      <w:tr w:rsidR="006C4E4C" w:rsidRPr="00F25D08" w:rsidTr="0057786C"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BF0148" w:rsidRPr="00F25D08" w:rsidRDefault="00BF0148" w:rsidP="006C4E4C">
            <w:pPr>
              <w:suppressAutoHyphens/>
              <w:spacing w:before="40" w:after="40" w:line="240" w:lineRule="auto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Францией</w:t>
            </w:r>
          </w:p>
        </w:tc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E</w:t>
            </w:r>
          </w:p>
        </w:tc>
        <w:tc>
          <w:tcPr>
            <w:tcW w:w="423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Информация и замечания, касающиеся документа ECE/TRANS/WP.29/GRB/2016/2</w:t>
            </w:r>
          </w:p>
        </w:tc>
        <w:tc>
          <w:tcPr>
            <w:tcW w:w="72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а)</w:t>
            </w:r>
          </w:p>
        </w:tc>
      </w:tr>
      <w:tr w:rsidR="006C4E4C" w:rsidRPr="00F25D08" w:rsidTr="0057786C"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BF0148" w:rsidRPr="00F25D08" w:rsidRDefault="00BF0148" w:rsidP="006C4E4C">
            <w:pPr>
              <w:suppressAutoHyphens/>
              <w:spacing w:before="40" w:after="40" w:line="240" w:lineRule="auto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Китаем</w:t>
            </w:r>
          </w:p>
        </w:tc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E</w:t>
            </w:r>
          </w:p>
        </w:tc>
        <w:tc>
          <w:tcPr>
            <w:tcW w:w="423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 xml:space="preserve">Будущая разработка Правил </w:t>
            </w:r>
            <w:r w:rsidR="004022C5" w:rsidRPr="00F25D08">
              <w:rPr>
                <w:rFonts w:asciiTheme="majorBidi" w:hAnsiTheme="majorBidi" w:cstheme="majorBidi"/>
                <w:sz w:val="18"/>
                <w:szCs w:val="18"/>
              </w:rPr>
              <w:t>№ </w:t>
            </w:r>
            <w:r w:rsidRPr="00F25D08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а)</w:t>
            </w:r>
          </w:p>
        </w:tc>
      </w:tr>
      <w:tr w:rsidR="006C4E4C" w:rsidRPr="00F25D08" w:rsidTr="0057786C">
        <w:trPr>
          <w:cantSplit/>
        </w:trPr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BF0148" w:rsidRPr="00F25D08" w:rsidRDefault="00BF0148" w:rsidP="006C4E4C">
            <w:pPr>
              <w:suppressAutoHyphens/>
              <w:spacing w:before="40" w:after="40" w:line="240" w:lineRule="auto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Европейской комиссией</w:t>
            </w:r>
          </w:p>
        </w:tc>
        <w:tc>
          <w:tcPr>
            <w:tcW w:w="81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45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E</w:t>
            </w:r>
          </w:p>
        </w:tc>
        <w:tc>
          <w:tcPr>
            <w:tcW w:w="423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Исследование об ужесточении требований к и</w:t>
            </w:r>
            <w:r w:rsidRPr="00F25D08">
              <w:rPr>
                <w:rFonts w:asciiTheme="majorBidi" w:hAnsiTheme="majorBidi" w:cstheme="majorBidi"/>
                <w:sz w:val="18"/>
                <w:szCs w:val="18"/>
              </w:rPr>
              <w:t>с</w:t>
            </w:r>
            <w:r w:rsidRPr="00F25D08">
              <w:rPr>
                <w:rFonts w:asciiTheme="majorBidi" w:hAnsiTheme="majorBidi" w:cstheme="majorBidi"/>
                <w:sz w:val="18"/>
                <w:szCs w:val="18"/>
              </w:rPr>
              <w:t>пытаниям для определения уровня звука в прав</w:t>
            </w:r>
            <w:r w:rsidRPr="00F25D08">
              <w:rPr>
                <w:rFonts w:asciiTheme="majorBidi" w:hAnsiTheme="majorBidi" w:cstheme="majorBidi"/>
                <w:sz w:val="18"/>
                <w:szCs w:val="18"/>
              </w:rPr>
              <w:t>и</w:t>
            </w:r>
            <w:r w:rsidRPr="00F25D08">
              <w:rPr>
                <w:rFonts w:asciiTheme="majorBidi" w:hAnsiTheme="majorBidi" w:cstheme="majorBidi"/>
                <w:sz w:val="18"/>
                <w:szCs w:val="18"/>
              </w:rPr>
              <w:t xml:space="preserve">лах </w:t>
            </w:r>
            <w:r w:rsidR="004022C5" w:rsidRPr="00F25D08">
              <w:rPr>
                <w:rFonts w:asciiTheme="majorBidi" w:hAnsiTheme="majorBidi" w:cstheme="majorBidi"/>
                <w:sz w:val="18"/>
                <w:szCs w:val="18"/>
              </w:rPr>
              <w:t>№ </w:t>
            </w:r>
            <w:r w:rsidRPr="00F25D08">
              <w:rPr>
                <w:rFonts w:asciiTheme="majorBidi" w:hAnsiTheme="majorBidi" w:cstheme="majorBidi"/>
                <w:sz w:val="18"/>
                <w:szCs w:val="18"/>
              </w:rPr>
              <w:t>9, 63 и 92</w:t>
            </w:r>
          </w:p>
        </w:tc>
        <w:tc>
          <w:tcPr>
            <w:tcW w:w="720" w:type="dxa"/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а)</w:t>
            </w:r>
          </w:p>
        </w:tc>
      </w:tr>
      <w:tr w:rsidR="006C4E4C" w:rsidRPr="00F25D08" w:rsidTr="0057786C"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18-Add.1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:rsidR="00BF0148" w:rsidRPr="00F25D08" w:rsidRDefault="00BF0148" w:rsidP="006C4E4C">
            <w:pPr>
              <w:suppressAutoHyphens/>
              <w:spacing w:before="40" w:after="40" w:line="240" w:lineRule="auto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Европейской комиссией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E</w:t>
            </w:r>
          </w:p>
        </w:tc>
        <w:tc>
          <w:tcPr>
            <w:tcW w:w="4230" w:type="dxa"/>
            <w:tcBorders>
              <w:bottom w:val="single" w:sz="12" w:space="0" w:color="auto"/>
            </w:tcBorders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Консультация по оценке директивы об уровне шума в окружающей среде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BF0148" w:rsidRPr="00F25D08" w:rsidRDefault="00BF0148" w:rsidP="004022C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D08">
              <w:rPr>
                <w:rFonts w:asciiTheme="majorBidi" w:hAnsiTheme="majorBidi" w:cstheme="majorBidi"/>
                <w:sz w:val="18"/>
                <w:szCs w:val="18"/>
              </w:rPr>
              <w:t>а)</w:t>
            </w:r>
          </w:p>
        </w:tc>
      </w:tr>
    </w:tbl>
    <w:p w:rsidR="00BF0148" w:rsidRPr="00F25D08" w:rsidRDefault="00BF0148" w:rsidP="00430428">
      <w:pPr>
        <w:pStyle w:val="SingleTxtGR"/>
        <w:suppressAutoHyphens/>
        <w:spacing w:before="120" w:after="0" w:line="240" w:lineRule="auto"/>
        <w:ind w:left="1700" w:right="1138" w:hanging="346"/>
        <w:jc w:val="left"/>
        <w:rPr>
          <w:i/>
          <w:sz w:val="18"/>
          <w:szCs w:val="18"/>
        </w:rPr>
      </w:pPr>
      <w:r w:rsidRPr="00F25D08">
        <w:rPr>
          <w:i/>
          <w:iCs/>
          <w:sz w:val="18"/>
          <w:szCs w:val="18"/>
        </w:rPr>
        <w:t>Примечания</w:t>
      </w:r>
      <w:r w:rsidRPr="00F25D08">
        <w:rPr>
          <w:sz w:val="18"/>
          <w:szCs w:val="18"/>
        </w:rPr>
        <w:t>:</w:t>
      </w:r>
    </w:p>
    <w:p w:rsidR="00BF0148" w:rsidRPr="00F25D08" w:rsidRDefault="00BF0148" w:rsidP="00430428">
      <w:pPr>
        <w:pStyle w:val="SingleTxtGR"/>
        <w:suppressAutoHyphens/>
        <w:spacing w:after="0" w:line="240" w:lineRule="auto"/>
        <w:ind w:left="1701" w:right="1138" w:hanging="351"/>
        <w:jc w:val="left"/>
        <w:rPr>
          <w:sz w:val="18"/>
          <w:szCs w:val="18"/>
        </w:rPr>
      </w:pPr>
      <w:r w:rsidRPr="00F25D08">
        <w:rPr>
          <w:sz w:val="18"/>
          <w:szCs w:val="18"/>
        </w:rPr>
        <w:t>а)</w:t>
      </w:r>
      <w:r w:rsidRPr="00F25D08">
        <w:rPr>
          <w:sz w:val="18"/>
          <w:szCs w:val="18"/>
        </w:rPr>
        <w:tab/>
        <w:t>Рассмотрение завершено или документ был заменен.</w:t>
      </w:r>
    </w:p>
    <w:p w:rsidR="00BF0148" w:rsidRPr="00F25D08" w:rsidRDefault="00BF0148" w:rsidP="00430428">
      <w:pPr>
        <w:pStyle w:val="SingleTxtGR"/>
        <w:suppressAutoHyphens/>
        <w:spacing w:after="0" w:line="240" w:lineRule="auto"/>
        <w:ind w:left="1701" w:right="1138" w:hanging="351"/>
        <w:jc w:val="left"/>
        <w:rPr>
          <w:sz w:val="18"/>
          <w:szCs w:val="18"/>
        </w:rPr>
      </w:pPr>
      <w:r w:rsidRPr="00F25D08">
        <w:rPr>
          <w:sz w:val="18"/>
          <w:szCs w:val="18"/>
        </w:rPr>
        <w:t>b)</w:t>
      </w:r>
      <w:r w:rsidRPr="00F25D08">
        <w:rPr>
          <w:sz w:val="18"/>
          <w:szCs w:val="18"/>
        </w:rPr>
        <w:tab/>
        <w:t>Рассмотрение будет продолжено на следующей сессии в качестве официального документа.</w:t>
      </w:r>
    </w:p>
    <w:p w:rsidR="00BF0148" w:rsidRPr="00F25D08" w:rsidRDefault="00BF0148" w:rsidP="00430428">
      <w:pPr>
        <w:pStyle w:val="SingleTxtGR"/>
        <w:suppressAutoHyphens/>
        <w:spacing w:after="0" w:line="240" w:lineRule="auto"/>
        <w:ind w:left="1701" w:right="998" w:hanging="351"/>
        <w:jc w:val="left"/>
        <w:rPr>
          <w:sz w:val="18"/>
          <w:szCs w:val="18"/>
        </w:rPr>
      </w:pPr>
      <w:r w:rsidRPr="00F25D08">
        <w:rPr>
          <w:sz w:val="18"/>
          <w:szCs w:val="18"/>
        </w:rPr>
        <w:t>с)</w:t>
      </w:r>
      <w:r w:rsidRPr="00F25D08">
        <w:rPr>
          <w:sz w:val="18"/>
          <w:szCs w:val="18"/>
        </w:rPr>
        <w:tab/>
        <w:t>Рассмотрение будет продолжено на следующей сессии в качестве неофициального документа.</w:t>
      </w:r>
    </w:p>
    <w:p w:rsidR="00BF0148" w:rsidRPr="00F25D08" w:rsidRDefault="00BF0148" w:rsidP="00430428">
      <w:pPr>
        <w:pStyle w:val="SingleTxtGR"/>
        <w:suppressAutoHyphens/>
        <w:spacing w:after="0" w:line="240" w:lineRule="auto"/>
        <w:ind w:left="1701" w:right="1138" w:hanging="351"/>
        <w:jc w:val="left"/>
        <w:rPr>
          <w:sz w:val="18"/>
          <w:szCs w:val="18"/>
        </w:rPr>
      </w:pPr>
      <w:r w:rsidRPr="00F25D08">
        <w:rPr>
          <w:sz w:val="18"/>
          <w:szCs w:val="18"/>
        </w:rPr>
        <w:t>d)</w:t>
      </w:r>
      <w:r w:rsidRPr="00F25D08">
        <w:rPr>
          <w:sz w:val="18"/>
          <w:szCs w:val="18"/>
        </w:rPr>
        <w:tab/>
        <w:t>Документ принят и будет представлен WP.29.</w:t>
      </w:r>
    </w:p>
    <w:p w:rsidR="0057786C" w:rsidRPr="00F25D08" w:rsidRDefault="0057786C">
      <w:pPr>
        <w:spacing w:line="240" w:lineRule="auto"/>
        <w:rPr>
          <w:b/>
        </w:rPr>
      </w:pPr>
      <w:r w:rsidRPr="00F25D08">
        <w:rPr>
          <w:b/>
        </w:rPr>
        <w:br w:type="page"/>
      </w:r>
    </w:p>
    <w:p w:rsidR="0066551B" w:rsidRPr="00F25D08" w:rsidRDefault="0066551B" w:rsidP="0057786C">
      <w:pPr>
        <w:pStyle w:val="HChGR"/>
      </w:pPr>
      <w:r w:rsidRPr="00F25D08">
        <w:lastRenderedPageBreak/>
        <w:t>Приложение II</w:t>
      </w:r>
    </w:p>
    <w:p w:rsidR="0066551B" w:rsidRPr="00F25D08" w:rsidRDefault="0066551B" w:rsidP="0057786C">
      <w:pPr>
        <w:pStyle w:val="HChGR"/>
      </w:pPr>
      <w:r w:rsidRPr="00F25D08">
        <w:tab/>
      </w:r>
      <w:r w:rsidRPr="00F25D08">
        <w:tab/>
        <w:t>Принятые поправки к поправкам серии 04 к</w:t>
      </w:r>
      <w:r w:rsidR="0057786C" w:rsidRPr="00F25D08">
        <w:t> </w:t>
      </w:r>
      <w:r w:rsidRPr="00F25D08">
        <w:t xml:space="preserve">Правилам </w:t>
      </w:r>
      <w:r w:rsidR="004022C5" w:rsidRPr="00F25D08">
        <w:t>№ </w:t>
      </w:r>
      <w:r w:rsidRPr="00F25D08">
        <w:t>41</w:t>
      </w:r>
    </w:p>
    <w:p w:rsidR="0066551B" w:rsidRPr="00F25D08" w:rsidRDefault="0066551B" w:rsidP="0066551B">
      <w:pPr>
        <w:pStyle w:val="SingleTxtGR"/>
      </w:pPr>
      <w:r w:rsidRPr="00F25D08">
        <w:rPr>
          <w:i/>
          <w:iCs/>
        </w:rPr>
        <w:t>Приложение 7, пункт 2.5</w:t>
      </w:r>
      <w:r w:rsidRPr="00F25D08">
        <w:t xml:space="preserve"> добавить в конце примечание следующего содерж</w:t>
      </w:r>
      <w:r w:rsidRPr="00F25D08">
        <w:t>а</w:t>
      </w:r>
      <w:r w:rsidRPr="00F25D08">
        <w:t>ния:</w:t>
      </w:r>
    </w:p>
    <w:p w:rsidR="0066551B" w:rsidRPr="00F25D08" w:rsidRDefault="0066551B" w:rsidP="0066551B">
      <w:pPr>
        <w:pStyle w:val="SingleTxtGR"/>
      </w:pPr>
      <w:r w:rsidRPr="00F25D08">
        <w:t>«2.5</w:t>
      </w:r>
      <w:r w:rsidRPr="00F25D08">
        <w:tab/>
      </w:r>
      <w:r w:rsidRPr="00F25D08">
        <w:tab/>
        <w:t xml:space="preserve">Контрольный диапазон ДППШ </w:t>
      </w:r>
    </w:p>
    <w:p w:rsidR="0066551B" w:rsidRPr="00F25D08" w:rsidRDefault="0066551B" w:rsidP="0066551B">
      <w:pPr>
        <w:pStyle w:val="SingleTxtGR"/>
      </w:pPr>
      <w:r w:rsidRPr="00F25D08">
        <w:tab/>
      </w:r>
      <w:r w:rsidRPr="00F25D08">
        <w:tab/>
        <w:t xml:space="preserve">… </w:t>
      </w:r>
      <w:r w:rsidRPr="00F25D08">
        <w:tab/>
      </w:r>
    </w:p>
    <w:p w:rsidR="0066551B" w:rsidRPr="00F25D08" w:rsidRDefault="0066551B" w:rsidP="0057786C">
      <w:pPr>
        <w:pStyle w:val="SingleTxtGR"/>
        <w:ind w:left="2268"/>
      </w:pPr>
      <w:r w:rsidRPr="00F25D08">
        <w:rPr>
          <w:b/>
          <w:bCs/>
        </w:rPr>
        <w:t xml:space="preserve">Примечание: </w:t>
      </w:r>
      <w:r w:rsidRPr="00F25D08">
        <w:rPr>
          <w:b/>
          <w:bCs/>
        </w:rPr>
        <w:tab/>
        <w:t>Если в транспортном средстве предусмотрено более одной передачи, то первое передаточное число не испол</w:t>
      </w:r>
      <w:r w:rsidRPr="00F25D08">
        <w:rPr>
          <w:b/>
          <w:bCs/>
        </w:rPr>
        <w:t>ь</w:t>
      </w:r>
      <w:r w:rsidRPr="00F25D08">
        <w:rPr>
          <w:b/>
          <w:bCs/>
        </w:rPr>
        <w:t>зуется</w:t>
      </w:r>
      <w:r w:rsidRPr="00F25D08">
        <w:t>».</w:t>
      </w:r>
    </w:p>
    <w:p w:rsidR="0066551B" w:rsidRPr="00F25D08" w:rsidRDefault="0066551B" w:rsidP="0066551B">
      <w:pPr>
        <w:pStyle w:val="SingleTxtGR"/>
        <w:rPr>
          <w:b/>
        </w:rPr>
      </w:pPr>
      <w:r w:rsidRPr="00F25D08">
        <w:br w:type="page"/>
      </w:r>
    </w:p>
    <w:p w:rsidR="0066551B" w:rsidRPr="00F25D08" w:rsidRDefault="0066551B" w:rsidP="0057786C">
      <w:pPr>
        <w:pStyle w:val="HChGR"/>
      </w:pPr>
      <w:r w:rsidRPr="00F25D08">
        <w:lastRenderedPageBreak/>
        <w:t>Приложение III</w:t>
      </w:r>
    </w:p>
    <w:p w:rsidR="0066551B" w:rsidRPr="00F25D08" w:rsidRDefault="0066551B" w:rsidP="0057786C">
      <w:pPr>
        <w:pStyle w:val="HChGR"/>
      </w:pPr>
      <w:r w:rsidRPr="00F25D08">
        <w:tab/>
      </w:r>
      <w:r w:rsidRPr="00F25D08">
        <w:tab/>
        <w:t xml:space="preserve">Принятые поправки, касающиеся волокнистых материалов, к поправкам серии 07 к Правилам </w:t>
      </w:r>
      <w:r w:rsidR="004022C5" w:rsidRPr="00F25D08">
        <w:t>№ </w:t>
      </w:r>
      <w:r w:rsidRPr="00F25D08">
        <w:t>9</w:t>
      </w:r>
    </w:p>
    <w:p w:rsidR="0066551B" w:rsidRPr="00F25D08" w:rsidRDefault="0066551B" w:rsidP="0066551B">
      <w:pPr>
        <w:pStyle w:val="SingleTxtGR"/>
      </w:pPr>
      <w:r w:rsidRPr="00F25D08">
        <w:rPr>
          <w:i/>
          <w:iCs/>
        </w:rPr>
        <w:t>Приложение 3, пункт 5.1.1</w:t>
      </w:r>
      <w:r w:rsidRPr="00F25D08">
        <w:t xml:space="preserve"> изменить следующим образом:</w:t>
      </w:r>
    </w:p>
    <w:p w:rsidR="0066551B" w:rsidRPr="00F25D08" w:rsidRDefault="0066551B" w:rsidP="0057786C">
      <w:pPr>
        <w:pStyle w:val="SingleTxtGR"/>
        <w:tabs>
          <w:tab w:val="clear" w:pos="1701"/>
        </w:tabs>
        <w:ind w:left="2268" w:hanging="1134"/>
      </w:pPr>
      <w:r w:rsidRPr="00F25D08">
        <w:t>«5.1.1</w:t>
      </w:r>
      <w:r w:rsidRPr="00F25D08">
        <w:tab/>
        <w:t>Волокнистый звукопоглощающий материал не должен содержать асбеста и может использоваться в конструкции глушителей только при наличии надлежащих устройств, обеспечивающих удержив</w:t>
      </w:r>
      <w:r w:rsidRPr="00F25D08">
        <w:t>а</w:t>
      </w:r>
      <w:r w:rsidRPr="00F25D08">
        <w:t>ние волокнистого звукопоглощающего материала на месте в теч</w:t>
      </w:r>
      <w:r w:rsidRPr="00F25D08">
        <w:t>е</w:t>
      </w:r>
      <w:r w:rsidRPr="00F25D08">
        <w:t>ние всего срока эксплуатации глушителя, и если система выпуска или глушителя отвечает требованиям любого из пунктов 5.1.2, 5.1.3</w:t>
      </w:r>
      <w:r w:rsidRPr="00F25D08">
        <w:rPr>
          <w:b/>
          <w:bCs/>
        </w:rPr>
        <w:t>,</w:t>
      </w:r>
      <w:r w:rsidRPr="00F25D08">
        <w:t xml:space="preserve"> </w:t>
      </w:r>
      <w:r w:rsidRPr="00F25D08">
        <w:rPr>
          <w:strike/>
        </w:rPr>
        <w:t>или</w:t>
      </w:r>
      <w:r w:rsidRPr="00F25D08">
        <w:t xml:space="preserve"> 5.1.4 </w:t>
      </w:r>
      <w:r w:rsidRPr="00F25D08">
        <w:rPr>
          <w:b/>
          <w:bCs/>
        </w:rPr>
        <w:t>или 5.1.5</w:t>
      </w:r>
      <w:r w:rsidRPr="00F25D08">
        <w:t xml:space="preserve"> ниже».</w:t>
      </w:r>
    </w:p>
    <w:p w:rsidR="0066551B" w:rsidRPr="00F25D08" w:rsidRDefault="0066551B" w:rsidP="0066551B">
      <w:pPr>
        <w:pStyle w:val="SingleTxtGR"/>
      </w:pPr>
      <w:r w:rsidRPr="00F25D08">
        <w:rPr>
          <w:i/>
          <w:iCs/>
        </w:rPr>
        <w:t>Приложение 3</w:t>
      </w:r>
      <w:r w:rsidRPr="00F25D08">
        <w:t>, включить новый пункт 5.1.5 следующего содержания:</w:t>
      </w:r>
    </w:p>
    <w:p w:rsidR="0066551B" w:rsidRPr="00F25D08" w:rsidRDefault="0066551B" w:rsidP="00DE0D0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F25D08">
        <w:rPr>
          <w:bCs/>
        </w:rPr>
        <w:t>«</w:t>
      </w:r>
      <w:r w:rsidRPr="00F25D08">
        <w:rPr>
          <w:b/>
          <w:bCs/>
        </w:rPr>
        <w:t>5.1.5</w:t>
      </w:r>
      <w:r w:rsidRPr="00F25D08">
        <w:rPr>
          <w:b/>
          <w:bCs/>
        </w:rPr>
        <w:tab/>
        <w:t>Отработавшие газы не вступают в контакт с волокнистыми материалами, а волокнистые материалы не подвергаются во</w:t>
      </w:r>
      <w:r w:rsidRPr="00F25D08">
        <w:rPr>
          <w:b/>
          <w:bCs/>
        </w:rPr>
        <w:t>з</w:t>
      </w:r>
      <w:r w:rsidRPr="00F25D08">
        <w:rPr>
          <w:b/>
          <w:bCs/>
        </w:rPr>
        <w:t>действию изменений давления</w:t>
      </w:r>
      <w:r w:rsidRPr="00F25D08">
        <w:rPr>
          <w:bCs/>
        </w:rPr>
        <w:t>».</w:t>
      </w:r>
    </w:p>
    <w:p w:rsidR="0066551B" w:rsidRPr="00F25D08" w:rsidRDefault="0066551B" w:rsidP="0066551B">
      <w:pPr>
        <w:pStyle w:val="SingleTxtGR"/>
        <w:rPr>
          <w:b/>
        </w:rPr>
      </w:pPr>
      <w:r w:rsidRPr="00F25D08">
        <w:br w:type="page"/>
      </w:r>
    </w:p>
    <w:p w:rsidR="0066551B" w:rsidRPr="00F25D08" w:rsidRDefault="0066551B" w:rsidP="00DE0D0E">
      <w:pPr>
        <w:pStyle w:val="HChGR"/>
      </w:pPr>
      <w:r w:rsidRPr="00F25D08">
        <w:lastRenderedPageBreak/>
        <w:t>Приложение IV</w:t>
      </w:r>
    </w:p>
    <w:p w:rsidR="0066551B" w:rsidRPr="00F25D08" w:rsidRDefault="0066551B" w:rsidP="00DE0D0E">
      <w:pPr>
        <w:pStyle w:val="HChGR"/>
      </w:pPr>
      <w:r w:rsidRPr="00F25D08">
        <w:tab/>
      </w:r>
      <w:r w:rsidRPr="00F25D08">
        <w:tab/>
        <w:t xml:space="preserve">Принятые поправки, касающиеся волокнистых материалов, к поправкам серии 04 к Правилам </w:t>
      </w:r>
      <w:r w:rsidR="004022C5" w:rsidRPr="00F25D08">
        <w:t>№ </w:t>
      </w:r>
      <w:r w:rsidRPr="00F25D08">
        <w:t>41</w:t>
      </w:r>
    </w:p>
    <w:p w:rsidR="0066551B" w:rsidRPr="00F25D08" w:rsidRDefault="0066551B" w:rsidP="0066551B">
      <w:pPr>
        <w:pStyle w:val="SingleTxtGR"/>
      </w:pPr>
      <w:r w:rsidRPr="00F25D08">
        <w:rPr>
          <w:i/>
          <w:iCs/>
        </w:rPr>
        <w:t>Приложение 5, пункт 1</w:t>
      </w:r>
      <w:r w:rsidRPr="00F25D08">
        <w:t xml:space="preserve"> изменить следующим образом:</w:t>
      </w:r>
    </w:p>
    <w:p w:rsidR="0066551B" w:rsidRPr="00F25D08" w:rsidRDefault="0066551B" w:rsidP="00DE0D0E">
      <w:pPr>
        <w:pStyle w:val="SingleTxtGR"/>
        <w:tabs>
          <w:tab w:val="clear" w:pos="1701"/>
        </w:tabs>
        <w:ind w:left="2268" w:hanging="1134"/>
      </w:pPr>
      <w:r w:rsidRPr="00F25D08">
        <w:t>«1.</w:t>
      </w:r>
      <w:r w:rsidRPr="00F25D08">
        <w:tab/>
        <w:t>Волокнистый звукопоглощающий материал не должен содержать асбеста и может использоваться в конструкции системы выпуска или глушителя только при наличии надлежащих устройств, обесп</w:t>
      </w:r>
      <w:r w:rsidRPr="00F25D08">
        <w:t>е</w:t>
      </w:r>
      <w:r w:rsidRPr="00F25D08">
        <w:t>чивающих удерживание волокнистого материала на месте в течение всего срока эксплуатации системы выпуска или глушителя, и если система выпуска или глушителя отвечает требованиям любого из пунктов 1.1, 1.2</w:t>
      </w:r>
      <w:r w:rsidRPr="00F25D08">
        <w:rPr>
          <w:b/>
          <w:bCs/>
        </w:rPr>
        <w:t>,</w:t>
      </w:r>
      <w:r w:rsidRPr="00F25D08">
        <w:t xml:space="preserve"> </w:t>
      </w:r>
      <w:r w:rsidRPr="00F25D08">
        <w:rPr>
          <w:strike/>
        </w:rPr>
        <w:t>и</w:t>
      </w:r>
      <w:r w:rsidRPr="00F25D08">
        <w:t xml:space="preserve"> 1.3 </w:t>
      </w:r>
      <w:r w:rsidRPr="00F25D08">
        <w:rPr>
          <w:b/>
          <w:bCs/>
        </w:rPr>
        <w:t>или 1.4</w:t>
      </w:r>
      <w:r w:rsidRPr="00F25D08">
        <w:t>:».</w:t>
      </w:r>
    </w:p>
    <w:p w:rsidR="0066551B" w:rsidRPr="00F25D08" w:rsidRDefault="0066551B" w:rsidP="0066551B">
      <w:pPr>
        <w:pStyle w:val="SingleTxtGR"/>
      </w:pPr>
      <w:r w:rsidRPr="00F25D08">
        <w:rPr>
          <w:i/>
          <w:iCs/>
        </w:rPr>
        <w:t>Приложение 5</w:t>
      </w:r>
      <w:r w:rsidRPr="00F25D08">
        <w:t>, включить новый пункт 1.4 следующего содержания:</w:t>
      </w:r>
    </w:p>
    <w:p w:rsidR="0066551B" w:rsidRPr="00F25D08" w:rsidRDefault="0066551B" w:rsidP="00DE0D0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F25D08">
        <w:rPr>
          <w:bCs/>
        </w:rPr>
        <w:t>«</w:t>
      </w:r>
      <w:r w:rsidRPr="00F25D08">
        <w:rPr>
          <w:b/>
          <w:bCs/>
        </w:rPr>
        <w:t>1.4</w:t>
      </w:r>
      <w:r w:rsidRPr="00F25D08">
        <w:rPr>
          <w:b/>
          <w:bCs/>
        </w:rPr>
        <w:tab/>
        <w:t>Отработавшие газы не вступают в контакт с волокнистыми материалами, а волокнистые материалы не подвергаются во</w:t>
      </w:r>
      <w:r w:rsidRPr="00F25D08">
        <w:rPr>
          <w:b/>
          <w:bCs/>
        </w:rPr>
        <w:t>з</w:t>
      </w:r>
      <w:r w:rsidRPr="00F25D08">
        <w:rPr>
          <w:b/>
          <w:bCs/>
        </w:rPr>
        <w:t>действию изменений давления</w:t>
      </w:r>
      <w:r w:rsidRPr="00F25D08">
        <w:t>».</w:t>
      </w:r>
    </w:p>
    <w:p w:rsidR="0066551B" w:rsidRPr="00F25D08" w:rsidRDefault="0066551B" w:rsidP="0066551B">
      <w:pPr>
        <w:pStyle w:val="SingleTxtGR"/>
        <w:rPr>
          <w:b/>
        </w:rPr>
      </w:pPr>
      <w:r w:rsidRPr="00F25D08">
        <w:br w:type="page"/>
      </w:r>
    </w:p>
    <w:p w:rsidR="0066551B" w:rsidRPr="00F25D08" w:rsidRDefault="0066551B" w:rsidP="00DE0D0E">
      <w:pPr>
        <w:pStyle w:val="HChGR"/>
      </w:pPr>
      <w:r w:rsidRPr="00F25D08">
        <w:lastRenderedPageBreak/>
        <w:t>Приложение V</w:t>
      </w:r>
    </w:p>
    <w:p w:rsidR="0066551B" w:rsidRPr="00F25D08" w:rsidRDefault="0066551B" w:rsidP="00DE0D0E">
      <w:pPr>
        <w:pStyle w:val="HChGR"/>
      </w:pPr>
      <w:r w:rsidRPr="00F25D08">
        <w:tab/>
      </w:r>
      <w:r w:rsidRPr="00F25D08">
        <w:tab/>
        <w:t xml:space="preserve">Принятые поправки, касающиеся волокнистых материалов, к поправкам серии 02 к Правилам </w:t>
      </w:r>
      <w:r w:rsidR="004022C5" w:rsidRPr="00F25D08">
        <w:t>№ </w:t>
      </w:r>
      <w:r w:rsidRPr="00F25D08">
        <w:t>63</w:t>
      </w:r>
    </w:p>
    <w:p w:rsidR="0066551B" w:rsidRPr="00F25D08" w:rsidRDefault="0066551B" w:rsidP="0066551B">
      <w:pPr>
        <w:pStyle w:val="SingleTxtGR"/>
      </w:pPr>
      <w:r w:rsidRPr="00F25D08">
        <w:rPr>
          <w:i/>
          <w:iCs/>
        </w:rPr>
        <w:t>Приложение 3, пункт 5.1.1</w:t>
      </w:r>
      <w:r w:rsidRPr="00F25D08">
        <w:t xml:space="preserve"> изменить следующим образом:</w:t>
      </w:r>
    </w:p>
    <w:p w:rsidR="0066551B" w:rsidRPr="00F25D08" w:rsidRDefault="0066551B" w:rsidP="00DE0D0E">
      <w:pPr>
        <w:pStyle w:val="SingleTxtGR"/>
        <w:tabs>
          <w:tab w:val="clear" w:pos="1701"/>
        </w:tabs>
        <w:ind w:left="2268" w:hanging="1134"/>
      </w:pPr>
      <w:r w:rsidRPr="00F25D08">
        <w:t>«5.1.1</w:t>
      </w:r>
      <w:r w:rsidRPr="00F25D08">
        <w:tab/>
        <w:t>Волокнистый звукопоглощающий материал не должен содержать асбеста и может использоваться в конструкции глушителей только при наличии надлежащих устройств, обеспечивающих удержив</w:t>
      </w:r>
      <w:r w:rsidRPr="00F25D08">
        <w:t>а</w:t>
      </w:r>
      <w:r w:rsidRPr="00F25D08">
        <w:t>ние волокнистого звукопоглощающего материала на месте в теч</w:t>
      </w:r>
      <w:r w:rsidRPr="00F25D08">
        <w:t>е</w:t>
      </w:r>
      <w:r w:rsidRPr="00F25D08">
        <w:t>ние всего срока эксплуатации глушителя, и если он отвечает треб</w:t>
      </w:r>
      <w:r w:rsidRPr="00F25D08">
        <w:t>о</w:t>
      </w:r>
      <w:r w:rsidRPr="00F25D08">
        <w:t>ваниям любого из пунктов 5.1.2, 5.1.3</w:t>
      </w:r>
      <w:r w:rsidRPr="00F25D08">
        <w:rPr>
          <w:b/>
          <w:bCs/>
        </w:rPr>
        <w:t>,</w:t>
      </w:r>
      <w:r w:rsidRPr="00F25D08">
        <w:t xml:space="preserve"> </w:t>
      </w:r>
      <w:r w:rsidRPr="00F25D08">
        <w:rPr>
          <w:strike/>
        </w:rPr>
        <w:t>или</w:t>
      </w:r>
      <w:r w:rsidRPr="00F25D08">
        <w:t xml:space="preserve"> 5.1.4 </w:t>
      </w:r>
      <w:r w:rsidRPr="00F25D08">
        <w:rPr>
          <w:b/>
          <w:bCs/>
        </w:rPr>
        <w:t>или 5.1.5</w:t>
      </w:r>
      <w:r w:rsidRPr="00F25D08">
        <w:t xml:space="preserve"> ниже».</w:t>
      </w:r>
    </w:p>
    <w:p w:rsidR="0066551B" w:rsidRPr="00F25D08" w:rsidRDefault="0066551B" w:rsidP="0066551B">
      <w:pPr>
        <w:pStyle w:val="SingleTxtGR"/>
      </w:pPr>
      <w:r w:rsidRPr="00F25D08">
        <w:rPr>
          <w:i/>
          <w:iCs/>
        </w:rPr>
        <w:t>Приложение 3</w:t>
      </w:r>
      <w:r w:rsidRPr="00F25D08">
        <w:t>, включить новый пункт 5.1.5 следующего содержания:</w:t>
      </w:r>
    </w:p>
    <w:p w:rsidR="0066551B" w:rsidRPr="00F25D08" w:rsidRDefault="0066551B" w:rsidP="00DE0D0E">
      <w:pPr>
        <w:pStyle w:val="SingleTxtGR"/>
        <w:ind w:left="2268" w:hanging="1134"/>
        <w:rPr>
          <w:b/>
          <w:bCs/>
        </w:rPr>
      </w:pPr>
      <w:r w:rsidRPr="00F25D08">
        <w:rPr>
          <w:bCs/>
        </w:rPr>
        <w:t>«</w:t>
      </w:r>
      <w:r w:rsidRPr="00F25D08">
        <w:rPr>
          <w:b/>
          <w:bCs/>
        </w:rPr>
        <w:t>5.1.5</w:t>
      </w:r>
      <w:r w:rsidRPr="00F25D08">
        <w:rPr>
          <w:b/>
          <w:bCs/>
        </w:rPr>
        <w:tab/>
      </w:r>
      <w:r w:rsidRPr="00F25D08">
        <w:rPr>
          <w:b/>
          <w:bCs/>
        </w:rPr>
        <w:tab/>
        <w:t>Отработавшие газы не вступают в контакт с волокнистыми материалами, а волокнистые материалы не подвергаются во</w:t>
      </w:r>
      <w:r w:rsidRPr="00F25D08">
        <w:rPr>
          <w:b/>
          <w:bCs/>
        </w:rPr>
        <w:t>з</w:t>
      </w:r>
      <w:r w:rsidRPr="00F25D08">
        <w:rPr>
          <w:b/>
          <w:bCs/>
        </w:rPr>
        <w:t>действию изменений давления</w:t>
      </w:r>
      <w:r w:rsidRPr="00F25D08">
        <w:rPr>
          <w:bCs/>
        </w:rPr>
        <w:t>».</w:t>
      </w:r>
    </w:p>
    <w:p w:rsidR="0066551B" w:rsidRPr="00F25D08" w:rsidRDefault="0066551B" w:rsidP="0066551B">
      <w:pPr>
        <w:pStyle w:val="SingleTxtGR"/>
        <w:rPr>
          <w:b/>
        </w:rPr>
      </w:pPr>
      <w:r w:rsidRPr="00F25D08">
        <w:br w:type="page"/>
      </w:r>
    </w:p>
    <w:p w:rsidR="0066551B" w:rsidRPr="00F25D08" w:rsidRDefault="0066551B" w:rsidP="00FE18F3">
      <w:pPr>
        <w:pStyle w:val="HChGR"/>
      </w:pPr>
      <w:r w:rsidRPr="00F25D08">
        <w:lastRenderedPageBreak/>
        <w:t>Приложение VI</w:t>
      </w:r>
    </w:p>
    <w:p w:rsidR="0066551B" w:rsidRPr="00F25D08" w:rsidRDefault="0066551B" w:rsidP="00FE18F3">
      <w:pPr>
        <w:pStyle w:val="HChGR"/>
      </w:pPr>
      <w:r w:rsidRPr="00F25D08">
        <w:tab/>
      </w:r>
      <w:r w:rsidRPr="00F25D08">
        <w:tab/>
        <w:t xml:space="preserve">Принятые поправки, касающиеся волокнистых материалов, к поправкам серии 01 к Правилам </w:t>
      </w:r>
      <w:r w:rsidR="004022C5" w:rsidRPr="00F25D08">
        <w:t>№ </w:t>
      </w:r>
      <w:r w:rsidRPr="00F25D08">
        <w:t>92</w:t>
      </w:r>
    </w:p>
    <w:p w:rsidR="0066551B" w:rsidRPr="00F25D08" w:rsidRDefault="0066551B" w:rsidP="0066551B">
      <w:pPr>
        <w:pStyle w:val="SingleTxtGR"/>
      </w:pPr>
      <w:r w:rsidRPr="00F25D08">
        <w:rPr>
          <w:i/>
          <w:iCs/>
        </w:rPr>
        <w:t>Приложение 5, пункт 1</w:t>
      </w:r>
      <w:r w:rsidRPr="00F25D08">
        <w:t xml:space="preserve"> изменить следующим образом:</w:t>
      </w:r>
    </w:p>
    <w:p w:rsidR="0066551B" w:rsidRPr="00F25D08" w:rsidRDefault="0066551B" w:rsidP="00FE18F3">
      <w:pPr>
        <w:pStyle w:val="SingleTxtGR"/>
        <w:ind w:left="2268" w:hanging="1134"/>
      </w:pPr>
      <w:r w:rsidRPr="00F25D08">
        <w:t>«1.</w:t>
      </w:r>
      <w:r w:rsidRPr="00F25D08">
        <w:tab/>
      </w:r>
      <w:r w:rsidRPr="00F25D08">
        <w:tab/>
        <w:t>Волокнистый звукопоглощающий материал не должен содержать асбеста и может использоваться в конструкции глушителей только при наличии надлежащих устройств, обеспечивающих удержив</w:t>
      </w:r>
      <w:r w:rsidRPr="00F25D08">
        <w:t>а</w:t>
      </w:r>
      <w:r w:rsidRPr="00F25D08">
        <w:t>ние волокнистого звукопоглощающего материала на месте в теч</w:t>
      </w:r>
      <w:r w:rsidRPr="00F25D08">
        <w:t>е</w:t>
      </w:r>
      <w:r w:rsidRPr="00F25D08">
        <w:t>ние всего срока эксплуатации глушителя, и если он отвечает треб</w:t>
      </w:r>
      <w:r w:rsidRPr="00F25D08">
        <w:t>о</w:t>
      </w:r>
      <w:r w:rsidRPr="00F25D08">
        <w:t>ваниям любого из разделов 2, 3</w:t>
      </w:r>
      <w:r w:rsidRPr="00F25D08">
        <w:rPr>
          <w:b/>
          <w:bCs/>
        </w:rPr>
        <w:t>,</w:t>
      </w:r>
      <w:r w:rsidRPr="00F25D08">
        <w:t xml:space="preserve"> </w:t>
      </w:r>
      <w:r w:rsidRPr="00F25D08">
        <w:rPr>
          <w:strike/>
        </w:rPr>
        <w:t>или</w:t>
      </w:r>
      <w:r w:rsidRPr="00F25D08">
        <w:t xml:space="preserve"> 4 </w:t>
      </w:r>
      <w:r w:rsidRPr="00F25D08">
        <w:rPr>
          <w:b/>
          <w:bCs/>
        </w:rPr>
        <w:t>или 5</w:t>
      </w:r>
      <w:r w:rsidRPr="00F25D08">
        <w:t xml:space="preserve"> по выбору изготовит</w:t>
      </w:r>
      <w:r w:rsidRPr="00F25D08">
        <w:t>е</w:t>
      </w:r>
      <w:r w:rsidRPr="00F25D08">
        <w:t>ля».</w:t>
      </w:r>
    </w:p>
    <w:p w:rsidR="0066551B" w:rsidRPr="00F25D08" w:rsidRDefault="0066551B" w:rsidP="0066551B">
      <w:pPr>
        <w:pStyle w:val="SingleTxtGR"/>
      </w:pPr>
      <w:r w:rsidRPr="00F25D08">
        <w:rPr>
          <w:i/>
          <w:iCs/>
        </w:rPr>
        <w:t>Приложение 5</w:t>
      </w:r>
      <w:r w:rsidRPr="00F25D08">
        <w:t>, включить новый пункт 5 следующего содержания:</w:t>
      </w:r>
    </w:p>
    <w:p w:rsidR="0066551B" w:rsidRPr="00F25D08" w:rsidRDefault="0066551B" w:rsidP="00FE18F3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F25D08">
        <w:t>«</w:t>
      </w:r>
      <w:r w:rsidRPr="00F25D08">
        <w:rPr>
          <w:b/>
          <w:bCs/>
        </w:rPr>
        <w:t>5.</w:t>
      </w:r>
      <w:r w:rsidRPr="00F25D08">
        <w:rPr>
          <w:b/>
          <w:bCs/>
        </w:rPr>
        <w:tab/>
        <w:t>Отработавшие газы не вступают в контакт с волокнистыми материалами, а волокнистые материалы не подвергаются во</w:t>
      </w:r>
      <w:r w:rsidRPr="00F25D08">
        <w:rPr>
          <w:b/>
          <w:bCs/>
        </w:rPr>
        <w:t>з</w:t>
      </w:r>
      <w:r w:rsidRPr="00F25D08">
        <w:rPr>
          <w:b/>
          <w:bCs/>
        </w:rPr>
        <w:t>действию изменений давления</w:t>
      </w:r>
      <w:r w:rsidRPr="00F25D08">
        <w:t>».</w:t>
      </w:r>
    </w:p>
    <w:p w:rsidR="0066551B" w:rsidRPr="00F25D08" w:rsidRDefault="0066551B" w:rsidP="0066551B">
      <w:pPr>
        <w:pStyle w:val="SingleTxtGR"/>
        <w:rPr>
          <w:b/>
          <w:bCs/>
        </w:rPr>
      </w:pPr>
      <w:r w:rsidRPr="00F25D08">
        <w:rPr>
          <w:bCs/>
        </w:rPr>
        <w:br w:type="page"/>
      </w:r>
    </w:p>
    <w:p w:rsidR="0066551B" w:rsidRPr="00F25D08" w:rsidRDefault="0066551B" w:rsidP="00FE18F3">
      <w:pPr>
        <w:pStyle w:val="HChGR"/>
      </w:pPr>
      <w:r w:rsidRPr="00F25D08">
        <w:lastRenderedPageBreak/>
        <w:tab/>
        <w:t>Приложение VII</w:t>
      </w:r>
    </w:p>
    <w:p w:rsidR="0066551B" w:rsidRPr="00F25D08" w:rsidRDefault="0066551B" w:rsidP="00FE18F3">
      <w:pPr>
        <w:pStyle w:val="HChGR"/>
      </w:pPr>
      <w:r w:rsidRPr="00F25D08">
        <w:tab/>
      </w:r>
      <w:r w:rsidRPr="00F25D08">
        <w:tab/>
        <w:t xml:space="preserve">Пересмотренные положения о круге ведения неофициальной рабочей группы (НРГ) по разработке правил, касающихся бесшумных автотранспортных средств (БАТС), в рамках Соглашения 1958 года </w:t>
      </w:r>
    </w:p>
    <w:p w:rsidR="0066551B" w:rsidRPr="00F25D08" w:rsidRDefault="0066551B" w:rsidP="00FE18F3">
      <w:pPr>
        <w:pStyle w:val="H1GR"/>
      </w:pPr>
      <w:r w:rsidRPr="00F25D08">
        <w:tab/>
        <w:t xml:space="preserve">A. </w:t>
      </w:r>
      <w:r w:rsidRPr="00F25D08">
        <w:tab/>
        <w:t>Введение</w:t>
      </w:r>
    </w:p>
    <w:p w:rsidR="0066551B" w:rsidRPr="00F25D08" w:rsidRDefault="0066551B" w:rsidP="0066551B">
      <w:pPr>
        <w:pStyle w:val="SingleTxtGR"/>
      </w:pPr>
      <w:r w:rsidRPr="00F25D08">
        <w:t>1.</w:t>
      </w:r>
      <w:r w:rsidRPr="00F25D08">
        <w:tab/>
        <w:t>На 167-й сессии Всемирного форума для согласования правил в области транспортных средств (WP.29) GRB предложила продолжить свою работу по БАТС для решения вопросов, поднятых Всемирным союзом слепых (ВСС). WP.29 решил продлить срок действия мандата НРГ по разработке правил, кас</w:t>
      </w:r>
      <w:r w:rsidRPr="00F25D08">
        <w:t>а</w:t>
      </w:r>
      <w:r w:rsidRPr="00F25D08">
        <w:t>ющихся БАТС. WP.29 согласился рассмотреть проект предложения по прав</w:t>
      </w:r>
      <w:r w:rsidRPr="00F25D08">
        <w:t>и</w:t>
      </w:r>
      <w:r w:rsidRPr="00F25D08">
        <w:t>лам, касающимся БАТС, на своей сессии в марте 2016 года и решил изучить дополнительные поправки на более позднем этапе для уделения внимания по</w:t>
      </w:r>
      <w:r w:rsidRPr="00F25D08">
        <w:t>д</w:t>
      </w:r>
      <w:r w:rsidRPr="00F25D08">
        <w:t>нятым вопросам (ECE/TRANS/WP.29/1118, пункты 24, 100–102).</w:t>
      </w:r>
    </w:p>
    <w:p w:rsidR="0066551B" w:rsidRPr="00F25D08" w:rsidRDefault="0066551B" w:rsidP="0066551B">
      <w:pPr>
        <w:pStyle w:val="SingleTxtGR"/>
      </w:pPr>
      <w:r w:rsidRPr="00F25D08">
        <w:t>2.</w:t>
      </w:r>
      <w:r w:rsidRPr="00F25D08">
        <w:tab/>
        <w:t>В настоящем предложении определены пересмотренные положения о круге ведения НРГ по разработке правил, касающихся БАТС, в рамках Согл</w:t>
      </w:r>
      <w:r w:rsidRPr="00F25D08">
        <w:t>а</w:t>
      </w:r>
      <w:r w:rsidRPr="00F25D08">
        <w:t>шения 1958 года, параллельно с разработкой глобальных технических правил (ГТП) по БАТС.</w:t>
      </w:r>
    </w:p>
    <w:p w:rsidR="0066551B" w:rsidRPr="00F25D08" w:rsidRDefault="0066551B" w:rsidP="0066551B">
      <w:pPr>
        <w:pStyle w:val="SingleTxtGR"/>
      </w:pPr>
      <w:r w:rsidRPr="00F25D08">
        <w:t>3.</w:t>
      </w:r>
      <w:r w:rsidRPr="00F25D08">
        <w:tab/>
        <w:t>Цель деятельности группы состоит в том, чтобы решить вопросы, подн</w:t>
      </w:r>
      <w:r w:rsidRPr="00F25D08">
        <w:t>я</w:t>
      </w:r>
      <w:r w:rsidRPr="00F25D08">
        <w:t>тые заинтересованными сторонами, в частности ВСС, и при необходимости предложить поправки к правилам, касающимся БАТС.</w:t>
      </w:r>
    </w:p>
    <w:p w:rsidR="0066551B" w:rsidRPr="00F25D08" w:rsidRDefault="0066551B" w:rsidP="0066551B">
      <w:pPr>
        <w:pStyle w:val="SingleTxtGR"/>
      </w:pPr>
      <w:r w:rsidRPr="00F25D08">
        <w:t>4.</w:t>
      </w:r>
      <w:r w:rsidRPr="00F25D08">
        <w:tab/>
        <w:t>НРГ по разработке правил, касающихся БАТС, действует в тесном с</w:t>
      </w:r>
      <w:r w:rsidRPr="00F25D08">
        <w:t>о</w:t>
      </w:r>
      <w:r w:rsidRPr="00F25D08">
        <w:t>трудничестве с НРГ по ГТП, касающимся БАТС.</w:t>
      </w:r>
    </w:p>
    <w:p w:rsidR="0066551B" w:rsidRPr="00F25D08" w:rsidRDefault="0066551B" w:rsidP="00FE18F3">
      <w:pPr>
        <w:pStyle w:val="H1GR"/>
      </w:pPr>
      <w:r w:rsidRPr="00F25D08">
        <w:tab/>
        <w:t xml:space="preserve">B. </w:t>
      </w:r>
      <w:r w:rsidRPr="00F25D08">
        <w:tab/>
        <w:t>Цель НРГ по разработке правил, касающихся БАТС</w:t>
      </w:r>
    </w:p>
    <w:p w:rsidR="0066551B" w:rsidRPr="00F25D08" w:rsidRDefault="0066551B" w:rsidP="0066551B">
      <w:pPr>
        <w:pStyle w:val="SingleTxtGR"/>
      </w:pPr>
      <w:r w:rsidRPr="00F25D08">
        <w:t>5.</w:t>
      </w:r>
      <w:r w:rsidRPr="00F25D08">
        <w:tab/>
        <w:t>Область применения и цель этих правил указаны в документе ECE/TRANS/WP.29/GRB/2015/9. Сфера охвата правил, которая на первоначал</w:t>
      </w:r>
      <w:r w:rsidRPr="00F25D08">
        <w:t>ь</w:t>
      </w:r>
      <w:r w:rsidRPr="00F25D08">
        <w:t>ном этапе будет включать электромобили и гибридные электромобили катег</w:t>
      </w:r>
      <w:r w:rsidRPr="00F25D08">
        <w:t>о</w:t>
      </w:r>
      <w:r w:rsidRPr="00F25D08">
        <w:t>рий М и N, может быть распространена на транспортные средства категории L.</w:t>
      </w:r>
    </w:p>
    <w:p w:rsidR="0066551B" w:rsidRPr="00F25D08" w:rsidRDefault="0066551B" w:rsidP="0066551B">
      <w:pPr>
        <w:pStyle w:val="SingleTxtGR"/>
      </w:pPr>
      <w:r w:rsidRPr="00F25D08">
        <w:t>6.</w:t>
      </w:r>
      <w:r w:rsidRPr="00F25D08">
        <w:tab/>
        <w:t>НРГ по разработке правил, касающихся БАТС, будет заниматься вопр</w:t>
      </w:r>
      <w:r w:rsidRPr="00F25D08">
        <w:t>о</w:t>
      </w:r>
      <w:r w:rsidRPr="00F25D08">
        <w:t>сами, касающимися уровней звукового давления, установки переключателей для временной остановки системы звукового предупреждения о транспортном средстве (АВАС) и звуках, издаваемых транспортными средствами в неподви</w:t>
      </w:r>
      <w:r w:rsidRPr="00F25D08">
        <w:t>ж</w:t>
      </w:r>
      <w:r w:rsidRPr="00F25D08">
        <w:t>ном состоянии.</w:t>
      </w:r>
    </w:p>
    <w:p w:rsidR="0066551B" w:rsidRPr="00F25D08" w:rsidRDefault="0066551B" w:rsidP="0066551B">
      <w:pPr>
        <w:pStyle w:val="SingleTxtGR"/>
      </w:pPr>
      <w:r w:rsidRPr="00F25D08">
        <w:t>7.</w:t>
      </w:r>
      <w:r w:rsidRPr="00F25D08">
        <w:tab/>
        <w:t xml:space="preserve">НРГ по разработке правил, касающихся БАТС, в своей работе принимает во внимание документы, подготовленные НРГ по ГТП, касающимся БАТС. </w:t>
      </w:r>
    </w:p>
    <w:p w:rsidR="0066551B" w:rsidRPr="00F25D08" w:rsidRDefault="0066551B" w:rsidP="0066551B">
      <w:pPr>
        <w:pStyle w:val="SingleTxtGR"/>
      </w:pPr>
      <w:r w:rsidRPr="00F25D08">
        <w:t>8.</w:t>
      </w:r>
      <w:r w:rsidRPr="00F25D08">
        <w:tab/>
        <w:t xml:space="preserve">НРГ по разработке правил, касающихся БАТС, подотчетна GRB. </w:t>
      </w:r>
    </w:p>
    <w:p w:rsidR="0066551B" w:rsidRPr="00F25D08" w:rsidRDefault="0066551B" w:rsidP="00FE18F3">
      <w:pPr>
        <w:pStyle w:val="H1GR"/>
      </w:pPr>
      <w:r w:rsidRPr="00F25D08">
        <w:lastRenderedPageBreak/>
        <w:tab/>
        <w:t xml:space="preserve">C. </w:t>
      </w:r>
      <w:r w:rsidRPr="00F25D08">
        <w:tab/>
        <w:t>Правила процедуры</w:t>
      </w:r>
    </w:p>
    <w:p w:rsidR="0066551B" w:rsidRPr="00F25D08" w:rsidRDefault="0066551B" w:rsidP="0066551B">
      <w:pPr>
        <w:pStyle w:val="SingleTxtGR"/>
      </w:pPr>
      <w:r w:rsidRPr="00F25D08">
        <w:t>9.</w:t>
      </w:r>
      <w:r w:rsidRPr="00F25D08">
        <w:tab/>
        <w:t>НРГ по разработке правил, касающихся БАТС, открыта для всех участн</w:t>
      </w:r>
      <w:r w:rsidRPr="00F25D08">
        <w:t>и</w:t>
      </w:r>
      <w:r w:rsidRPr="00F25D08">
        <w:t>ков GRB. Однако рекомендуется, чтобы в ее работе принимали участие макс</w:t>
      </w:r>
      <w:r w:rsidRPr="00F25D08">
        <w:t>и</w:t>
      </w:r>
      <w:r w:rsidRPr="00F25D08">
        <w:t>мум по два технических эксперта от каждой страны или организации.</w:t>
      </w:r>
    </w:p>
    <w:p w:rsidR="0066551B" w:rsidRPr="00F25D08" w:rsidRDefault="0066551B" w:rsidP="0066551B">
      <w:pPr>
        <w:pStyle w:val="SingleTxtGR"/>
      </w:pPr>
      <w:r w:rsidRPr="00F25D08">
        <w:t>10.</w:t>
      </w:r>
      <w:r w:rsidRPr="00F25D08">
        <w:tab/>
        <w:t>Председателями НРГ совместно выступят Франция и Германия, а сопре</w:t>
      </w:r>
      <w:r w:rsidRPr="00F25D08">
        <w:t>д</w:t>
      </w:r>
      <w:r w:rsidRPr="00F25D08">
        <w:t>седателем − Япония. Функции секретаря будет выполнять МОПАП.</w:t>
      </w:r>
    </w:p>
    <w:p w:rsidR="0066551B" w:rsidRPr="00F25D08" w:rsidRDefault="0066551B" w:rsidP="0066551B">
      <w:pPr>
        <w:pStyle w:val="SingleTxtGR"/>
      </w:pPr>
      <w:r w:rsidRPr="00F25D08">
        <w:t>11.</w:t>
      </w:r>
      <w:r w:rsidRPr="00F25D08">
        <w:tab/>
        <w:t>Рабочим языком НРГ является английский язык.</w:t>
      </w:r>
    </w:p>
    <w:p w:rsidR="0066551B" w:rsidRPr="00F25D08" w:rsidRDefault="0066551B" w:rsidP="0066551B">
      <w:pPr>
        <w:pStyle w:val="SingleTxtGR"/>
      </w:pPr>
      <w:r w:rsidRPr="00F25D08">
        <w:t>12.</w:t>
      </w:r>
      <w:r w:rsidRPr="00F25D08">
        <w:tab/>
        <w:t xml:space="preserve">Все документы и/или предложения должны передаваться секретарю НРГ в приемлемом электронном формате не позднее чем за одну неделю до начала сессии. </w:t>
      </w:r>
    </w:p>
    <w:p w:rsidR="0066551B" w:rsidRPr="00F25D08" w:rsidRDefault="0066551B" w:rsidP="0066551B">
      <w:pPr>
        <w:pStyle w:val="SingleTxtGR"/>
      </w:pPr>
      <w:r w:rsidRPr="00F25D08">
        <w:t>13.</w:t>
      </w:r>
      <w:r w:rsidRPr="00F25D08">
        <w:tab/>
        <w:t>Повестка дня и последний проект документа будут размещены на спец</w:t>
      </w:r>
      <w:r w:rsidRPr="00F25D08">
        <w:t>и</w:t>
      </w:r>
      <w:r w:rsidRPr="00F25D08">
        <w:t>альном веб-сайте ЕЭК ООН.</w:t>
      </w:r>
    </w:p>
    <w:p w:rsidR="0066551B" w:rsidRPr="00F25D08" w:rsidRDefault="0066551B" w:rsidP="00FE18F3">
      <w:pPr>
        <w:pStyle w:val="H1GR"/>
      </w:pPr>
      <w:r w:rsidRPr="00F25D08">
        <w:tab/>
        <w:t xml:space="preserve">D. </w:t>
      </w:r>
      <w:r w:rsidRPr="00F25D08">
        <w:tab/>
        <w:t xml:space="preserve">Сроки </w:t>
      </w:r>
    </w:p>
    <w:p w:rsidR="0066551B" w:rsidRPr="00F25D08" w:rsidRDefault="0066551B" w:rsidP="0066551B">
      <w:pPr>
        <w:pStyle w:val="SingleTxtGR"/>
      </w:pPr>
      <w:r w:rsidRPr="00F25D08">
        <w:t>14.</w:t>
      </w:r>
      <w:r w:rsidRPr="00F25D08">
        <w:tab/>
        <w:t>Цель работы НРГ − представить при необходимости неофициальный д</w:t>
      </w:r>
      <w:r w:rsidRPr="00F25D08">
        <w:t>о</w:t>
      </w:r>
      <w:r w:rsidRPr="00F25D08">
        <w:t>кумент для рассмотрения на шестьдесят пятой сессии GRB в феврале 2017 г</w:t>
      </w:r>
      <w:r w:rsidRPr="00F25D08">
        <w:t>о</w:t>
      </w:r>
      <w:r w:rsidRPr="00F25D08">
        <w:t>да. Конечной целью НРГ является представление рабочего документа для ра</w:t>
      </w:r>
      <w:r w:rsidRPr="00F25D08">
        <w:t>с</w:t>
      </w:r>
      <w:r w:rsidRPr="00F25D08">
        <w:t>смотрения на шестьдесят шестой сессии GRB в сентябре 2017 года.</w:t>
      </w:r>
    </w:p>
    <w:p w:rsidR="0066551B" w:rsidRPr="00F25D08" w:rsidRDefault="0066551B" w:rsidP="0066551B">
      <w:pPr>
        <w:pStyle w:val="SingleTxtGR"/>
        <w:rPr>
          <w:b/>
        </w:rPr>
      </w:pPr>
      <w:r w:rsidRPr="00F25D08">
        <w:br w:type="page"/>
      </w:r>
    </w:p>
    <w:p w:rsidR="0066551B" w:rsidRPr="00F25D08" w:rsidRDefault="0066551B" w:rsidP="00FE18F3">
      <w:pPr>
        <w:pStyle w:val="HChGR"/>
      </w:pPr>
      <w:r w:rsidRPr="00F25D08">
        <w:lastRenderedPageBreak/>
        <w:t>Приложение VIII</w:t>
      </w:r>
    </w:p>
    <w:p w:rsidR="00BF0148" w:rsidRPr="00F25D08" w:rsidRDefault="0066551B" w:rsidP="00FE18F3">
      <w:pPr>
        <w:pStyle w:val="HChGR"/>
      </w:pPr>
      <w:r w:rsidRPr="00F25D08">
        <w:tab/>
      </w:r>
      <w:r w:rsidRPr="00F25D08">
        <w:tab/>
        <w:t>Неофициальные группы GRB</w:t>
      </w:r>
    </w:p>
    <w:tbl>
      <w:tblPr>
        <w:tblW w:w="849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2745"/>
        <w:gridCol w:w="2745"/>
        <w:gridCol w:w="1426"/>
      </w:tblGrid>
      <w:tr w:rsidR="007D0E27" w:rsidRPr="00F25D08" w:rsidTr="007D0E27">
        <w:trPr>
          <w:trHeight w:val="20"/>
        </w:trPr>
        <w:tc>
          <w:tcPr>
            <w:tcW w:w="1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66551B" w:rsidRPr="00F25D08" w:rsidRDefault="0066551B" w:rsidP="00677863">
            <w:pPr>
              <w:tabs>
                <w:tab w:val="left" w:pos="5103"/>
              </w:tabs>
              <w:spacing w:before="40" w:after="40" w:line="240" w:lineRule="auto"/>
              <w:ind w:left="58" w:right="115"/>
              <w:rPr>
                <w:i/>
                <w:iCs/>
                <w:sz w:val="16"/>
                <w:szCs w:val="16"/>
              </w:rPr>
            </w:pPr>
            <w:r w:rsidRPr="00F25D08">
              <w:rPr>
                <w:i/>
                <w:iCs/>
                <w:sz w:val="16"/>
                <w:szCs w:val="16"/>
              </w:rPr>
              <w:t>Неофициальная группа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66551B" w:rsidRPr="00F25D08" w:rsidRDefault="0066551B" w:rsidP="00677863">
            <w:pPr>
              <w:tabs>
                <w:tab w:val="left" w:pos="5103"/>
              </w:tabs>
              <w:spacing w:before="40" w:after="40" w:line="240" w:lineRule="auto"/>
              <w:ind w:left="58" w:right="115"/>
              <w:rPr>
                <w:i/>
                <w:iCs/>
                <w:sz w:val="16"/>
                <w:szCs w:val="16"/>
              </w:rPr>
            </w:pPr>
            <w:r w:rsidRPr="00F25D08">
              <w:rPr>
                <w:i/>
                <w:iCs/>
                <w:sz w:val="16"/>
                <w:szCs w:val="16"/>
              </w:rPr>
              <w:t xml:space="preserve">Председатель(и) </w:t>
            </w:r>
            <w:r w:rsidR="007D0E27" w:rsidRPr="00F25D08">
              <w:rPr>
                <w:i/>
                <w:iCs/>
                <w:sz w:val="16"/>
                <w:szCs w:val="16"/>
              </w:rPr>
              <w:br/>
            </w:r>
            <w:r w:rsidRPr="00F25D08">
              <w:rPr>
                <w:i/>
                <w:iCs/>
                <w:sz w:val="16"/>
                <w:szCs w:val="16"/>
              </w:rPr>
              <w:t xml:space="preserve">и сопредседатель(и) 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66551B" w:rsidRPr="00F25D08" w:rsidRDefault="0066551B" w:rsidP="00677863">
            <w:pPr>
              <w:tabs>
                <w:tab w:val="left" w:pos="5103"/>
              </w:tabs>
              <w:spacing w:before="40" w:after="40" w:line="240" w:lineRule="auto"/>
              <w:ind w:left="58" w:right="115"/>
              <w:rPr>
                <w:i/>
                <w:iCs/>
                <w:sz w:val="16"/>
                <w:szCs w:val="16"/>
              </w:rPr>
            </w:pPr>
            <w:r w:rsidRPr="00F25D08">
              <w:rPr>
                <w:i/>
                <w:iCs/>
                <w:sz w:val="16"/>
                <w:szCs w:val="16"/>
              </w:rPr>
              <w:t>Секретарь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1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66551B" w:rsidRPr="00F25D08" w:rsidRDefault="0066551B" w:rsidP="00677863">
            <w:pPr>
              <w:tabs>
                <w:tab w:val="left" w:pos="5103"/>
              </w:tabs>
              <w:spacing w:before="40" w:after="40" w:line="240" w:lineRule="auto"/>
              <w:ind w:left="58" w:right="115"/>
              <w:rPr>
                <w:i/>
                <w:iCs/>
                <w:sz w:val="16"/>
                <w:szCs w:val="16"/>
              </w:rPr>
            </w:pPr>
            <w:r w:rsidRPr="00F25D08">
              <w:rPr>
                <w:i/>
                <w:iCs/>
                <w:sz w:val="16"/>
                <w:szCs w:val="16"/>
              </w:rPr>
              <w:t xml:space="preserve">Истечение </w:t>
            </w:r>
            <w:r w:rsidR="007D0E27" w:rsidRPr="00F25D08">
              <w:rPr>
                <w:i/>
                <w:iCs/>
                <w:sz w:val="16"/>
                <w:szCs w:val="16"/>
              </w:rPr>
              <w:br/>
            </w:r>
            <w:r w:rsidRPr="00F25D08">
              <w:rPr>
                <w:i/>
                <w:iCs/>
                <w:sz w:val="16"/>
                <w:szCs w:val="16"/>
              </w:rPr>
              <w:t>срока действия мандата</w:t>
            </w:r>
          </w:p>
        </w:tc>
      </w:tr>
      <w:tr w:rsidR="0066551B" w:rsidRPr="00F25D08" w:rsidTr="007D0E27">
        <w:trPr>
          <w:trHeight w:val="20"/>
        </w:trPr>
        <w:tc>
          <w:tcPr>
            <w:tcW w:w="15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6551B" w:rsidRPr="00F25D08" w:rsidRDefault="0066551B" w:rsidP="004F543D">
            <w:pPr>
              <w:tabs>
                <w:tab w:val="left" w:pos="5103"/>
              </w:tabs>
              <w:spacing w:before="60" w:after="60" w:line="240" w:lineRule="auto"/>
              <w:ind w:left="58"/>
              <w:rPr>
                <w:sz w:val="18"/>
                <w:szCs w:val="18"/>
              </w:rPr>
            </w:pPr>
            <w:r w:rsidRPr="00F25D08">
              <w:rPr>
                <w:sz w:val="18"/>
                <w:szCs w:val="18"/>
              </w:rPr>
              <w:t>ГТП по бесшу</w:t>
            </w:r>
            <w:r w:rsidRPr="00F25D08">
              <w:rPr>
                <w:sz w:val="18"/>
                <w:szCs w:val="18"/>
              </w:rPr>
              <w:t>м</w:t>
            </w:r>
            <w:r w:rsidRPr="00F25D08">
              <w:rPr>
                <w:sz w:val="18"/>
                <w:szCs w:val="18"/>
              </w:rPr>
              <w:t>ным автотран</w:t>
            </w:r>
            <w:r w:rsidRPr="00F25D08">
              <w:rPr>
                <w:sz w:val="18"/>
                <w:szCs w:val="18"/>
              </w:rPr>
              <w:t>с</w:t>
            </w:r>
            <w:r w:rsidRPr="00F25D08">
              <w:rPr>
                <w:sz w:val="18"/>
                <w:szCs w:val="18"/>
              </w:rPr>
              <w:t>портным сре</w:t>
            </w:r>
            <w:r w:rsidRPr="00F25D08">
              <w:rPr>
                <w:sz w:val="18"/>
                <w:szCs w:val="18"/>
              </w:rPr>
              <w:t>д</w:t>
            </w:r>
            <w:r w:rsidRPr="00F25D08">
              <w:rPr>
                <w:sz w:val="18"/>
                <w:szCs w:val="18"/>
              </w:rPr>
              <w:t>ствам (БАТС)</w:t>
            </w:r>
          </w:p>
        </w:tc>
        <w:tc>
          <w:tcPr>
            <w:tcW w:w="27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6551B" w:rsidRPr="00F25D08" w:rsidRDefault="0066551B" w:rsidP="004F543D">
            <w:pPr>
              <w:tabs>
                <w:tab w:val="left" w:pos="5103"/>
              </w:tabs>
              <w:spacing w:before="60" w:after="60" w:line="240" w:lineRule="auto"/>
              <w:ind w:left="58"/>
              <w:rPr>
                <w:sz w:val="18"/>
                <w:szCs w:val="18"/>
              </w:rPr>
            </w:pPr>
            <w:r w:rsidRPr="00F25D08">
              <w:rPr>
                <w:sz w:val="18"/>
                <w:szCs w:val="18"/>
              </w:rPr>
              <w:t>Г-н Эзана Вондимне (США)</w:t>
            </w:r>
            <w:r w:rsidRPr="00F25D08">
              <w:rPr>
                <w:sz w:val="18"/>
                <w:szCs w:val="18"/>
              </w:rPr>
              <w:br/>
              <w:t>Тел.: +1 202 366 21 17</w:t>
            </w:r>
            <w:r w:rsidRPr="00F25D08">
              <w:rPr>
                <w:sz w:val="18"/>
                <w:szCs w:val="18"/>
              </w:rPr>
              <w:br/>
              <w:t>Эл. почта: Ezana.wondimneh@dot.gov</w:t>
            </w:r>
          </w:p>
          <w:p w:rsidR="0066551B" w:rsidRPr="00F25D08" w:rsidRDefault="0066551B" w:rsidP="004F543D">
            <w:pPr>
              <w:tabs>
                <w:tab w:val="left" w:pos="5103"/>
              </w:tabs>
              <w:spacing w:before="60" w:after="60" w:line="240" w:lineRule="auto"/>
              <w:ind w:left="58"/>
              <w:rPr>
                <w:sz w:val="18"/>
                <w:szCs w:val="18"/>
              </w:rPr>
            </w:pPr>
            <w:r w:rsidRPr="00F25D08">
              <w:rPr>
                <w:sz w:val="18"/>
                <w:szCs w:val="18"/>
              </w:rPr>
              <w:t>Г-н Ичиро Сакамото (Япония)</w:t>
            </w:r>
          </w:p>
          <w:p w:rsidR="0066551B" w:rsidRPr="00F25D08" w:rsidRDefault="0066551B" w:rsidP="004F543D">
            <w:pPr>
              <w:keepNext/>
              <w:keepLines/>
              <w:tabs>
                <w:tab w:val="left" w:pos="4536"/>
              </w:tabs>
              <w:spacing w:before="60" w:after="60" w:line="240" w:lineRule="auto"/>
              <w:ind w:left="58"/>
              <w:rPr>
                <w:sz w:val="18"/>
                <w:szCs w:val="18"/>
              </w:rPr>
            </w:pPr>
            <w:r w:rsidRPr="00F25D08">
              <w:rPr>
                <w:sz w:val="18"/>
                <w:szCs w:val="18"/>
              </w:rPr>
              <w:t>Тел.: +81 422 41 66 18</w:t>
            </w:r>
          </w:p>
          <w:p w:rsidR="0066551B" w:rsidRPr="00F25D08" w:rsidRDefault="0066551B" w:rsidP="004F543D">
            <w:pPr>
              <w:keepNext/>
              <w:keepLines/>
              <w:tabs>
                <w:tab w:val="left" w:pos="4536"/>
              </w:tabs>
              <w:spacing w:before="60" w:after="60" w:line="240" w:lineRule="auto"/>
              <w:ind w:left="58"/>
              <w:rPr>
                <w:sz w:val="18"/>
                <w:szCs w:val="18"/>
              </w:rPr>
            </w:pPr>
            <w:r w:rsidRPr="00F25D08">
              <w:rPr>
                <w:sz w:val="18"/>
                <w:szCs w:val="18"/>
              </w:rPr>
              <w:t>Факс: +81 422 76 86 04</w:t>
            </w:r>
          </w:p>
          <w:p w:rsidR="0066551B" w:rsidRPr="00F25D08" w:rsidRDefault="0066551B" w:rsidP="004F543D">
            <w:pPr>
              <w:spacing w:before="60" w:after="60" w:line="240" w:lineRule="auto"/>
              <w:ind w:left="58"/>
              <w:rPr>
                <w:sz w:val="18"/>
                <w:szCs w:val="18"/>
              </w:rPr>
            </w:pPr>
            <w:r w:rsidRPr="00F25D08">
              <w:rPr>
                <w:sz w:val="18"/>
                <w:szCs w:val="18"/>
              </w:rPr>
              <w:t>Эл. почта: i-saka@ntsel.go.jp</w:t>
            </w:r>
          </w:p>
        </w:tc>
        <w:tc>
          <w:tcPr>
            <w:tcW w:w="27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6551B" w:rsidRPr="00F25D08" w:rsidRDefault="0066551B" w:rsidP="004F543D">
            <w:pPr>
              <w:keepNext/>
              <w:keepLines/>
              <w:tabs>
                <w:tab w:val="left" w:pos="4536"/>
              </w:tabs>
              <w:spacing w:before="60" w:after="60" w:line="240" w:lineRule="auto"/>
              <w:ind w:left="58"/>
              <w:rPr>
                <w:sz w:val="18"/>
                <w:szCs w:val="18"/>
              </w:rPr>
            </w:pPr>
            <w:r w:rsidRPr="00F25D08">
              <w:rPr>
                <w:sz w:val="18"/>
                <w:szCs w:val="18"/>
              </w:rPr>
              <w:t xml:space="preserve">Г-н Андреас Возинис </w:t>
            </w:r>
            <w:r w:rsidR="007D0E27" w:rsidRPr="00F25D08">
              <w:rPr>
                <w:sz w:val="18"/>
                <w:szCs w:val="18"/>
              </w:rPr>
              <w:br/>
            </w:r>
            <w:r w:rsidRPr="00F25D08">
              <w:rPr>
                <w:sz w:val="18"/>
                <w:szCs w:val="18"/>
              </w:rPr>
              <w:t>(Генеральный директорат по вопросам роста, Европейская комиссия)</w:t>
            </w:r>
            <w:r w:rsidRPr="00F25D08">
              <w:rPr>
                <w:sz w:val="18"/>
                <w:szCs w:val="18"/>
              </w:rPr>
              <w:br/>
              <w:t xml:space="preserve">Тел: + 32 2 2992116 </w:t>
            </w:r>
          </w:p>
          <w:p w:rsidR="0066551B" w:rsidRPr="00F25D08" w:rsidRDefault="0066551B" w:rsidP="004F543D">
            <w:pPr>
              <w:keepNext/>
              <w:keepLines/>
              <w:tabs>
                <w:tab w:val="left" w:pos="4536"/>
              </w:tabs>
              <w:spacing w:before="60" w:after="60" w:line="240" w:lineRule="auto"/>
              <w:ind w:left="58"/>
              <w:rPr>
                <w:sz w:val="18"/>
                <w:szCs w:val="18"/>
              </w:rPr>
            </w:pPr>
            <w:r w:rsidRPr="00F25D08">
              <w:rPr>
                <w:sz w:val="18"/>
                <w:szCs w:val="18"/>
              </w:rPr>
              <w:t xml:space="preserve">Эл. почта: andreas.vosinis@ec.europa.eu </w:t>
            </w:r>
          </w:p>
        </w:tc>
        <w:tc>
          <w:tcPr>
            <w:tcW w:w="142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6551B" w:rsidRPr="00F25D08" w:rsidRDefault="0066551B" w:rsidP="004F543D">
            <w:pPr>
              <w:tabs>
                <w:tab w:val="left" w:pos="5103"/>
              </w:tabs>
              <w:spacing w:before="60" w:after="60" w:line="240" w:lineRule="auto"/>
              <w:ind w:left="58"/>
              <w:rPr>
                <w:sz w:val="18"/>
                <w:szCs w:val="18"/>
              </w:rPr>
            </w:pPr>
            <w:r w:rsidRPr="00F25D08">
              <w:rPr>
                <w:sz w:val="18"/>
                <w:szCs w:val="18"/>
              </w:rPr>
              <w:t>Декабрь 2016</w:t>
            </w:r>
            <w:r w:rsidR="00677863" w:rsidRPr="00F25D08">
              <w:rPr>
                <w:sz w:val="18"/>
                <w:szCs w:val="18"/>
              </w:rPr>
              <w:t> год</w:t>
            </w:r>
            <w:r w:rsidRPr="00F25D08">
              <w:rPr>
                <w:sz w:val="18"/>
                <w:szCs w:val="18"/>
              </w:rPr>
              <w:t>а</w:t>
            </w:r>
          </w:p>
        </w:tc>
      </w:tr>
      <w:tr w:rsidR="0066551B" w:rsidRPr="00F25D08" w:rsidTr="007D0E27">
        <w:trPr>
          <w:trHeight w:val="20"/>
        </w:trPr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6551B" w:rsidRPr="00F25D08" w:rsidRDefault="0066551B" w:rsidP="004F543D">
            <w:pPr>
              <w:tabs>
                <w:tab w:val="left" w:pos="5103"/>
              </w:tabs>
              <w:spacing w:before="60" w:after="60" w:line="240" w:lineRule="auto"/>
              <w:ind w:left="58"/>
              <w:rPr>
                <w:sz w:val="18"/>
                <w:szCs w:val="18"/>
              </w:rPr>
            </w:pPr>
            <w:r w:rsidRPr="00F25D08">
              <w:rPr>
                <w:sz w:val="18"/>
                <w:szCs w:val="18"/>
              </w:rPr>
              <w:t>Правила, каса</w:t>
            </w:r>
            <w:r w:rsidRPr="00F25D08">
              <w:rPr>
                <w:sz w:val="18"/>
                <w:szCs w:val="18"/>
              </w:rPr>
              <w:t>ю</w:t>
            </w:r>
            <w:r w:rsidRPr="00F25D08">
              <w:rPr>
                <w:sz w:val="18"/>
                <w:szCs w:val="18"/>
              </w:rPr>
              <w:t>щиеся БАТС, в</w:t>
            </w:r>
            <w:r w:rsidR="00677863" w:rsidRPr="00F25D08">
              <w:rPr>
                <w:sz w:val="18"/>
                <w:szCs w:val="18"/>
              </w:rPr>
              <w:t> </w:t>
            </w:r>
            <w:r w:rsidRPr="00F25D08">
              <w:rPr>
                <w:sz w:val="18"/>
                <w:szCs w:val="18"/>
              </w:rPr>
              <w:t>рамках Согл</w:t>
            </w:r>
            <w:r w:rsidRPr="00F25D08">
              <w:rPr>
                <w:sz w:val="18"/>
                <w:szCs w:val="18"/>
              </w:rPr>
              <w:t>а</w:t>
            </w:r>
            <w:r w:rsidRPr="00F25D08">
              <w:rPr>
                <w:sz w:val="18"/>
                <w:szCs w:val="18"/>
              </w:rPr>
              <w:t xml:space="preserve">шения 1958 года </w:t>
            </w:r>
          </w:p>
        </w:tc>
        <w:tc>
          <w:tcPr>
            <w:tcW w:w="2745" w:type="dxa"/>
            <w:tcBorders>
              <w:bottom w:val="single" w:sz="12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6551B" w:rsidRPr="00F25D08" w:rsidRDefault="0066551B" w:rsidP="004F543D">
            <w:pPr>
              <w:keepNext/>
              <w:keepLines/>
              <w:tabs>
                <w:tab w:val="left" w:pos="4536"/>
              </w:tabs>
              <w:spacing w:before="60" w:after="60" w:line="240" w:lineRule="auto"/>
              <w:ind w:left="58"/>
              <w:rPr>
                <w:sz w:val="18"/>
                <w:szCs w:val="18"/>
              </w:rPr>
            </w:pPr>
            <w:r w:rsidRPr="00F25D08">
              <w:rPr>
                <w:sz w:val="18"/>
                <w:szCs w:val="18"/>
              </w:rPr>
              <w:t>Г-н Бернд Шюттлер (Германия)</w:t>
            </w:r>
          </w:p>
          <w:p w:rsidR="0066551B" w:rsidRPr="00F25D08" w:rsidRDefault="0066551B" w:rsidP="004F543D">
            <w:pPr>
              <w:keepNext/>
              <w:keepLines/>
              <w:tabs>
                <w:tab w:val="left" w:pos="4536"/>
              </w:tabs>
              <w:spacing w:before="60" w:after="60" w:line="240" w:lineRule="auto"/>
              <w:ind w:left="58"/>
              <w:rPr>
                <w:sz w:val="18"/>
                <w:szCs w:val="18"/>
              </w:rPr>
            </w:pPr>
            <w:r w:rsidRPr="00F25D08">
              <w:rPr>
                <w:sz w:val="18"/>
                <w:szCs w:val="18"/>
              </w:rPr>
              <w:t>Тел.: +49 228 99300 4372</w:t>
            </w:r>
          </w:p>
          <w:p w:rsidR="0066551B" w:rsidRPr="00F25D08" w:rsidRDefault="0066551B" w:rsidP="004F543D">
            <w:pPr>
              <w:keepNext/>
              <w:keepLines/>
              <w:tabs>
                <w:tab w:val="left" w:pos="4536"/>
              </w:tabs>
              <w:spacing w:before="60" w:after="60" w:line="240" w:lineRule="auto"/>
              <w:ind w:left="58"/>
              <w:rPr>
                <w:sz w:val="18"/>
                <w:szCs w:val="18"/>
              </w:rPr>
            </w:pPr>
            <w:r w:rsidRPr="00F25D08">
              <w:rPr>
                <w:sz w:val="18"/>
                <w:szCs w:val="18"/>
              </w:rPr>
              <w:t>Факс: +49 228 99300807 4372</w:t>
            </w:r>
          </w:p>
          <w:p w:rsidR="0066551B" w:rsidRPr="00F25D08" w:rsidRDefault="0066551B" w:rsidP="004F543D">
            <w:pPr>
              <w:keepNext/>
              <w:keepLines/>
              <w:tabs>
                <w:tab w:val="left" w:pos="4536"/>
              </w:tabs>
              <w:spacing w:before="60" w:after="60" w:line="240" w:lineRule="auto"/>
              <w:ind w:left="58"/>
              <w:rPr>
                <w:sz w:val="18"/>
                <w:szCs w:val="18"/>
              </w:rPr>
            </w:pPr>
            <w:r w:rsidRPr="00F25D08">
              <w:rPr>
                <w:sz w:val="18"/>
                <w:szCs w:val="18"/>
              </w:rPr>
              <w:t>Эл. почта: bernd.schuettler@bmvi.bund.de</w:t>
            </w:r>
          </w:p>
          <w:p w:rsidR="0066551B" w:rsidRPr="00F25D08" w:rsidRDefault="0066551B" w:rsidP="004F543D">
            <w:pPr>
              <w:keepNext/>
              <w:keepLines/>
              <w:tabs>
                <w:tab w:val="left" w:pos="4536"/>
              </w:tabs>
              <w:spacing w:before="60" w:after="60" w:line="240" w:lineRule="auto"/>
              <w:ind w:left="58"/>
              <w:rPr>
                <w:sz w:val="18"/>
                <w:szCs w:val="18"/>
              </w:rPr>
            </w:pPr>
            <w:r w:rsidRPr="00F25D08">
              <w:rPr>
                <w:sz w:val="18"/>
                <w:szCs w:val="18"/>
              </w:rPr>
              <w:t xml:space="preserve">Г-н Луи-Фердинан Пардо (Франция) </w:t>
            </w:r>
          </w:p>
          <w:p w:rsidR="0066551B" w:rsidRPr="00F25D08" w:rsidRDefault="0066551B" w:rsidP="004F543D">
            <w:pPr>
              <w:keepNext/>
              <w:keepLines/>
              <w:tabs>
                <w:tab w:val="left" w:pos="4536"/>
              </w:tabs>
              <w:spacing w:before="60" w:after="60" w:line="240" w:lineRule="auto"/>
              <w:ind w:left="58"/>
              <w:rPr>
                <w:sz w:val="18"/>
                <w:szCs w:val="18"/>
              </w:rPr>
            </w:pPr>
            <w:r w:rsidRPr="00F25D08">
              <w:rPr>
                <w:sz w:val="18"/>
                <w:szCs w:val="18"/>
              </w:rPr>
              <w:t>Тел.: +33 1 69 80 17 66</w:t>
            </w:r>
          </w:p>
          <w:p w:rsidR="0066551B" w:rsidRPr="00F25D08" w:rsidRDefault="0066551B" w:rsidP="004F543D">
            <w:pPr>
              <w:keepNext/>
              <w:keepLines/>
              <w:tabs>
                <w:tab w:val="left" w:pos="4536"/>
              </w:tabs>
              <w:spacing w:before="60" w:after="60" w:line="240" w:lineRule="auto"/>
              <w:ind w:left="58"/>
              <w:rPr>
                <w:sz w:val="18"/>
                <w:szCs w:val="18"/>
              </w:rPr>
            </w:pPr>
            <w:r w:rsidRPr="00F25D08">
              <w:rPr>
                <w:sz w:val="18"/>
                <w:szCs w:val="18"/>
              </w:rPr>
              <w:t>Факс: +33 1 69 80 17 09</w:t>
            </w:r>
          </w:p>
          <w:p w:rsidR="0066551B" w:rsidRPr="00F25D08" w:rsidRDefault="0066551B" w:rsidP="004F543D">
            <w:pPr>
              <w:keepNext/>
              <w:keepLines/>
              <w:tabs>
                <w:tab w:val="left" w:pos="4536"/>
              </w:tabs>
              <w:spacing w:before="60" w:after="60" w:line="240" w:lineRule="auto"/>
              <w:ind w:left="58"/>
              <w:rPr>
                <w:sz w:val="18"/>
                <w:szCs w:val="18"/>
              </w:rPr>
            </w:pPr>
            <w:r w:rsidRPr="00F25D08">
              <w:rPr>
                <w:sz w:val="18"/>
                <w:szCs w:val="18"/>
              </w:rPr>
              <w:t>Эл. почта: louis-ferdinand.pardo@utaceram.com</w:t>
            </w:r>
          </w:p>
          <w:p w:rsidR="0066551B" w:rsidRPr="00F25D08" w:rsidRDefault="0066551B" w:rsidP="004F543D">
            <w:pPr>
              <w:keepNext/>
              <w:keepLines/>
              <w:tabs>
                <w:tab w:val="left" w:pos="4536"/>
              </w:tabs>
              <w:spacing w:before="60" w:after="60" w:line="240" w:lineRule="auto"/>
              <w:ind w:left="58"/>
              <w:rPr>
                <w:sz w:val="18"/>
                <w:szCs w:val="18"/>
              </w:rPr>
            </w:pPr>
            <w:r w:rsidRPr="00F25D08">
              <w:rPr>
                <w:sz w:val="18"/>
                <w:szCs w:val="18"/>
              </w:rPr>
              <w:t>Г-н Ичиро Сакамото (Япония)</w:t>
            </w:r>
          </w:p>
          <w:p w:rsidR="0066551B" w:rsidRPr="00F25D08" w:rsidRDefault="0066551B" w:rsidP="004F543D">
            <w:pPr>
              <w:keepNext/>
              <w:keepLines/>
              <w:tabs>
                <w:tab w:val="left" w:pos="4536"/>
              </w:tabs>
              <w:spacing w:before="60" w:after="60" w:line="240" w:lineRule="auto"/>
              <w:ind w:left="58"/>
              <w:rPr>
                <w:sz w:val="18"/>
                <w:szCs w:val="18"/>
              </w:rPr>
            </w:pPr>
            <w:r w:rsidRPr="00F25D08">
              <w:rPr>
                <w:sz w:val="18"/>
                <w:szCs w:val="18"/>
              </w:rPr>
              <w:t>Тел.: +81 422 41 66 18</w:t>
            </w:r>
          </w:p>
          <w:p w:rsidR="0066551B" w:rsidRPr="00F25D08" w:rsidRDefault="0066551B" w:rsidP="004F543D">
            <w:pPr>
              <w:keepNext/>
              <w:keepLines/>
              <w:tabs>
                <w:tab w:val="left" w:pos="4536"/>
              </w:tabs>
              <w:spacing w:before="60" w:after="60" w:line="240" w:lineRule="auto"/>
              <w:ind w:left="58"/>
              <w:rPr>
                <w:sz w:val="18"/>
                <w:szCs w:val="18"/>
              </w:rPr>
            </w:pPr>
            <w:r w:rsidRPr="00F25D08">
              <w:rPr>
                <w:sz w:val="18"/>
                <w:szCs w:val="18"/>
              </w:rPr>
              <w:t>Факс: +81 422 76 86 04</w:t>
            </w:r>
          </w:p>
          <w:p w:rsidR="0066551B" w:rsidRPr="00F25D08" w:rsidRDefault="0066551B" w:rsidP="004F543D">
            <w:pPr>
              <w:keepNext/>
              <w:keepLines/>
              <w:tabs>
                <w:tab w:val="left" w:pos="4536"/>
              </w:tabs>
              <w:spacing w:before="60" w:after="60" w:line="240" w:lineRule="auto"/>
              <w:ind w:left="58"/>
              <w:rPr>
                <w:sz w:val="18"/>
                <w:szCs w:val="18"/>
              </w:rPr>
            </w:pPr>
            <w:r w:rsidRPr="00F25D08">
              <w:rPr>
                <w:sz w:val="18"/>
                <w:szCs w:val="18"/>
              </w:rPr>
              <w:t>Эл. почта: i-saka@ntsel.go.jp</w:t>
            </w:r>
          </w:p>
        </w:tc>
        <w:tc>
          <w:tcPr>
            <w:tcW w:w="2745" w:type="dxa"/>
            <w:tcBorders>
              <w:bottom w:val="single" w:sz="12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6551B" w:rsidRPr="00F25D08" w:rsidRDefault="0066551B" w:rsidP="004F543D">
            <w:pPr>
              <w:keepNext/>
              <w:keepLines/>
              <w:tabs>
                <w:tab w:val="left" w:pos="4536"/>
              </w:tabs>
              <w:spacing w:before="60" w:after="60" w:line="240" w:lineRule="auto"/>
              <w:ind w:left="58"/>
              <w:rPr>
                <w:sz w:val="18"/>
                <w:szCs w:val="18"/>
              </w:rPr>
            </w:pPr>
            <w:r w:rsidRPr="00F25D08">
              <w:rPr>
                <w:sz w:val="18"/>
                <w:szCs w:val="18"/>
              </w:rPr>
              <w:t>Г-н Ханс-Петер Битенбек</w:t>
            </w:r>
          </w:p>
          <w:p w:rsidR="0066551B" w:rsidRPr="00F25D08" w:rsidRDefault="0066551B" w:rsidP="004F543D">
            <w:pPr>
              <w:keepNext/>
              <w:keepLines/>
              <w:tabs>
                <w:tab w:val="left" w:pos="4536"/>
              </w:tabs>
              <w:spacing w:before="60" w:after="60" w:line="240" w:lineRule="auto"/>
              <w:ind w:left="58"/>
              <w:rPr>
                <w:sz w:val="18"/>
                <w:szCs w:val="18"/>
              </w:rPr>
            </w:pPr>
            <w:r w:rsidRPr="00F25D08">
              <w:rPr>
                <w:sz w:val="18"/>
                <w:szCs w:val="18"/>
              </w:rPr>
              <w:t>(МОПАП)</w:t>
            </w:r>
          </w:p>
          <w:p w:rsidR="0066551B" w:rsidRPr="00F25D08" w:rsidRDefault="0066551B" w:rsidP="004F543D">
            <w:pPr>
              <w:keepNext/>
              <w:keepLines/>
              <w:tabs>
                <w:tab w:val="left" w:pos="4536"/>
              </w:tabs>
              <w:spacing w:before="60" w:after="60" w:line="240" w:lineRule="auto"/>
              <w:ind w:left="58"/>
              <w:rPr>
                <w:sz w:val="18"/>
                <w:szCs w:val="18"/>
              </w:rPr>
            </w:pPr>
            <w:r w:rsidRPr="00F25D08">
              <w:rPr>
                <w:sz w:val="18"/>
                <w:szCs w:val="18"/>
              </w:rPr>
              <w:t>Тел.: +49 221 903 24 09</w:t>
            </w:r>
          </w:p>
          <w:p w:rsidR="0066551B" w:rsidRPr="00F25D08" w:rsidRDefault="0066551B" w:rsidP="004F543D">
            <w:pPr>
              <w:keepNext/>
              <w:keepLines/>
              <w:tabs>
                <w:tab w:val="left" w:pos="4536"/>
              </w:tabs>
              <w:spacing w:before="60" w:after="60" w:line="240" w:lineRule="auto"/>
              <w:ind w:left="58"/>
              <w:rPr>
                <w:sz w:val="18"/>
                <w:szCs w:val="18"/>
              </w:rPr>
            </w:pPr>
            <w:r w:rsidRPr="00F25D08">
              <w:rPr>
                <w:sz w:val="18"/>
                <w:szCs w:val="18"/>
              </w:rPr>
              <w:t>Факс: +49 221 903 25 46</w:t>
            </w:r>
          </w:p>
          <w:p w:rsidR="0066551B" w:rsidRPr="00F25D08" w:rsidRDefault="0066551B" w:rsidP="004F543D">
            <w:pPr>
              <w:keepNext/>
              <w:keepLines/>
              <w:tabs>
                <w:tab w:val="left" w:pos="4536"/>
              </w:tabs>
              <w:spacing w:before="60" w:after="60" w:line="240" w:lineRule="auto"/>
              <w:ind w:left="58"/>
              <w:rPr>
                <w:sz w:val="18"/>
                <w:szCs w:val="18"/>
              </w:rPr>
            </w:pPr>
            <w:r w:rsidRPr="00F25D08">
              <w:rPr>
                <w:sz w:val="18"/>
                <w:szCs w:val="18"/>
              </w:rPr>
              <w:t xml:space="preserve">Эл. почта: hbietenb@ford.com </w:t>
            </w:r>
          </w:p>
        </w:tc>
        <w:tc>
          <w:tcPr>
            <w:tcW w:w="1426" w:type="dxa"/>
            <w:tcBorders>
              <w:bottom w:val="single" w:sz="1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6551B" w:rsidRPr="00F25D08" w:rsidRDefault="0066551B" w:rsidP="004F543D">
            <w:pPr>
              <w:keepNext/>
              <w:keepLines/>
              <w:tabs>
                <w:tab w:val="left" w:pos="4536"/>
              </w:tabs>
              <w:spacing w:before="60" w:after="60" w:line="240" w:lineRule="auto"/>
              <w:ind w:left="58"/>
              <w:rPr>
                <w:sz w:val="18"/>
                <w:szCs w:val="18"/>
              </w:rPr>
            </w:pPr>
            <w:r w:rsidRPr="00F25D08">
              <w:rPr>
                <w:sz w:val="18"/>
                <w:szCs w:val="18"/>
              </w:rPr>
              <w:t>Декабрь 2016</w:t>
            </w:r>
            <w:r w:rsidR="00677863" w:rsidRPr="00F25D08">
              <w:rPr>
                <w:sz w:val="18"/>
                <w:szCs w:val="18"/>
              </w:rPr>
              <w:t> год</w:t>
            </w:r>
            <w:r w:rsidRPr="00F25D08">
              <w:rPr>
                <w:sz w:val="18"/>
                <w:szCs w:val="18"/>
              </w:rPr>
              <w:t>а</w:t>
            </w:r>
          </w:p>
        </w:tc>
      </w:tr>
    </w:tbl>
    <w:p w:rsidR="0066551B" w:rsidRPr="00F25D08" w:rsidRDefault="0066551B" w:rsidP="0066551B">
      <w:pPr>
        <w:spacing w:before="240"/>
        <w:jc w:val="center"/>
        <w:rPr>
          <w:u w:val="single"/>
        </w:rPr>
      </w:pPr>
      <w:r w:rsidRPr="00F25D08">
        <w:rPr>
          <w:u w:val="single"/>
        </w:rPr>
        <w:tab/>
      </w:r>
      <w:r w:rsidRPr="00F25D08">
        <w:rPr>
          <w:u w:val="single"/>
        </w:rPr>
        <w:tab/>
      </w:r>
      <w:r w:rsidRPr="00F25D08">
        <w:rPr>
          <w:u w:val="single"/>
        </w:rPr>
        <w:tab/>
      </w:r>
    </w:p>
    <w:sectPr w:rsidR="0066551B" w:rsidRPr="00F25D08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AA" w:rsidRDefault="00D942AA" w:rsidP="00B471C5">
      <w:r>
        <w:separator/>
      </w:r>
    </w:p>
  </w:endnote>
  <w:endnote w:type="continuationSeparator" w:id="0">
    <w:p w:rsidR="00D942AA" w:rsidRDefault="00D942A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AA" w:rsidRPr="009A6F4A" w:rsidRDefault="00D942AA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F553E">
      <w:rPr>
        <w:b/>
        <w:noProof/>
        <w:sz w:val="18"/>
        <w:szCs w:val="18"/>
      </w:rPr>
      <w:t>18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Pr="007D0E27">
      <w:rPr>
        <w:lang w:val="en-US"/>
      </w:rPr>
      <w:t>03621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AA" w:rsidRPr="009A6F4A" w:rsidRDefault="00D942AA" w:rsidP="007005EE">
    <w:pPr>
      <w:pStyle w:val="Footer"/>
      <w:rPr>
        <w:lang w:val="en-US"/>
      </w:rPr>
    </w:pPr>
    <w:r>
      <w:rPr>
        <w:lang w:val="en-US"/>
      </w:rPr>
      <w:t>GE.16</w:t>
    </w:r>
    <w:r w:rsidRPr="007D0E27">
      <w:rPr>
        <w:lang w:val="en-US"/>
      </w:rPr>
      <w:t>-03621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F553E">
      <w:rPr>
        <w:b/>
        <w:noProof/>
        <w:sz w:val="18"/>
        <w:szCs w:val="18"/>
      </w:rPr>
      <w:t>19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D942AA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D942AA" w:rsidRPr="007D0E27" w:rsidRDefault="00D942AA" w:rsidP="007D0E27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Pr="007D0E27">
            <w:rPr>
              <w:lang w:val="en-US"/>
            </w:rPr>
            <w:t>03621</w:t>
          </w:r>
          <w:r w:rsidRPr="001C3ABC">
            <w:rPr>
              <w:lang w:val="en-US"/>
            </w:rPr>
            <w:t xml:space="preserve"> (R)</w:t>
          </w:r>
          <w:r>
            <w:t xml:space="preserve">   </w:t>
          </w:r>
          <w:r>
            <w:rPr>
              <w:lang w:val="en-US"/>
            </w:rPr>
            <w:t>030616   060616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D942AA" w:rsidRDefault="00D942AA" w:rsidP="0066551B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D942AA" w:rsidRDefault="00D942AA" w:rsidP="0066551B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B/6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B/6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942AA" w:rsidRPr="00797A78" w:rsidTr="0066551B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D942AA" w:rsidRPr="007D0E27" w:rsidRDefault="00D942AA" w:rsidP="0066551B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D0E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D0E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D0E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D0E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D0E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7D0E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D0E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7D0E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D0E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D942AA" w:rsidRDefault="00D942AA" w:rsidP="0066551B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D942AA" w:rsidRDefault="00D942AA" w:rsidP="0066551B"/>
      </w:tc>
    </w:tr>
  </w:tbl>
  <w:p w:rsidR="00D942AA" w:rsidRPr="007005EE" w:rsidRDefault="00D942AA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AA" w:rsidRPr="009141DC" w:rsidRDefault="00D942A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D942AA" w:rsidRPr="00D1261C" w:rsidRDefault="00D942A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942AA" w:rsidRPr="00991BFB" w:rsidRDefault="00D942AA" w:rsidP="00BF0148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 xml:space="preserve">См. по адресу https://ec.europa.eu/eusurvey/runner/noise.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AA" w:rsidRPr="007005EE" w:rsidRDefault="00D942AA">
    <w:pPr>
      <w:pStyle w:val="Header"/>
      <w:rPr>
        <w:lang w:val="en-US"/>
      </w:rPr>
    </w:pPr>
    <w:r w:rsidRPr="007D0E27">
      <w:rPr>
        <w:lang w:val="en-US"/>
      </w:rPr>
      <w:t>ECE/TRANS/WP.29/GRB/61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AA" w:rsidRPr="004D639B" w:rsidRDefault="00D942AA" w:rsidP="007005EE">
    <w:pPr>
      <w:pStyle w:val="Header"/>
      <w:jc w:val="right"/>
      <w:rPr>
        <w:lang w:val="en-US"/>
      </w:rPr>
    </w:pPr>
    <w:r w:rsidRPr="007D0E27">
      <w:rPr>
        <w:lang w:val="en-US"/>
      </w:rPr>
      <w:t>ECE/TRANS/WP.29/GRB/61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48"/>
    <w:rsid w:val="00002611"/>
    <w:rsid w:val="000450D1"/>
    <w:rsid w:val="000870BF"/>
    <w:rsid w:val="000B1FD5"/>
    <w:rsid w:val="000F2A4F"/>
    <w:rsid w:val="00187BCB"/>
    <w:rsid w:val="00203F84"/>
    <w:rsid w:val="00275188"/>
    <w:rsid w:val="0028687D"/>
    <w:rsid w:val="002B091C"/>
    <w:rsid w:val="002B3D40"/>
    <w:rsid w:val="002D0CCB"/>
    <w:rsid w:val="00345C79"/>
    <w:rsid w:val="00366A39"/>
    <w:rsid w:val="004022C5"/>
    <w:rsid w:val="00430428"/>
    <w:rsid w:val="0048005C"/>
    <w:rsid w:val="004D639B"/>
    <w:rsid w:val="004E242B"/>
    <w:rsid w:val="004F543D"/>
    <w:rsid w:val="00544379"/>
    <w:rsid w:val="00566944"/>
    <w:rsid w:val="0057786C"/>
    <w:rsid w:val="005D56BF"/>
    <w:rsid w:val="005D7C2C"/>
    <w:rsid w:val="005F553E"/>
    <w:rsid w:val="0062027E"/>
    <w:rsid w:val="00643644"/>
    <w:rsid w:val="006546F9"/>
    <w:rsid w:val="0066551B"/>
    <w:rsid w:val="00665D8D"/>
    <w:rsid w:val="00677863"/>
    <w:rsid w:val="006A7A3B"/>
    <w:rsid w:val="006B6B57"/>
    <w:rsid w:val="006C4E4C"/>
    <w:rsid w:val="006F49F1"/>
    <w:rsid w:val="007005EE"/>
    <w:rsid w:val="00705394"/>
    <w:rsid w:val="00743F62"/>
    <w:rsid w:val="00760D3A"/>
    <w:rsid w:val="00773BA8"/>
    <w:rsid w:val="007A1F42"/>
    <w:rsid w:val="007D0E27"/>
    <w:rsid w:val="007D76DD"/>
    <w:rsid w:val="008717E8"/>
    <w:rsid w:val="008D01AE"/>
    <w:rsid w:val="008E0423"/>
    <w:rsid w:val="00907D1D"/>
    <w:rsid w:val="009141DC"/>
    <w:rsid w:val="009174A1"/>
    <w:rsid w:val="0098674D"/>
    <w:rsid w:val="00997ACA"/>
    <w:rsid w:val="00997C82"/>
    <w:rsid w:val="00A03FB7"/>
    <w:rsid w:val="00A55C56"/>
    <w:rsid w:val="00A658DB"/>
    <w:rsid w:val="00A75A11"/>
    <w:rsid w:val="00A9606E"/>
    <w:rsid w:val="00AC380B"/>
    <w:rsid w:val="00AD7EAD"/>
    <w:rsid w:val="00B2452B"/>
    <w:rsid w:val="00B35A32"/>
    <w:rsid w:val="00B432C6"/>
    <w:rsid w:val="00B471C5"/>
    <w:rsid w:val="00B6474A"/>
    <w:rsid w:val="00BE1742"/>
    <w:rsid w:val="00BF0148"/>
    <w:rsid w:val="00D1261C"/>
    <w:rsid w:val="00D26030"/>
    <w:rsid w:val="00D75DCE"/>
    <w:rsid w:val="00D942AA"/>
    <w:rsid w:val="00DD35AC"/>
    <w:rsid w:val="00DD479F"/>
    <w:rsid w:val="00DE0D0E"/>
    <w:rsid w:val="00E15E48"/>
    <w:rsid w:val="00EB0723"/>
    <w:rsid w:val="00EB2957"/>
    <w:rsid w:val="00EE1722"/>
    <w:rsid w:val="00EE6F37"/>
    <w:rsid w:val="00F1599F"/>
    <w:rsid w:val="00F2512E"/>
    <w:rsid w:val="00F25D08"/>
    <w:rsid w:val="00F26054"/>
    <w:rsid w:val="00F31EF2"/>
    <w:rsid w:val="00FC3DC2"/>
    <w:rsid w:val="00FE18F3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BF01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0148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5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3E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BF01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0148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5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3E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EA5D-4AEF-4EDB-B404-E98316DF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4632</Words>
  <Characters>26409</Characters>
  <Application>Microsoft Office Word</Application>
  <DocSecurity>4</DocSecurity>
  <Lines>220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Maykov</dc:creator>
  <cp:lastModifiedBy>Benedicte Boudol</cp:lastModifiedBy>
  <cp:revision>2</cp:revision>
  <cp:lastPrinted>2016-06-06T07:41:00Z</cp:lastPrinted>
  <dcterms:created xsi:type="dcterms:W3CDTF">2016-06-09T11:55:00Z</dcterms:created>
  <dcterms:modified xsi:type="dcterms:W3CDTF">2016-06-09T11:55:00Z</dcterms:modified>
</cp:coreProperties>
</file>