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F556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F5567" w:rsidP="00AF5567">
            <w:pPr>
              <w:jc w:val="right"/>
            </w:pPr>
            <w:r w:rsidRPr="00AF5567">
              <w:rPr>
                <w:sz w:val="40"/>
              </w:rPr>
              <w:t>ECE</w:t>
            </w:r>
            <w:r>
              <w:t>/TRANS/WP.29/2016/114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F5567" w:rsidP="00892A2F">
            <w:pPr>
              <w:spacing w:before="240"/>
            </w:pPr>
            <w:r>
              <w:t>Distr. générale</w:t>
            </w:r>
          </w:p>
          <w:p w:rsidR="00AF5567" w:rsidRDefault="00AF5567" w:rsidP="00AF5567">
            <w:pPr>
              <w:spacing w:line="240" w:lineRule="exact"/>
            </w:pPr>
            <w:r>
              <w:t>1</w:t>
            </w:r>
            <w:r w:rsidRPr="00AF5567">
              <w:rPr>
                <w:vertAlign w:val="superscript"/>
              </w:rPr>
              <w:t>er</w:t>
            </w:r>
            <w:r>
              <w:t xml:space="preserve"> septembre 2016</w:t>
            </w:r>
          </w:p>
          <w:p w:rsidR="00AF5567" w:rsidRDefault="00AF5567" w:rsidP="00AF5567">
            <w:pPr>
              <w:spacing w:line="240" w:lineRule="exact"/>
            </w:pPr>
            <w:r>
              <w:t>Français</w:t>
            </w:r>
          </w:p>
          <w:p w:rsidR="00AF5567" w:rsidRPr="00DB58B5" w:rsidRDefault="00AF5567" w:rsidP="00AF556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B670F" w:rsidRPr="001B670F" w:rsidRDefault="001B670F" w:rsidP="001B670F">
      <w:pPr>
        <w:spacing w:before="120" w:after="120"/>
        <w:rPr>
          <w:b/>
          <w:sz w:val="24"/>
          <w:szCs w:val="24"/>
          <w:lang w:val="fr-FR"/>
        </w:rPr>
      </w:pPr>
      <w:r w:rsidRPr="00807EE4">
        <w:rPr>
          <w:b/>
          <w:sz w:val="24"/>
          <w:szCs w:val="24"/>
          <w:lang w:val="fr-FR"/>
        </w:rPr>
        <w:t xml:space="preserve">Forum mondial de l’harmonisation des Règlements </w:t>
      </w:r>
      <w:r w:rsidRPr="00807EE4">
        <w:rPr>
          <w:b/>
          <w:sz w:val="24"/>
          <w:szCs w:val="24"/>
          <w:lang w:val="fr-FR"/>
        </w:rPr>
        <w:br/>
      </w:r>
      <w:r w:rsidRPr="001B670F">
        <w:rPr>
          <w:b/>
          <w:sz w:val="24"/>
          <w:szCs w:val="24"/>
          <w:lang w:val="fr-FR"/>
        </w:rPr>
        <w:t>concernant les véhicules</w:t>
      </w:r>
    </w:p>
    <w:p w:rsidR="001B670F" w:rsidRPr="00CB5996" w:rsidRDefault="001B670F" w:rsidP="001B670F">
      <w:pPr>
        <w:rPr>
          <w:b/>
          <w:lang w:val="fr-FR"/>
        </w:rPr>
      </w:pPr>
      <w:r w:rsidRPr="00CB5996">
        <w:rPr>
          <w:b/>
          <w:lang w:val="fr-FR"/>
        </w:rPr>
        <w:t>170</w:t>
      </w:r>
      <w:r w:rsidRPr="00CB5996">
        <w:rPr>
          <w:b/>
          <w:vertAlign w:val="superscript"/>
          <w:lang w:val="fr-FR"/>
        </w:rPr>
        <w:t>e</w:t>
      </w:r>
      <w:r w:rsidRPr="00CB5996">
        <w:rPr>
          <w:b/>
          <w:lang w:val="fr-FR"/>
        </w:rPr>
        <w:t xml:space="preserve"> session</w:t>
      </w:r>
    </w:p>
    <w:p w:rsidR="001B670F" w:rsidRPr="00CB5996" w:rsidRDefault="001B670F" w:rsidP="001B670F">
      <w:pPr>
        <w:rPr>
          <w:lang w:val="fr-FR"/>
        </w:rPr>
      </w:pPr>
      <w:r w:rsidRPr="00CB5996">
        <w:rPr>
          <w:lang w:val="fr-FR"/>
        </w:rPr>
        <w:t>Genève, 15-18 novembre 2016</w:t>
      </w:r>
    </w:p>
    <w:p w:rsidR="001B670F" w:rsidRPr="00CB5996" w:rsidRDefault="001B670F" w:rsidP="001B670F">
      <w:pPr>
        <w:rPr>
          <w:lang w:val="fr-FR"/>
        </w:rPr>
      </w:pPr>
      <w:r w:rsidRPr="00CB5996">
        <w:rPr>
          <w:lang w:val="fr-FR"/>
        </w:rPr>
        <w:t>Point 4.13.1 de l</w:t>
      </w:r>
      <w:r>
        <w:rPr>
          <w:lang w:val="fr-FR"/>
        </w:rPr>
        <w:t>’</w:t>
      </w:r>
      <w:r w:rsidRPr="00CB5996">
        <w:rPr>
          <w:lang w:val="fr-FR"/>
        </w:rPr>
        <w:t>ordre du jour provisoire</w:t>
      </w:r>
    </w:p>
    <w:p w:rsidR="001B670F" w:rsidRPr="00CB5996" w:rsidRDefault="001B670F" w:rsidP="001B670F">
      <w:pPr>
        <w:rPr>
          <w:b/>
          <w:lang w:val="fr-FR"/>
        </w:rPr>
      </w:pPr>
      <w:r w:rsidRPr="00CB5996">
        <w:rPr>
          <w:b/>
          <w:lang w:val="fr-FR"/>
        </w:rPr>
        <w:t>Accord de 1958</w:t>
      </w:r>
      <w:r w:rsidR="00740AAF">
        <w:rPr>
          <w:b/>
          <w:lang w:val="fr-FR"/>
        </w:rPr>
        <w:t> </w:t>
      </w:r>
      <w:r w:rsidRPr="00CB5996">
        <w:rPr>
          <w:b/>
          <w:lang w:val="fr-FR"/>
        </w:rPr>
        <w:t xml:space="preserve">: </w:t>
      </w:r>
      <w:r w:rsidRPr="00CB5996">
        <w:rPr>
          <w:b/>
          <w:lang w:val="fr-FR"/>
        </w:rPr>
        <w:br/>
        <w:t>Examen de propositions d</w:t>
      </w:r>
      <w:r>
        <w:rPr>
          <w:b/>
          <w:lang w:val="fr-FR"/>
        </w:rPr>
        <w:t>’</w:t>
      </w:r>
      <w:r w:rsidRPr="00CB5996">
        <w:rPr>
          <w:b/>
          <w:lang w:val="fr-FR"/>
        </w:rPr>
        <w:t xml:space="preserve">amendements à des Règlements existants </w:t>
      </w:r>
      <w:r>
        <w:rPr>
          <w:b/>
          <w:lang w:val="fr-FR"/>
        </w:rPr>
        <w:br/>
      </w:r>
      <w:r w:rsidRPr="00CB5996">
        <w:rPr>
          <w:b/>
          <w:lang w:val="fr-FR"/>
        </w:rPr>
        <w:t xml:space="preserve">soumises par les groupes de travail subsidiaires du Forum mondial </w:t>
      </w:r>
      <w:r>
        <w:rPr>
          <w:b/>
          <w:lang w:val="fr-FR"/>
        </w:rPr>
        <w:br/>
      </w:r>
      <w:r w:rsidRPr="00CB5996">
        <w:rPr>
          <w:b/>
          <w:lang w:val="fr-FR"/>
        </w:rPr>
        <w:t>pour examen à la session de novembre</w:t>
      </w:r>
      <w:r w:rsidR="006B3D7E">
        <w:rPr>
          <w:b/>
          <w:lang w:val="fr-FR"/>
        </w:rPr>
        <w:t xml:space="preserve"> 2016</w:t>
      </w:r>
    </w:p>
    <w:p w:rsidR="001B670F" w:rsidRPr="00CB5996" w:rsidRDefault="001B670F" w:rsidP="001B670F">
      <w:pPr>
        <w:pStyle w:val="HChG"/>
        <w:rPr>
          <w:lang w:val="fr-FR"/>
        </w:rPr>
      </w:pPr>
      <w:r w:rsidRPr="00CB5996">
        <w:rPr>
          <w:lang w:val="fr-FR"/>
        </w:rPr>
        <w:tab/>
      </w:r>
      <w:r w:rsidRPr="00CB5996">
        <w:rPr>
          <w:lang w:val="fr-FR"/>
        </w:rPr>
        <w:tab/>
        <w:t>Proposition de série 04 d</w:t>
      </w:r>
      <w:r>
        <w:rPr>
          <w:lang w:val="fr-FR"/>
        </w:rPr>
        <w:t>’</w:t>
      </w:r>
      <w:r w:rsidRPr="00CB5996">
        <w:rPr>
          <w:lang w:val="fr-FR"/>
        </w:rPr>
        <w:t xml:space="preserve">amendements au Règlement </w:t>
      </w:r>
      <w:r w:rsidR="00322644" w:rsidRPr="00322644">
        <w:rPr>
          <w:rFonts w:eastAsia="MS Mincho"/>
          <w:lang w:val="fr-FR"/>
        </w:rPr>
        <w:t>n</w:t>
      </w:r>
      <w:r w:rsidR="00322644" w:rsidRPr="00322644">
        <w:rPr>
          <w:rFonts w:eastAsia="MS Mincho"/>
          <w:vertAlign w:val="superscript"/>
          <w:lang w:val="fr-FR"/>
        </w:rPr>
        <w:t>o</w:t>
      </w:r>
      <w:r w:rsidR="00322644">
        <w:rPr>
          <w:lang w:val="fr-FR"/>
        </w:rPr>
        <w:t> </w:t>
      </w:r>
      <w:r w:rsidRPr="00CB5996">
        <w:rPr>
          <w:lang w:val="fr-FR"/>
        </w:rPr>
        <w:t xml:space="preserve">78 </w:t>
      </w:r>
      <w:r w:rsidR="00322644">
        <w:rPr>
          <w:lang w:val="fr-FR"/>
        </w:rPr>
        <w:t>(</w:t>
      </w:r>
      <w:r>
        <w:rPr>
          <w:lang w:val="fr-FR"/>
        </w:rPr>
        <w:t>Freinage (</w:t>
      </w:r>
      <w:r w:rsidRPr="00CB5996">
        <w:rPr>
          <w:lang w:val="fr-FR"/>
        </w:rPr>
        <w:t>véhicules des catégories L</w:t>
      </w:r>
      <w:r>
        <w:rPr>
          <w:lang w:val="fr-FR"/>
        </w:rPr>
        <w:t>)</w:t>
      </w:r>
      <w:r w:rsidR="00322644">
        <w:rPr>
          <w:lang w:val="fr-FR"/>
        </w:rPr>
        <w:t>)</w:t>
      </w:r>
    </w:p>
    <w:p w:rsidR="001B670F" w:rsidRPr="00CB5996" w:rsidRDefault="001B670F" w:rsidP="001B670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B5996">
        <w:rPr>
          <w:lang w:val="fr-FR"/>
        </w:rPr>
        <w:t xml:space="preserve">Communication du Groupe de travail en matière </w:t>
      </w:r>
      <w:r>
        <w:rPr>
          <w:lang w:val="fr-FR"/>
        </w:rPr>
        <w:br/>
      </w:r>
      <w:r w:rsidRPr="00CB5996">
        <w:rPr>
          <w:lang w:val="fr-FR"/>
        </w:rPr>
        <w:t>de roulement et de freinage</w:t>
      </w:r>
      <w:r w:rsidRPr="001B670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B670F" w:rsidRPr="00CB5996" w:rsidRDefault="001B670F" w:rsidP="001B670F">
      <w:pPr>
        <w:pStyle w:val="SingleTxtG"/>
        <w:rPr>
          <w:lang w:val="fr-FR"/>
        </w:rPr>
      </w:pPr>
      <w:r>
        <w:rPr>
          <w:lang w:val="fr-FR"/>
        </w:rPr>
        <w:tab/>
      </w:r>
      <w:r w:rsidRPr="00CB5996">
        <w:rPr>
          <w:lang w:val="fr-FR"/>
        </w:rPr>
        <w:t>Le texte ci-après</w:t>
      </w:r>
      <w:r>
        <w:rPr>
          <w:lang w:val="fr-FR"/>
        </w:rPr>
        <w:t>,</w:t>
      </w:r>
      <w:r w:rsidRPr="00CB5996">
        <w:rPr>
          <w:lang w:val="fr-FR"/>
        </w:rPr>
        <w:t xml:space="preserve"> adopté par le Groupe de travail en matière de roulement et de freinage (GRRF) à sa quatre-vingt unième session (</w:t>
      </w:r>
      <w:r w:rsidR="00322644">
        <w:rPr>
          <w:lang w:val="fr-FR"/>
        </w:rPr>
        <w:t>ECE/TRANS/WP.29/GRRF/81, par. </w:t>
      </w:r>
      <w:r w:rsidRPr="00CB5996">
        <w:rPr>
          <w:lang w:val="fr-FR"/>
        </w:rPr>
        <w:t>21 à 23)</w:t>
      </w:r>
      <w:r>
        <w:rPr>
          <w:lang w:val="fr-FR" w:eastAsia="it-IT"/>
        </w:rPr>
        <w:t xml:space="preserve">, </w:t>
      </w:r>
      <w:r w:rsidRPr="00CB5996">
        <w:rPr>
          <w:lang w:val="fr-FR" w:eastAsia="ja-JP"/>
        </w:rPr>
        <w:t>est fondé sur l</w:t>
      </w:r>
      <w:r>
        <w:rPr>
          <w:lang w:val="fr-FR" w:eastAsia="ja-JP"/>
        </w:rPr>
        <w:t>’</w:t>
      </w:r>
      <w:r w:rsidR="00AA6065">
        <w:rPr>
          <w:lang w:val="fr-FR" w:eastAsia="ja-JP"/>
        </w:rPr>
        <w:t>annexe </w:t>
      </w:r>
      <w:r w:rsidRPr="00CB5996">
        <w:rPr>
          <w:lang w:val="fr-FR" w:eastAsia="ja-JP"/>
        </w:rPr>
        <w:t>III du rapport de la session.</w:t>
      </w:r>
      <w:r w:rsidRPr="00CB5996">
        <w:rPr>
          <w:lang w:val="fr-FR"/>
        </w:rPr>
        <w:t xml:space="preserve"> Il est </w:t>
      </w:r>
      <w:r>
        <w:rPr>
          <w:lang w:val="fr-FR"/>
        </w:rPr>
        <w:t>soumis</w:t>
      </w:r>
      <w:r w:rsidRPr="00CB5996">
        <w:rPr>
          <w:lang w:val="fr-FR"/>
        </w:rPr>
        <w:t xml:space="preserve"> au Forum mondial de l</w:t>
      </w:r>
      <w:r>
        <w:rPr>
          <w:lang w:val="fr-FR"/>
        </w:rPr>
        <w:t>’</w:t>
      </w:r>
      <w:r w:rsidRPr="00CB5996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CB5996">
        <w:rPr>
          <w:lang w:val="fr-FR"/>
        </w:rPr>
        <w:t xml:space="preserve">administration </w:t>
      </w:r>
      <w:r>
        <w:rPr>
          <w:lang w:val="fr-FR"/>
        </w:rPr>
        <w:t xml:space="preserve">de l’Accord de 1958 </w:t>
      </w:r>
      <w:r w:rsidRPr="00CB5996">
        <w:rPr>
          <w:lang w:val="fr-FR"/>
        </w:rPr>
        <w:t>(AC.1) pour examen à leurs sessions de novembre 2016, sous réserve d</w:t>
      </w:r>
      <w:r>
        <w:rPr>
          <w:lang w:val="fr-FR"/>
        </w:rPr>
        <w:t>’</w:t>
      </w:r>
      <w:r w:rsidRPr="00CB5996">
        <w:rPr>
          <w:lang w:val="fr-FR"/>
        </w:rPr>
        <w:t>une nouvelle confirmation à la quatre-vingt-deuxième session du GRRF, en septembre 2016.</w:t>
      </w:r>
    </w:p>
    <w:p w:rsidR="001B670F" w:rsidRPr="00CB5996" w:rsidRDefault="001B670F" w:rsidP="00D11F41">
      <w:pPr>
        <w:pStyle w:val="HChG"/>
        <w:rPr>
          <w:lang w:val="fr-FR"/>
        </w:rPr>
      </w:pPr>
      <w:r w:rsidRPr="00CB5996">
        <w:rPr>
          <w:sz w:val="20"/>
          <w:lang w:val="fr-FR"/>
        </w:rPr>
        <w:br w:type="page"/>
      </w:r>
      <w:r w:rsidRPr="00CB5996">
        <w:rPr>
          <w:lang w:val="fr-FR"/>
        </w:rPr>
        <w:lastRenderedPageBreak/>
        <w:tab/>
      </w:r>
      <w:r w:rsidRPr="00CB5996">
        <w:rPr>
          <w:lang w:val="fr-FR"/>
        </w:rPr>
        <w:tab/>
        <w:t>Série 04 d</w:t>
      </w:r>
      <w:r>
        <w:rPr>
          <w:lang w:val="fr-FR"/>
        </w:rPr>
        <w:t>’</w:t>
      </w:r>
      <w:r w:rsidRPr="00CB5996">
        <w:rPr>
          <w:lang w:val="fr-FR"/>
        </w:rPr>
        <w:t xml:space="preserve">amendements au Règlement </w:t>
      </w:r>
      <w:r w:rsidR="00C12036" w:rsidRPr="00C12036">
        <w:rPr>
          <w:rFonts w:eastAsia="MS Mincho"/>
          <w:lang w:val="fr-FR"/>
        </w:rPr>
        <w:t>n</w:t>
      </w:r>
      <w:r w:rsidR="00C12036" w:rsidRPr="00C12036">
        <w:rPr>
          <w:rFonts w:eastAsia="MS Mincho"/>
          <w:vertAlign w:val="superscript"/>
          <w:lang w:val="fr-FR"/>
        </w:rPr>
        <w:t>o</w:t>
      </w:r>
      <w:r w:rsidR="00C12036">
        <w:rPr>
          <w:lang w:val="fr-FR"/>
        </w:rPr>
        <w:t> </w:t>
      </w:r>
      <w:r w:rsidRPr="00CB5996">
        <w:rPr>
          <w:lang w:val="fr-FR"/>
        </w:rPr>
        <w:t xml:space="preserve">78 </w:t>
      </w:r>
      <w:r w:rsidR="00740AAF">
        <w:rPr>
          <w:lang w:val="fr-FR"/>
        </w:rPr>
        <w:t>(</w:t>
      </w:r>
      <w:r>
        <w:rPr>
          <w:lang w:val="fr-FR"/>
        </w:rPr>
        <w:t>F</w:t>
      </w:r>
      <w:r w:rsidRPr="00CB5996">
        <w:rPr>
          <w:lang w:val="fr-FR"/>
        </w:rPr>
        <w:t xml:space="preserve">reinage </w:t>
      </w:r>
      <w:r>
        <w:rPr>
          <w:lang w:val="fr-FR"/>
        </w:rPr>
        <w:t>(</w:t>
      </w:r>
      <w:r w:rsidRPr="00CB5996">
        <w:rPr>
          <w:lang w:val="fr-FR"/>
        </w:rPr>
        <w:t>véhicules de</w:t>
      </w:r>
      <w:r>
        <w:rPr>
          <w:lang w:val="fr-FR"/>
        </w:rPr>
        <w:t>s</w:t>
      </w:r>
      <w:r w:rsidRPr="00CB5996">
        <w:rPr>
          <w:lang w:val="fr-FR"/>
        </w:rPr>
        <w:t xml:space="preserve"> catégorie</w:t>
      </w:r>
      <w:r>
        <w:rPr>
          <w:lang w:val="fr-FR"/>
        </w:rPr>
        <w:t>s</w:t>
      </w:r>
      <w:r w:rsidRPr="00CB5996">
        <w:rPr>
          <w:lang w:val="fr-FR"/>
        </w:rPr>
        <w:t xml:space="preserve"> L)</w:t>
      </w:r>
      <w:r w:rsidR="00740AAF">
        <w:rPr>
          <w:lang w:val="fr-FR"/>
        </w:rPr>
        <w:t>)</w:t>
      </w:r>
    </w:p>
    <w:p w:rsidR="001B670F" w:rsidRPr="00CB5996" w:rsidRDefault="001B670F" w:rsidP="00D11F41">
      <w:pPr>
        <w:pStyle w:val="SingleTxtG"/>
        <w:rPr>
          <w:lang w:val="fr-FR"/>
        </w:rPr>
      </w:pPr>
      <w:r w:rsidRPr="00CB5996">
        <w:rPr>
          <w:i/>
          <w:iCs/>
          <w:lang w:val="fr-FR"/>
        </w:rPr>
        <w:t>Ajouter un nouveau paragraphe 5.1.16</w:t>
      </w:r>
      <w:r w:rsidRPr="00CB5996">
        <w:rPr>
          <w:iCs/>
          <w:lang w:val="fr-FR"/>
        </w:rPr>
        <w:t xml:space="preserve">, </w:t>
      </w:r>
      <w:r>
        <w:rPr>
          <w:iCs/>
          <w:lang w:val="fr-FR"/>
        </w:rPr>
        <w:t>libellé comme suit</w:t>
      </w:r>
      <w:r w:rsidR="004B1161">
        <w:rPr>
          <w:iCs/>
          <w:lang w:val="fr-FR"/>
        </w:rPr>
        <w:t> </w:t>
      </w:r>
      <w:r w:rsidRPr="00CB5996">
        <w:rPr>
          <w:lang w:val="fr-FR"/>
        </w:rPr>
        <w:t>:</w:t>
      </w:r>
    </w:p>
    <w:p w:rsidR="001B670F" w:rsidRPr="00CB5996" w:rsidRDefault="00D11F41" w:rsidP="00D11F41">
      <w:pPr>
        <w:pStyle w:val="SingleTxtG"/>
        <w:rPr>
          <w:lang w:val="fr-FR"/>
        </w:rPr>
      </w:pPr>
      <w:r>
        <w:rPr>
          <w:lang w:val="fr-FR"/>
        </w:rPr>
        <w:t>« </w:t>
      </w:r>
      <w:r w:rsidR="001B670F" w:rsidRPr="00CB5996">
        <w:rPr>
          <w:lang w:val="fr-FR"/>
        </w:rPr>
        <w:t>5.1.16</w:t>
      </w:r>
      <w:r w:rsidR="001B670F" w:rsidRPr="00CB5996">
        <w:rPr>
          <w:lang w:val="fr-FR"/>
        </w:rPr>
        <w:tab/>
        <w:t>Aucun dispositif permettant de désactiver l</w:t>
      </w:r>
      <w:r w:rsidR="001B670F">
        <w:rPr>
          <w:lang w:val="fr-FR"/>
        </w:rPr>
        <w:t>’</w:t>
      </w:r>
      <w:r w:rsidR="001B670F" w:rsidRPr="00CB5996">
        <w:rPr>
          <w:lang w:val="fr-FR"/>
        </w:rPr>
        <w:t>ABS n</w:t>
      </w:r>
      <w:r w:rsidR="001B670F">
        <w:rPr>
          <w:lang w:val="fr-FR"/>
        </w:rPr>
        <w:t>’</w:t>
      </w:r>
      <w:r w:rsidR="001B670F" w:rsidRPr="00CB5996">
        <w:rPr>
          <w:lang w:val="fr-FR"/>
        </w:rPr>
        <w:t>est autorisé.</w:t>
      </w:r>
    </w:p>
    <w:p w:rsidR="001B670F" w:rsidRPr="00CB5996" w:rsidRDefault="001B670F" w:rsidP="00D11F41">
      <w:pPr>
        <w:pStyle w:val="SingleTxtG"/>
        <w:ind w:left="2268"/>
        <w:rPr>
          <w:lang w:val="fr-FR"/>
        </w:rPr>
      </w:pPr>
      <w:r w:rsidRPr="00CB5996">
        <w:rPr>
          <w:lang w:val="fr-FR"/>
        </w:rPr>
        <w:t>Par dérogation, les véhicules qui sont adaptés à la conduite en tout</w:t>
      </w:r>
      <w:r>
        <w:rPr>
          <w:lang w:val="fr-FR"/>
        </w:rPr>
        <w:t>-</w:t>
      </w:r>
      <w:r w:rsidRPr="00CB5996">
        <w:rPr>
          <w:lang w:val="fr-FR"/>
        </w:rPr>
        <w:t>terrain et qui sont équipés d</w:t>
      </w:r>
      <w:r>
        <w:rPr>
          <w:lang w:val="fr-FR"/>
        </w:rPr>
        <w:t>’</w:t>
      </w:r>
      <w:r w:rsidRPr="00CB5996">
        <w:rPr>
          <w:lang w:val="fr-FR"/>
        </w:rPr>
        <w:t xml:space="preserve">un sélecteur de mode de conduite permettant de passer </w:t>
      </w:r>
      <w:r>
        <w:rPr>
          <w:lang w:val="fr-FR"/>
        </w:rPr>
        <w:t xml:space="preserve">en </w:t>
      </w:r>
      <w:r w:rsidRPr="00CB5996">
        <w:rPr>
          <w:lang w:val="fr-FR"/>
        </w:rPr>
        <w:t xml:space="preserve">mode </w:t>
      </w:r>
      <w:r w:rsidR="00712B7D" w:rsidRPr="006577B3">
        <w:t>“</w:t>
      </w:r>
      <w:r>
        <w:rPr>
          <w:lang w:val="fr-FR"/>
        </w:rPr>
        <w:t> tout-terrain </w:t>
      </w:r>
      <w:r w:rsidR="00712B7D" w:rsidRPr="006577B3">
        <w:t>”</w:t>
      </w:r>
      <w:r>
        <w:rPr>
          <w:lang w:val="fr-FR"/>
        </w:rPr>
        <w:t xml:space="preserve"> </w:t>
      </w:r>
      <w:r w:rsidRPr="00CB5996">
        <w:rPr>
          <w:lang w:val="fr-FR"/>
        </w:rPr>
        <w:t>peuvent être dotés d</w:t>
      </w:r>
      <w:r>
        <w:rPr>
          <w:lang w:val="fr-FR"/>
        </w:rPr>
        <w:t>’</w:t>
      </w:r>
      <w:r w:rsidRPr="00CB5996">
        <w:rPr>
          <w:lang w:val="fr-FR"/>
        </w:rPr>
        <w:t>un dispositif (interrupteur, levier, bouton ou option de menu, par exemple) de désactivation de l</w:t>
      </w:r>
      <w:r>
        <w:rPr>
          <w:lang w:val="fr-FR"/>
        </w:rPr>
        <w:t>’</w:t>
      </w:r>
      <w:r w:rsidRPr="00CB5996">
        <w:rPr>
          <w:lang w:val="fr-FR"/>
        </w:rPr>
        <w:t>ABS, uniquemen</w:t>
      </w:r>
      <w:r w:rsidR="00740AAF">
        <w:rPr>
          <w:lang w:val="fr-FR"/>
        </w:rPr>
        <w:t>t dans les conditions suivantes </w:t>
      </w:r>
      <w:r w:rsidRPr="00CB5996">
        <w:rPr>
          <w:lang w:val="fr-FR"/>
        </w:rPr>
        <w:t>:</w:t>
      </w:r>
    </w:p>
    <w:p w:rsidR="001B670F" w:rsidRPr="00CB5996" w:rsidRDefault="001B670F" w:rsidP="00D11F41">
      <w:pPr>
        <w:spacing w:after="120"/>
        <w:ind w:left="2835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a)</w:t>
      </w:r>
      <w:r w:rsidRPr="00CB5996">
        <w:rPr>
          <w:bCs/>
          <w:lang w:val="fr-FR"/>
        </w:rPr>
        <w:tab/>
        <w:t>Le véhicule est à l</w:t>
      </w:r>
      <w:r>
        <w:rPr>
          <w:bCs/>
          <w:lang w:val="fr-FR"/>
        </w:rPr>
        <w:t>’</w:t>
      </w:r>
      <w:r w:rsidR="004B1161">
        <w:rPr>
          <w:bCs/>
          <w:lang w:val="fr-FR"/>
        </w:rPr>
        <w:t>arrêt </w:t>
      </w:r>
      <w:r w:rsidRPr="00CB5996">
        <w:rPr>
          <w:bCs/>
          <w:lang w:val="fr-FR"/>
        </w:rPr>
        <w:t>; et</w:t>
      </w:r>
    </w:p>
    <w:p w:rsidR="001B670F" w:rsidRPr="00CB5996" w:rsidRDefault="001B670F" w:rsidP="00D11F41">
      <w:pPr>
        <w:spacing w:after="120"/>
        <w:ind w:left="2835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b)</w:t>
      </w:r>
      <w:r w:rsidRPr="00CB5996">
        <w:rPr>
          <w:bCs/>
          <w:lang w:val="fr-FR"/>
        </w:rPr>
        <w:tab/>
        <w:t>La désactivation de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ABS résulte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une action délibérée effectuée par le conducteur suivant l</w:t>
      </w:r>
      <w:r>
        <w:rPr>
          <w:bCs/>
          <w:lang w:val="fr-FR"/>
        </w:rPr>
        <w:t>’</w:t>
      </w:r>
      <w:r w:rsidR="00740AAF">
        <w:rPr>
          <w:bCs/>
          <w:lang w:val="fr-FR"/>
        </w:rPr>
        <w:t>une des méthodes ci-après </w:t>
      </w:r>
      <w:r w:rsidRPr="00CB5996">
        <w:rPr>
          <w:bCs/>
          <w:lang w:val="fr-FR"/>
        </w:rPr>
        <w:t>:</w:t>
      </w:r>
    </w:p>
    <w:p w:rsidR="001B670F" w:rsidRPr="00CB5996" w:rsidRDefault="001B670F" w:rsidP="00D11F41">
      <w:pPr>
        <w:spacing w:after="120"/>
        <w:ind w:left="3402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i)</w:t>
      </w:r>
      <w:r w:rsidRPr="00CB5996">
        <w:rPr>
          <w:bCs/>
          <w:lang w:val="fr-FR"/>
        </w:rPr>
        <w:tab/>
        <w:t>En actionnant simultanément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interrupteur marche/arrêt de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ABS et la commande du système de freinage avant, arrière ou intégral (levier ou pédale de frein)</w:t>
      </w:r>
      <w:r w:rsidR="00740AAF">
        <w:rPr>
          <w:bCs/>
          <w:lang w:val="fr-FR"/>
        </w:rPr>
        <w:t> </w:t>
      </w:r>
      <w:r w:rsidRPr="00CB5996">
        <w:rPr>
          <w:bCs/>
          <w:lang w:val="fr-FR"/>
        </w:rPr>
        <w:t>; ou</w:t>
      </w:r>
    </w:p>
    <w:p w:rsidR="001B670F" w:rsidRPr="00CB5996" w:rsidRDefault="001B670F" w:rsidP="00D11F41">
      <w:pPr>
        <w:spacing w:after="120"/>
        <w:ind w:left="3402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ii)</w:t>
      </w:r>
      <w:r w:rsidRPr="00CB5996">
        <w:rPr>
          <w:bCs/>
          <w:lang w:val="fr-FR"/>
        </w:rPr>
        <w:tab/>
        <w:t>En actionnant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interrupteur marche/arrêt de l</w:t>
      </w:r>
      <w:r>
        <w:rPr>
          <w:bCs/>
          <w:lang w:val="fr-FR"/>
        </w:rPr>
        <w:t>’</w:t>
      </w:r>
      <w:r w:rsidR="00740AAF">
        <w:rPr>
          <w:bCs/>
          <w:lang w:val="fr-FR"/>
        </w:rPr>
        <w:t>ABS pendant au moins 2 secondes </w:t>
      </w:r>
      <w:r w:rsidRPr="00CB5996">
        <w:rPr>
          <w:bCs/>
          <w:lang w:val="fr-FR"/>
        </w:rPr>
        <w:t>; ou</w:t>
      </w:r>
    </w:p>
    <w:p w:rsidR="001B670F" w:rsidRPr="00CB5996" w:rsidRDefault="001B670F" w:rsidP="00D11F41">
      <w:pPr>
        <w:spacing w:after="120"/>
        <w:ind w:left="3402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iii)</w:t>
      </w:r>
      <w:r w:rsidRPr="00CB5996">
        <w:rPr>
          <w:bCs/>
          <w:lang w:val="fr-FR"/>
        </w:rPr>
        <w:tab/>
        <w:t>En exécutant successivement au moins deux actions ou en passant par au moins deux niveaux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activation successifs à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aide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un bouton tournant,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une commande tactile ou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un sélecteur d</w:t>
      </w:r>
      <w:r>
        <w:rPr>
          <w:bCs/>
          <w:lang w:val="fr-FR"/>
        </w:rPr>
        <w:t>’</w:t>
      </w:r>
      <w:r w:rsidR="00740AAF">
        <w:rPr>
          <w:bCs/>
          <w:lang w:val="fr-FR"/>
        </w:rPr>
        <w:t>options de menu </w:t>
      </w:r>
      <w:r w:rsidRPr="00CB5996">
        <w:rPr>
          <w:bCs/>
          <w:lang w:val="fr-FR"/>
        </w:rPr>
        <w:t>;</w:t>
      </w:r>
    </w:p>
    <w:p w:rsidR="001B670F" w:rsidRPr="00CB5996" w:rsidRDefault="001B670F" w:rsidP="00D11F41">
      <w:pPr>
        <w:spacing w:after="120"/>
        <w:ind w:left="2835" w:right="1134" w:hanging="567"/>
        <w:jc w:val="both"/>
        <w:rPr>
          <w:bCs/>
          <w:strike/>
          <w:lang w:val="fr-FR"/>
        </w:rPr>
      </w:pPr>
      <w:r w:rsidRPr="00CB5996">
        <w:rPr>
          <w:bCs/>
          <w:lang w:val="fr-FR"/>
        </w:rPr>
        <w:t>c)</w:t>
      </w:r>
      <w:r w:rsidRPr="00CB5996">
        <w:rPr>
          <w:bCs/>
          <w:lang w:val="fr-FR"/>
        </w:rPr>
        <w:tab/>
        <w:t>La désactivation de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ABS est uniquement autorisée lorsque le sélecteur de mode de conduite est en mode tout</w:t>
      </w:r>
      <w:r>
        <w:rPr>
          <w:bCs/>
          <w:lang w:val="fr-FR"/>
        </w:rPr>
        <w:t>-</w:t>
      </w:r>
      <w:r w:rsidR="00740AAF">
        <w:rPr>
          <w:bCs/>
          <w:lang w:val="fr-FR"/>
        </w:rPr>
        <w:t>terrain </w:t>
      </w:r>
      <w:r w:rsidRPr="00CB5996">
        <w:rPr>
          <w:bCs/>
          <w:lang w:val="fr-FR"/>
        </w:rPr>
        <w:t xml:space="preserve">; et </w:t>
      </w:r>
    </w:p>
    <w:p w:rsidR="001B670F" w:rsidRPr="00CB5996" w:rsidRDefault="001B670F" w:rsidP="00D11F41">
      <w:pPr>
        <w:spacing w:after="120"/>
        <w:ind w:left="2835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d)</w:t>
      </w:r>
      <w:r w:rsidRPr="00CB5996">
        <w:rPr>
          <w:bCs/>
          <w:lang w:val="fr-FR"/>
        </w:rPr>
        <w:tab/>
        <w:t>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ABS doit être activé automatiquement à chaque démarrage du véhicule, à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exception des redémarrages consécutifs à u</w:t>
      </w:r>
      <w:r w:rsidR="00740AAF">
        <w:rPr>
          <w:bCs/>
          <w:lang w:val="fr-FR"/>
        </w:rPr>
        <w:t>n calage involontaire du moteur </w:t>
      </w:r>
      <w:r w:rsidRPr="00CB5996">
        <w:rPr>
          <w:bCs/>
          <w:lang w:val="fr-FR"/>
        </w:rPr>
        <w:t>; et</w:t>
      </w:r>
    </w:p>
    <w:p w:rsidR="001B670F" w:rsidRPr="00CB5996" w:rsidRDefault="001B670F" w:rsidP="00D11F41">
      <w:pPr>
        <w:spacing w:after="120"/>
        <w:ind w:left="2835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e)</w:t>
      </w:r>
      <w:r w:rsidRPr="00CB5996">
        <w:rPr>
          <w:bCs/>
          <w:lang w:val="fr-FR"/>
        </w:rPr>
        <w:tab/>
        <w:t>La désactivation de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 xml:space="preserve">ABS doit être signalée par le symbole B.18, </w:t>
      </w:r>
      <w:r>
        <w:rPr>
          <w:bCs/>
          <w:lang w:val="fr-FR"/>
        </w:rPr>
        <w:t>tel que</w:t>
      </w:r>
      <w:r w:rsidRPr="00CB5996">
        <w:rPr>
          <w:bCs/>
          <w:lang w:val="fr-FR"/>
        </w:rPr>
        <w:t xml:space="preserve"> spécifié dans la norme ISO 2575:2010/Amd1:2011 (ISO 7000-2623), ou toute autre indication équivalente signalant explicitement que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ABS est désactivé. À défaut, la lampe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avertissement mentionnée au paragraphe 3.1.13 doit être activée en permanence (allu</w:t>
      </w:r>
      <w:r w:rsidR="00740AAF">
        <w:rPr>
          <w:bCs/>
          <w:lang w:val="fr-FR"/>
        </w:rPr>
        <w:t>mée ou clignotante) </w:t>
      </w:r>
      <w:r w:rsidRPr="00CB5996">
        <w:rPr>
          <w:bCs/>
          <w:lang w:val="fr-FR"/>
        </w:rPr>
        <w:t>; et</w:t>
      </w:r>
    </w:p>
    <w:p w:rsidR="001B670F" w:rsidRPr="00CB5996" w:rsidRDefault="001B670F" w:rsidP="00D11F41">
      <w:pPr>
        <w:spacing w:after="120"/>
        <w:ind w:left="2835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f)</w:t>
      </w:r>
      <w:r w:rsidRPr="00CB5996">
        <w:rPr>
          <w:bCs/>
          <w:lang w:val="fr-FR"/>
        </w:rPr>
        <w:tab/>
        <w:t>Tout dispositif de manipulation logiciel et/ou matériel permettant de contrer ou de contourner une ou plusieurs des prescriptions énoncées aux po</w:t>
      </w:r>
      <w:r w:rsidR="00740AAF">
        <w:rPr>
          <w:bCs/>
          <w:lang w:val="fr-FR"/>
        </w:rPr>
        <w:t>ints a) à f) doit être interdit </w:t>
      </w:r>
      <w:r w:rsidRPr="00CB5996">
        <w:rPr>
          <w:bCs/>
          <w:lang w:val="fr-FR"/>
        </w:rPr>
        <w:t>; et</w:t>
      </w:r>
    </w:p>
    <w:p w:rsidR="001B670F" w:rsidRPr="00CB5996" w:rsidRDefault="001B670F" w:rsidP="00D11F41">
      <w:pPr>
        <w:spacing w:after="120"/>
        <w:ind w:left="2835" w:right="1134" w:hanging="567"/>
        <w:jc w:val="both"/>
        <w:rPr>
          <w:bCs/>
          <w:lang w:val="fr-FR"/>
        </w:rPr>
      </w:pPr>
      <w:r w:rsidRPr="00CB5996">
        <w:rPr>
          <w:bCs/>
          <w:lang w:val="fr-FR"/>
        </w:rPr>
        <w:t>g)</w:t>
      </w:r>
      <w:r w:rsidRPr="00CB5996">
        <w:rPr>
          <w:bCs/>
          <w:lang w:val="fr-FR"/>
        </w:rPr>
        <w:tab/>
        <w:t>La réactivation instantanée de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ABS (par exemple, par simple pression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un bouton), dans tous les modes de fonctionnement et conformément aux prescriptions d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homologation du système pertinentes, doit être garantie et démontrée à la satisfaction de l</w:t>
      </w:r>
      <w:r>
        <w:rPr>
          <w:bCs/>
          <w:lang w:val="fr-FR"/>
        </w:rPr>
        <w:t>’</w:t>
      </w:r>
      <w:r w:rsidRPr="00CB5996">
        <w:rPr>
          <w:bCs/>
          <w:lang w:val="fr-FR"/>
        </w:rPr>
        <w:t>autorité d</w:t>
      </w:r>
      <w:r>
        <w:rPr>
          <w:bCs/>
          <w:lang w:val="fr-FR"/>
        </w:rPr>
        <w:t>’</w:t>
      </w:r>
      <w:r w:rsidR="00D11F41">
        <w:rPr>
          <w:bCs/>
          <w:lang w:val="fr-FR"/>
        </w:rPr>
        <w:t>homologation. </w:t>
      </w:r>
      <w:r w:rsidRPr="00CB5996">
        <w:rPr>
          <w:bCs/>
          <w:lang w:val="fr-FR"/>
        </w:rPr>
        <w:t>»</w:t>
      </w:r>
      <w:r>
        <w:rPr>
          <w:bCs/>
          <w:lang w:val="fr-FR"/>
        </w:rPr>
        <w:t>.</w:t>
      </w:r>
    </w:p>
    <w:p w:rsidR="001B670F" w:rsidRPr="00CB5996" w:rsidRDefault="001B670F" w:rsidP="004B1161">
      <w:pPr>
        <w:pStyle w:val="SingleTxtG"/>
        <w:keepNext/>
        <w:rPr>
          <w:lang w:val="fr-FR"/>
        </w:rPr>
      </w:pPr>
      <w:r w:rsidRPr="00CB5996">
        <w:rPr>
          <w:i/>
          <w:iCs/>
          <w:lang w:val="fr-FR"/>
        </w:rPr>
        <w:lastRenderedPageBreak/>
        <w:t xml:space="preserve">Paragraphe 9, </w:t>
      </w:r>
      <w:r>
        <w:rPr>
          <w:iCs/>
          <w:lang w:val="fr-FR"/>
        </w:rPr>
        <w:t>lire</w:t>
      </w:r>
      <w:r w:rsidR="004B1161">
        <w:rPr>
          <w:iCs/>
          <w:lang w:val="fr-FR"/>
        </w:rPr>
        <w:t> </w:t>
      </w:r>
      <w:r w:rsidRPr="00CB5996">
        <w:rPr>
          <w:lang w:val="fr-FR"/>
        </w:rPr>
        <w:t>:</w:t>
      </w:r>
    </w:p>
    <w:p w:rsidR="001B670F" w:rsidRPr="00CB5996" w:rsidRDefault="001B670F" w:rsidP="00D11F41">
      <w:pPr>
        <w:pStyle w:val="HChG"/>
        <w:rPr>
          <w:lang w:val="fr-FR"/>
        </w:rPr>
      </w:pPr>
      <w:r w:rsidRPr="00CB5996">
        <w:rPr>
          <w:lang w:val="fr-FR"/>
        </w:rPr>
        <w:tab/>
      </w:r>
      <w:r w:rsidRPr="00CB5996">
        <w:rPr>
          <w:lang w:val="fr-FR"/>
        </w:rPr>
        <w:tab/>
      </w:r>
      <w:r w:rsidR="00D11F41" w:rsidRPr="00D11F41">
        <w:rPr>
          <w:b w:val="0"/>
          <w:lang w:val="fr-FR"/>
        </w:rPr>
        <w:t>« </w:t>
      </w:r>
      <w:r w:rsidRPr="00CB5996">
        <w:rPr>
          <w:lang w:val="fr-FR"/>
        </w:rPr>
        <w:t>9.</w:t>
      </w:r>
      <w:r w:rsidRPr="00CB5996">
        <w:rPr>
          <w:lang w:val="fr-FR"/>
        </w:rPr>
        <w:tab/>
      </w:r>
      <w:r w:rsidRPr="00CB5996">
        <w:rPr>
          <w:lang w:val="fr-FR"/>
        </w:rPr>
        <w:tab/>
        <w:t xml:space="preserve">Dispositions transitoires </w:t>
      </w:r>
    </w:p>
    <w:p w:rsidR="001B670F" w:rsidRPr="00CB5996" w:rsidRDefault="001B670F" w:rsidP="00D11F41">
      <w:pPr>
        <w:pStyle w:val="SingleTxtG"/>
        <w:ind w:left="2268" w:hanging="1134"/>
        <w:rPr>
          <w:lang w:val="fr-FR"/>
        </w:rPr>
      </w:pPr>
      <w:r w:rsidRPr="00CB5996">
        <w:rPr>
          <w:lang w:val="fr-FR"/>
        </w:rPr>
        <w:t>9.1</w:t>
      </w:r>
      <w:r w:rsidRPr="00CB5996">
        <w:rPr>
          <w:lang w:val="fr-FR"/>
        </w:rPr>
        <w:tab/>
      </w:r>
      <w:r w:rsidRPr="00CB5996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="00EB0FC4">
        <w:rPr>
          <w:lang w:val="fr-FR"/>
        </w:rPr>
        <w:t>entrée en vigueur de la série </w:t>
      </w:r>
      <w:r w:rsidRPr="00CB5996">
        <w:rPr>
          <w:lang w:val="fr-FR"/>
        </w:rPr>
        <w:t>04 d</w:t>
      </w:r>
      <w:r>
        <w:rPr>
          <w:lang w:val="fr-FR"/>
        </w:rPr>
        <w:t>’</w:t>
      </w:r>
      <w:r w:rsidRPr="00CB5996">
        <w:rPr>
          <w:lang w:val="fr-FR"/>
        </w:rPr>
        <w:t xml:space="preserve">amendements, aucune Partie contractante </w:t>
      </w:r>
      <w:r>
        <w:rPr>
          <w:lang w:val="fr-FR"/>
        </w:rPr>
        <w:t xml:space="preserve">appliquant le présent Règlement </w:t>
      </w:r>
      <w:r w:rsidRPr="00CB5996">
        <w:rPr>
          <w:lang w:val="fr-FR"/>
        </w:rPr>
        <w:t>ne pourra refuser d</w:t>
      </w:r>
      <w:r>
        <w:rPr>
          <w:lang w:val="fr-FR"/>
        </w:rPr>
        <w:t>’</w:t>
      </w:r>
      <w:r w:rsidRPr="00CB5996">
        <w:rPr>
          <w:lang w:val="fr-FR"/>
        </w:rPr>
        <w:t xml:space="preserve">accorder ou </w:t>
      </w:r>
      <w:r>
        <w:rPr>
          <w:lang w:val="fr-FR"/>
        </w:rPr>
        <w:t>d’accepter</w:t>
      </w:r>
      <w:r w:rsidRPr="00CB5996">
        <w:rPr>
          <w:lang w:val="fr-FR"/>
        </w:rPr>
        <w:t xml:space="preserve"> une homologation de type en </w:t>
      </w:r>
      <w:r>
        <w:rPr>
          <w:lang w:val="fr-FR"/>
        </w:rPr>
        <w:t xml:space="preserve">vertu </w:t>
      </w:r>
      <w:r w:rsidRPr="00CB5996">
        <w:rPr>
          <w:lang w:val="fr-FR"/>
        </w:rPr>
        <w:t xml:space="preserve">du présent Règlement </w:t>
      </w:r>
      <w:r>
        <w:rPr>
          <w:lang w:val="fr-FR"/>
        </w:rPr>
        <w:t xml:space="preserve">tel que </w:t>
      </w:r>
      <w:r w:rsidRPr="00CB5996">
        <w:rPr>
          <w:lang w:val="fr-FR"/>
        </w:rPr>
        <w:t>modifié par la série 04 d</w:t>
      </w:r>
      <w:r>
        <w:rPr>
          <w:lang w:val="fr-FR"/>
        </w:rPr>
        <w:t>’</w:t>
      </w:r>
      <w:r w:rsidRPr="00CB5996">
        <w:rPr>
          <w:lang w:val="fr-FR"/>
        </w:rPr>
        <w:t>amendements.</w:t>
      </w:r>
    </w:p>
    <w:p w:rsidR="001B670F" w:rsidRPr="00CB5996" w:rsidRDefault="001B670F" w:rsidP="00D11F41">
      <w:pPr>
        <w:pStyle w:val="SingleTxtG"/>
        <w:ind w:left="2268" w:hanging="1134"/>
        <w:rPr>
          <w:lang w:val="fr-FR"/>
        </w:rPr>
      </w:pPr>
      <w:r w:rsidRPr="00CB5996">
        <w:rPr>
          <w:lang w:val="fr-FR"/>
        </w:rPr>
        <w:t>9.2</w:t>
      </w:r>
      <w:r w:rsidRPr="00CB5996">
        <w:rPr>
          <w:lang w:val="fr-FR"/>
        </w:rPr>
        <w:tab/>
      </w:r>
      <w:r w:rsidRPr="00CB5996">
        <w:rPr>
          <w:lang w:val="fr-FR"/>
        </w:rPr>
        <w:tab/>
        <w:t>À compter du 1</w:t>
      </w:r>
      <w:r w:rsidRPr="00EB3AF8">
        <w:rPr>
          <w:vertAlign w:val="superscript"/>
          <w:lang w:val="fr-FR"/>
        </w:rPr>
        <w:t>er</w:t>
      </w:r>
      <w:r w:rsidR="00EB3AF8">
        <w:rPr>
          <w:lang w:val="fr-FR"/>
        </w:rPr>
        <w:t> </w:t>
      </w:r>
      <w:r w:rsidRPr="00CB5996">
        <w:rPr>
          <w:lang w:val="fr-FR"/>
        </w:rPr>
        <w:t xml:space="preserve">septembre 2018, les Parties contractantes appliquant le présent Règlement ne </w:t>
      </w:r>
      <w:r>
        <w:rPr>
          <w:lang w:val="fr-FR"/>
        </w:rPr>
        <w:t>pourront</w:t>
      </w:r>
      <w:r w:rsidRPr="00CB5996">
        <w:rPr>
          <w:lang w:val="fr-FR"/>
        </w:rPr>
        <w:t xml:space="preserve"> accorder d</w:t>
      </w:r>
      <w:r>
        <w:rPr>
          <w:lang w:val="fr-FR"/>
        </w:rPr>
        <w:t>’</w:t>
      </w:r>
      <w:r w:rsidRPr="00CB5996">
        <w:rPr>
          <w:lang w:val="fr-FR"/>
        </w:rPr>
        <w:t>homologation</w:t>
      </w:r>
      <w:r>
        <w:rPr>
          <w:lang w:val="fr-FR"/>
        </w:rPr>
        <w:t xml:space="preserve"> de type</w:t>
      </w:r>
      <w:r w:rsidR="00F33A7C">
        <w:rPr>
          <w:lang w:val="fr-FR"/>
        </w:rPr>
        <w:t xml:space="preserve"> </w:t>
      </w:r>
      <w:r w:rsidRPr="00CB5996">
        <w:rPr>
          <w:lang w:val="fr-FR"/>
        </w:rPr>
        <w:t>que si le type d</w:t>
      </w:r>
      <w:r>
        <w:rPr>
          <w:lang w:val="fr-FR"/>
        </w:rPr>
        <w:t>u</w:t>
      </w:r>
      <w:r w:rsidRPr="00CB5996">
        <w:rPr>
          <w:lang w:val="fr-FR"/>
        </w:rPr>
        <w:t xml:space="preserve"> véhicule à homologuer satisfait aux prescriptions </w:t>
      </w:r>
      <w:r>
        <w:rPr>
          <w:lang w:val="fr-FR"/>
        </w:rPr>
        <w:t xml:space="preserve">dudit </w:t>
      </w:r>
      <w:r w:rsidRPr="00CB5996">
        <w:rPr>
          <w:lang w:val="fr-FR"/>
        </w:rPr>
        <w:t>Règlement tel que modifié par la série 04 d</w:t>
      </w:r>
      <w:r>
        <w:rPr>
          <w:lang w:val="fr-FR"/>
        </w:rPr>
        <w:t>’</w:t>
      </w:r>
      <w:r w:rsidRPr="00CB5996">
        <w:rPr>
          <w:lang w:val="fr-FR"/>
        </w:rPr>
        <w:t>amendements.</w:t>
      </w:r>
    </w:p>
    <w:p w:rsidR="001B670F" w:rsidRPr="00CB5996" w:rsidRDefault="001B670F" w:rsidP="00D11F41">
      <w:pPr>
        <w:pStyle w:val="SingleTxtG"/>
        <w:ind w:left="2268" w:hanging="1134"/>
        <w:rPr>
          <w:lang w:val="fr-FR"/>
        </w:rPr>
      </w:pPr>
      <w:r w:rsidRPr="00CB5996">
        <w:rPr>
          <w:lang w:val="fr-FR"/>
        </w:rPr>
        <w:t>9.3</w:t>
      </w:r>
      <w:r w:rsidRPr="00CB5996">
        <w:rPr>
          <w:lang w:val="fr-FR"/>
        </w:rPr>
        <w:tab/>
      </w:r>
      <w:r w:rsidRPr="00CB5996">
        <w:rPr>
          <w:lang w:val="fr-FR"/>
        </w:rPr>
        <w:tab/>
        <w:t>À compter du 1</w:t>
      </w:r>
      <w:r w:rsidRPr="00EB0FC4">
        <w:rPr>
          <w:vertAlign w:val="superscript"/>
          <w:lang w:val="fr-FR"/>
        </w:rPr>
        <w:t>er</w:t>
      </w:r>
      <w:r w:rsidR="00EB0FC4">
        <w:rPr>
          <w:lang w:val="fr-FR"/>
        </w:rPr>
        <w:t> </w:t>
      </w:r>
      <w:r w:rsidRPr="00CB5996">
        <w:rPr>
          <w:lang w:val="fr-FR"/>
        </w:rPr>
        <w:t>septembre 2021, les Parties contractantes appliquant le présent Règlement ne s</w:t>
      </w:r>
      <w:r>
        <w:rPr>
          <w:lang w:val="fr-FR"/>
        </w:rPr>
        <w:t>er</w:t>
      </w:r>
      <w:r w:rsidRPr="00CB5996">
        <w:rPr>
          <w:lang w:val="fr-FR"/>
        </w:rPr>
        <w:t>ont pas tenues d</w:t>
      </w:r>
      <w:r>
        <w:rPr>
          <w:lang w:val="fr-FR"/>
        </w:rPr>
        <w:t>’</w:t>
      </w:r>
      <w:r w:rsidRPr="00CB5996">
        <w:rPr>
          <w:lang w:val="fr-FR"/>
        </w:rPr>
        <w:t>accepter, aux fins d</w:t>
      </w:r>
      <w:r>
        <w:rPr>
          <w:lang w:val="fr-FR"/>
        </w:rPr>
        <w:t>’</w:t>
      </w:r>
      <w:r w:rsidRPr="00CB5996">
        <w:rPr>
          <w:lang w:val="fr-FR"/>
        </w:rPr>
        <w:t xml:space="preserve">une homologation nationale ou régionale, un type de véhicule homologué conformément à la précédente </w:t>
      </w:r>
      <w:r>
        <w:rPr>
          <w:lang w:val="fr-FR"/>
        </w:rPr>
        <w:t xml:space="preserve">série </w:t>
      </w:r>
      <w:r w:rsidRPr="00CB5996">
        <w:rPr>
          <w:lang w:val="fr-FR"/>
        </w:rPr>
        <w:t>d</w:t>
      </w:r>
      <w:r>
        <w:rPr>
          <w:lang w:val="fr-FR"/>
        </w:rPr>
        <w:t>’</w:t>
      </w:r>
      <w:r w:rsidRPr="00CB5996">
        <w:rPr>
          <w:lang w:val="fr-FR"/>
        </w:rPr>
        <w:t xml:space="preserve">amendements </w:t>
      </w:r>
      <w:r>
        <w:rPr>
          <w:lang w:val="fr-FR"/>
        </w:rPr>
        <w:t xml:space="preserve">au présent </w:t>
      </w:r>
      <w:r w:rsidRPr="00CB5996">
        <w:rPr>
          <w:lang w:val="fr-FR"/>
        </w:rPr>
        <w:t>Règlement.</w:t>
      </w:r>
    </w:p>
    <w:p w:rsidR="00F9573C" w:rsidRDefault="001B670F" w:rsidP="00D11F41">
      <w:pPr>
        <w:pStyle w:val="SingleTxtG"/>
        <w:ind w:left="2268" w:hanging="1134"/>
        <w:rPr>
          <w:lang w:val="fr-FR"/>
        </w:rPr>
      </w:pPr>
      <w:r w:rsidRPr="00CB5996">
        <w:rPr>
          <w:lang w:val="fr-FR"/>
        </w:rPr>
        <w:t>9.</w:t>
      </w:r>
      <w:r w:rsidRPr="00EB0FC4">
        <w:rPr>
          <w:lang w:val="fr-FR"/>
        </w:rPr>
        <w:t>4.</w:t>
      </w:r>
      <w:r w:rsidRPr="00CB5996">
        <w:rPr>
          <w:lang w:val="fr-FR"/>
        </w:rPr>
        <w:tab/>
      </w:r>
      <w:r w:rsidR="00D11F41">
        <w:rPr>
          <w:lang w:val="fr-FR"/>
        </w:rPr>
        <w:tab/>
      </w:r>
      <w:r w:rsidRPr="00CB5996">
        <w:rPr>
          <w:lang w:val="fr-FR"/>
        </w:rPr>
        <w:t xml:space="preserve">Nonobstant les dispositions transitoires ci-dessus, les Parties contractantes pour lesquelles le présent Règlement entre en </w:t>
      </w:r>
      <w:r>
        <w:rPr>
          <w:lang w:val="fr-FR"/>
        </w:rPr>
        <w:t>application</w:t>
      </w:r>
      <w:r w:rsidRPr="00CB5996">
        <w:rPr>
          <w:lang w:val="fr-FR"/>
        </w:rPr>
        <w:t xml:space="preserve"> après l</w:t>
      </w:r>
      <w:r>
        <w:rPr>
          <w:lang w:val="fr-FR"/>
        </w:rPr>
        <w:t>a date d’</w:t>
      </w:r>
      <w:r w:rsidRPr="00CB5996">
        <w:rPr>
          <w:lang w:val="fr-FR"/>
        </w:rPr>
        <w:t>entrée en vigueur de la série d</w:t>
      </w:r>
      <w:r>
        <w:rPr>
          <w:lang w:val="fr-FR"/>
        </w:rPr>
        <w:t>’</w:t>
      </w:r>
      <w:r w:rsidRPr="00CB5996">
        <w:rPr>
          <w:lang w:val="fr-FR"/>
        </w:rPr>
        <w:t>amendements la plus récente ne sont pas tenues d</w:t>
      </w:r>
      <w:r>
        <w:rPr>
          <w:lang w:val="fr-FR"/>
        </w:rPr>
        <w:t>’</w:t>
      </w:r>
      <w:r w:rsidRPr="00CB5996">
        <w:rPr>
          <w:lang w:val="fr-FR"/>
        </w:rPr>
        <w:t>accepter les homologations accordées conformément à l</w:t>
      </w:r>
      <w:r>
        <w:rPr>
          <w:lang w:val="fr-FR"/>
        </w:rPr>
        <w:t>’</w:t>
      </w:r>
      <w:r w:rsidRPr="00CB5996">
        <w:rPr>
          <w:lang w:val="fr-FR"/>
        </w:rPr>
        <w:t xml:space="preserve">une </w:t>
      </w:r>
      <w:r>
        <w:rPr>
          <w:lang w:val="fr-FR"/>
        </w:rPr>
        <w:t xml:space="preserve">ou l’autre </w:t>
      </w:r>
      <w:r w:rsidRPr="00CB5996">
        <w:rPr>
          <w:lang w:val="fr-FR"/>
        </w:rPr>
        <w:t>des précédentes séries d</w:t>
      </w:r>
      <w:r>
        <w:rPr>
          <w:lang w:val="fr-FR"/>
        </w:rPr>
        <w:t>’</w:t>
      </w:r>
      <w:r w:rsidRPr="00CB5996">
        <w:rPr>
          <w:lang w:val="fr-FR"/>
        </w:rPr>
        <w:t xml:space="preserve">amendements </w:t>
      </w:r>
      <w:r>
        <w:rPr>
          <w:lang w:val="fr-FR"/>
        </w:rPr>
        <w:t xml:space="preserve">audit </w:t>
      </w:r>
      <w:r w:rsidRPr="00CB5996">
        <w:rPr>
          <w:lang w:val="fr-FR"/>
        </w:rPr>
        <w:t>Règlement.</w:t>
      </w:r>
      <w:r w:rsidR="00D23E59">
        <w:rPr>
          <w:lang w:val="fr-FR"/>
        </w:rPr>
        <w:t> »</w:t>
      </w:r>
      <w:r>
        <w:rPr>
          <w:lang w:val="fr-FR"/>
        </w:rPr>
        <w:t>.</w:t>
      </w:r>
    </w:p>
    <w:p w:rsidR="001B670F" w:rsidRPr="001B670F" w:rsidRDefault="001B670F" w:rsidP="001B670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670F" w:rsidRPr="001B670F" w:rsidSect="00AF55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B4" w:rsidRDefault="004920B4" w:rsidP="00F95C08">
      <w:pPr>
        <w:spacing w:line="240" w:lineRule="auto"/>
      </w:pPr>
    </w:p>
  </w:endnote>
  <w:endnote w:type="continuationSeparator" w:id="0">
    <w:p w:rsidR="004920B4" w:rsidRPr="00AC3823" w:rsidRDefault="004920B4" w:rsidP="00AC3823">
      <w:pPr>
        <w:pStyle w:val="Footer"/>
      </w:pPr>
    </w:p>
  </w:endnote>
  <w:endnote w:type="continuationNotice" w:id="1">
    <w:p w:rsidR="004920B4" w:rsidRDefault="004920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67" w:rsidRPr="00AF5567" w:rsidRDefault="00AF5567" w:rsidP="00AF5567">
    <w:pPr>
      <w:pStyle w:val="Footer"/>
      <w:tabs>
        <w:tab w:val="right" w:pos="9638"/>
      </w:tabs>
    </w:pPr>
    <w:r w:rsidRPr="00AF5567">
      <w:rPr>
        <w:b/>
        <w:sz w:val="18"/>
      </w:rPr>
      <w:fldChar w:fldCharType="begin"/>
    </w:r>
    <w:r w:rsidRPr="00AF5567">
      <w:rPr>
        <w:b/>
        <w:sz w:val="18"/>
      </w:rPr>
      <w:instrText xml:space="preserve"> PAGE  \* MERGEFORMAT </w:instrText>
    </w:r>
    <w:r w:rsidRPr="00AF5567">
      <w:rPr>
        <w:b/>
        <w:sz w:val="18"/>
      </w:rPr>
      <w:fldChar w:fldCharType="separate"/>
    </w:r>
    <w:r w:rsidR="006577B3">
      <w:rPr>
        <w:b/>
        <w:noProof/>
        <w:sz w:val="18"/>
      </w:rPr>
      <w:t>2</w:t>
    </w:r>
    <w:r w:rsidRPr="00AF5567">
      <w:rPr>
        <w:b/>
        <w:sz w:val="18"/>
      </w:rPr>
      <w:fldChar w:fldCharType="end"/>
    </w:r>
    <w:r>
      <w:rPr>
        <w:b/>
        <w:sz w:val="18"/>
      </w:rPr>
      <w:tab/>
    </w:r>
    <w:r>
      <w:t>GE.16-15154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67" w:rsidRPr="00AF5567" w:rsidRDefault="00AF5567" w:rsidP="00AF5567">
    <w:pPr>
      <w:pStyle w:val="Footer"/>
      <w:tabs>
        <w:tab w:val="right" w:pos="9638"/>
      </w:tabs>
      <w:rPr>
        <w:b/>
        <w:sz w:val="18"/>
      </w:rPr>
    </w:pPr>
    <w:r>
      <w:t>GE.16-15154</w:t>
    </w:r>
    <w:r>
      <w:tab/>
    </w:r>
    <w:r w:rsidRPr="00AF5567">
      <w:rPr>
        <w:b/>
        <w:sz w:val="18"/>
      </w:rPr>
      <w:fldChar w:fldCharType="begin"/>
    </w:r>
    <w:r w:rsidRPr="00AF5567">
      <w:rPr>
        <w:b/>
        <w:sz w:val="18"/>
      </w:rPr>
      <w:instrText xml:space="preserve"> PAGE  \* MERGEFORMAT </w:instrText>
    </w:r>
    <w:r w:rsidRPr="00AF5567">
      <w:rPr>
        <w:b/>
        <w:sz w:val="18"/>
      </w:rPr>
      <w:fldChar w:fldCharType="separate"/>
    </w:r>
    <w:r w:rsidR="006577B3">
      <w:rPr>
        <w:b/>
        <w:noProof/>
        <w:sz w:val="18"/>
      </w:rPr>
      <w:t>3</w:t>
    </w:r>
    <w:r w:rsidRPr="00AF55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F5567" w:rsidRDefault="00AF5567" w:rsidP="00AF556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F8194EA" wp14:editId="093AC63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16-15154  (F)    280916    031016</w:t>
    </w:r>
    <w:r>
      <w:rPr>
        <w:sz w:val="20"/>
      </w:rPr>
      <w:br/>
    </w:r>
    <w:r w:rsidRPr="00AF5567">
      <w:rPr>
        <w:rFonts w:ascii="C39T30Lfz" w:hAnsi="C39T30Lfz"/>
        <w:sz w:val="56"/>
      </w:rPr>
      <w:t></w:t>
    </w:r>
    <w:r w:rsidRPr="00AF5567">
      <w:rPr>
        <w:rFonts w:ascii="C39T30Lfz" w:hAnsi="C39T30Lfz"/>
        <w:sz w:val="56"/>
      </w:rPr>
      <w:t></w:t>
    </w:r>
    <w:r w:rsidRPr="00AF5567">
      <w:rPr>
        <w:rFonts w:ascii="C39T30Lfz" w:hAnsi="C39T30Lfz"/>
        <w:sz w:val="56"/>
      </w:rPr>
      <w:t></w:t>
    </w:r>
    <w:r w:rsidRPr="00AF5567">
      <w:rPr>
        <w:rFonts w:ascii="C39T30Lfz" w:hAnsi="C39T30Lfz"/>
        <w:sz w:val="56"/>
      </w:rPr>
      <w:t></w:t>
    </w:r>
    <w:r w:rsidRPr="00AF5567">
      <w:rPr>
        <w:rFonts w:ascii="C39T30Lfz" w:hAnsi="C39T30Lfz"/>
        <w:sz w:val="56"/>
      </w:rPr>
      <w:t></w:t>
    </w:r>
    <w:r w:rsidRPr="00AF5567">
      <w:rPr>
        <w:rFonts w:ascii="C39T30Lfz" w:hAnsi="C39T30Lfz"/>
        <w:sz w:val="56"/>
      </w:rPr>
      <w:t></w:t>
    </w:r>
    <w:r w:rsidRPr="00AF5567">
      <w:rPr>
        <w:rFonts w:ascii="C39T30Lfz" w:hAnsi="C39T30Lfz"/>
        <w:sz w:val="56"/>
      </w:rPr>
      <w:t></w:t>
    </w:r>
    <w:r w:rsidRPr="00AF5567">
      <w:rPr>
        <w:rFonts w:ascii="C39T30Lfz" w:hAnsi="C39T30Lfz"/>
        <w:sz w:val="56"/>
      </w:rPr>
      <w:t></w:t>
    </w:r>
    <w:r w:rsidRPr="00AF556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1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1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B4" w:rsidRPr="00AC3823" w:rsidRDefault="004920B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20B4" w:rsidRPr="00AC3823" w:rsidRDefault="004920B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20B4" w:rsidRPr="00AC3823" w:rsidRDefault="004920B4">
      <w:pPr>
        <w:spacing w:line="240" w:lineRule="auto"/>
        <w:rPr>
          <w:sz w:val="2"/>
          <w:szCs w:val="2"/>
        </w:rPr>
      </w:pPr>
    </w:p>
  </w:footnote>
  <w:footnote w:id="2">
    <w:p w:rsidR="001B670F" w:rsidRPr="001B670F" w:rsidRDefault="001B670F">
      <w:pPr>
        <w:pStyle w:val="FootnoteText"/>
      </w:pPr>
      <w:r>
        <w:rPr>
          <w:rStyle w:val="FootnoteReference"/>
        </w:rPr>
        <w:tab/>
      </w:r>
      <w:r w:rsidRPr="001B670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43D52">
        <w:rPr>
          <w:szCs w:val="18"/>
          <w:lang w:val="fr-FR"/>
        </w:rPr>
        <w:t xml:space="preserve">Conformément au programme de travail du Comité des transports </w:t>
      </w:r>
      <w:r w:rsidR="00322644">
        <w:rPr>
          <w:szCs w:val="18"/>
          <w:lang w:val="fr-FR"/>
        </w:rPr>
        <w:t>intérieurs pour la période 2016-</w:t>
      </w:r>
      <w:r w:rsidRPr="00943D52">
        <w:rPr>
          <w:szCs w:val="18"/>
          <w:lang w:val="fr-FR"/>
        </w:rPr>
        <w:t>2017 (ECE/TRANS/254, par</w:t>
      </w:r>
      <w:r w:rsidR="00322644">
        <w:rPr>
          <w:szCs w:val="18"/>
          <w:lang w:val="fr-FR"/>
        </w:rPr>
        <w:t>. </w:t>
      </w:r>
      <w:r w:rsidRPr="00943D52">
        <w:rPr>
          <w:szCs w:val="18"/>
          <w:lang w:val="fr-FR"/>
        </w:rPr>
        <w:t>159</w:t>
      </w:r>
      <w:r w:rsidR="00980EA1">
        <w:rPr>
          <w:szCs w:val="18"/>
          <w:lang w:val="fr-FR"/>
        </w:rPr>
        <w:t>,</w:t>
      </w:r>
      <w:r w:rsidRPr="00943D52">
        <w:rPr>
          <w:szCs w:val="18"/>
          <w:lang w:val="fr-FR"/>
        </w:rPr>
        <w:t xml:space="preserve"> et</w:t>
      </w:r>
      <w:r w:rsidR="00F33A7C">
        <w:rPr>
          <w:szCs w:val="18"/>
          <w:lang w:val="fr-FR"/>
        </w:rPr>
        <w:t xml:space="preserve"> </w:t>
      </w:r>
      <w:r w:rsidRPr="00943D52">
        <w:rPr>
          <w:szCs w:val="18"/>
          <w:lang w:val="fr-FR"/>
        </w:rPr>
        <w:t>ECE/TRANS/2016/28/</w:t>
      </w:r>
      <w:r w:rsidRPr="004D506F">
        <w:rPr>
          <w:szCs w:val="18"/>
          <w:lang w:val="fr-FR"/>
        </w:rPr>
        <w:t>Add.1, module 3.1), le</w:t>
      </w:r>
      <w:r w:rsidRPr="00943D52">
        <w:rPr>
          <w:szCs w:val="18"/>
          <w:lang w:val="fr-FR"/>
        </w:rPr>
        <w:t xml:space="preserve"> Forum mondial a pour mission d</w:t>
      </w:r>
      <w:r>
        <w:rPr>
          <w:szCs w:val="18"/>
          <w:lang w:val="fr-FR"/>
        </w:rPr>
        <w:t>’</w:t>
      </w:r>
      <w:r w:rsidRPr="00943D52">
        <w:rPr>
          <w:szCs w:val="18"/>
          <w:lang w:val="fr-FR"/>
        </w:rPr>
        <w:t>élaborer, d</w:t>
      </w:r>
      <w:r>
        <w:rPr>
          <w:szCs w:val="18"/>
          <w:lang w:val="fr-FR"/>
        </w:rPr>
        <w:t>’</w:t>
      </w:r>
      <w:r w:rsidRPr="00943D52">
        <w:rPr>
          <w:szCs w:val="18"/>
          <w:lang w:val="fr-FR"/>
        </w:rPr>
        <w:t>harmoniser et de mettre à jour les Règlements en vue d</w:t>
      </w:r>
      <w:r>
        <w:rPr>
          <w:szCs w:val="18"/>
          <w:lang w:val="fr-FR"/>
        </w:rPr>
        <w:t>’</w:t>
      </w:r>
      <w:r w:rsidRPr="00943D52">
        <w:rPr>
          <w:szCs w:val="18"/>
          <w:lang w:val="fr-FR"/>
        </w:rPr>
        <w:t xml:space="preserve">améliorer les caractéristiques fonctionnelles des véhicules. Le présent document est soumis </w:t>
      </w:r>
      <w:r>
        <w:rPr>
          <w:szCs w:val="18"/>
          <w:lang w:val="fr-FR"/>
        </w:rPr>
        <w:t>en vertu</w:t>
      </w:r>
      <w:r w:rsidRPr="00943D52">
        <w:rPr>
          <w:szCs w:val="18"/>
          <w:lang w:val="fr-FR"/>
        </w:rPr>
        <w:t xml:space="preserve">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67" w:rsidRPr="00AF5567" w:rsidRDefault="00AF5567">
    <w:pPr>
      <w:pStyle w:val="Header"/>
    </w:pPr>
    <w:r>
      <w:t>ECE/TRANS/WP.29/2016/114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67" w:rsidRPr="00AF5567" w:rsidRDefault="00AF5567" w:rsidP="00AF5567">
    <w:pPr>
      <w:pStyle w:val="Header"/>
      <w:jc w:val="right"/>
    </w:pPr>
    <w:r>
      <w:t>ECE/TRANS/WP.29/2016/114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B4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B670F"/>
    <w:rsid w:val="001F525A"/>
    <w:rsid w:val="00223272"/>
    <w:rsid w:val="0024779E"/>
    <w:rsid w:val="00257168"/>
    <w:rsid w:val="002744B8"/>
    <w:rsid w:val="002832AC"/>
    <w:rsid w:val="002D7C93"/>
    <w:rsid w:val="00305801"/>
    <w:rsid w:val="00322644"/>
    <w:rsid w:val="00347C7E"/>
    <w:rsid w:val="003916DE"/>
    <w:rsid w:val="00441C3B"/>
    <w:rsid w:val="00446FE5"/>
    <w:rsid w:val="00452396"/>
    <w:rsid w:val="004837D8"/>
    <w:rsid w:val="004920B4"/>
    <w:rsid w:val="004B1161"/>
    <w:rsid w:val="004E468C"/>
    <w:rsid w:val="005505B7"/>
    <w:rsid w:val="00573BE5"/>
    <w:rsid w:val="00586ED3"/>
    <w:rsid w:val="00596AA9"/>
    <w:rsid w:val="006577B3"/>
    <w:rsid w:val="006B3D7E"/>
    <w:rsid w:val="00712B7D"/>
    <w:rsid w:val="0071601D"/>
    <w:rsid w:val="00740AAF"/>
    <w:rsid w:val="007A62E6"/>
    <w:rsid w:val="007F20FA"/>
    <w:rsid w:val="0080684C"/>
    <w:rsid w:val="00807EE4"/>
    <w:rsid w:val="00871C75"/>
    <w:rsid w:val="008776DC"/>
    <w:rsid w:val="009705C8"/>
    <w:rsid w:val="00980EA1"/>
    <w:rsid w:val="009C1CF4"/>
    <w:rsid w:val="009F6B74"/>
    <w:rsid w:val="00A30353"/>
    <w:rsid w:val="00AA6065"/>
    <w:rsid w:val="00AC3823"/>
    <w:rsid w:val="00AE323C"/>
    <w:rsid w:val="00AF0CB5"/>
    <w:rsid w:val="00AF5567"/>
    <w:rsid w:val="00B00181"/>
    <w:rsid w:val="00B00B0D"/>
    <w:rsid w:val="00B765F7"/>
    <w:rsid w:val="00BA0CA9"/>
    <w:rsid w:val="00C02897"/>
    <w:rsid w:val="00C12036"/>
    <w:rsid w:val="00D11F41"/>
    <w:rsid w:val="00D23E59"/>
    <w:rsid w:val="00D3439C"/>
    <w:rsid w:val="00DB1831"/>
    <w:rsid w:val="00DD3BFD"/>
    <w:rsid w:val="00DF6678"/>
    <w:rsid w:val="00E85C74"/>
    <w:rsid w:val="00EA6547"/>
    <w:rsid w:val="00EB0FC4"/>
    <w:rsid w:val="00EB3AF8"/>
    <w:rsid w:val="00EF2E22"/>
    <w:rsid w:val="00F33A7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AEBF33-74CA-45DC-84B6-289AE1E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G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ECE/TRANS/WP.29/2016/114</vt:lpstr>
      <vt:lpstr/>
    </vt:vector>
  </TitlesOfParts>
  <Company>DCM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ECE/TRANS/WP.29/2016/114</dc:title>
  <dc:subject>FINAL</dc:subject>
  <dc:creator>DARICHE</dc:creator>
  <cp:keywords/>
  <dc:description/>
  <cp:lastModifiedBy>Caillot</cp:lastModifiedBy>
  <cp:revision>2</cp:revision>
  <cp:lastPrinted>2016-10-03T06:21:00Z</cp:lastPrinted>
  <dcterms:created xsi:type="dcterms:W3CDTF">2016-10-10T15:45:00Z</dcterms:created>
  <dcterms:modified xsi:type="dcterms:W3CDTF">2016-10-10T15:45:00Z</dcterms:modified>
</cp:coreProperties>
</file>