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97233">
              <w:fldChar w:fldCharType="begin"/>
            </w:r>
            <w:r w:rsidR="00797233">
              <w:instrText xml:space="preserve"> FILLIN  "Введите символ после ЕCE/"  \* MERGEFORMAT </w:instrText>
            </w:r>
            <w:r w:rsidR="00797233">
              <w:fldChar w:fldCharType="separate"/>
            </w:r>
            <w:r w:rsidR="0030172C">
              <w:t>TRANS/WP.29/2016/96</w:t>
            </w:r>
            <w:r w:rsidR="00797233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9723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30172C" w:rsidP="007B199D">
            <w:r>
              <w:rPr>
                <w:lang w:val="en-US"/>
              </w:rPr>
              <w:t>1 September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9723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0172C" w:rsidRPr="0030172C" w:rsidRDefault="0030172C" w:rsidP="0030172C">
      <w:pPr>
        <w:spacing w:before="120"/>
        <w:rPr>
          <w:sz w:val="28"/>
          <w:szCs w:val="28"/>
        </w:rPr>
      </w:pPr>
      <w:r w:rsidRPr="0030172C">
        <w:rPr>
          <w:sz w:val="28"/>
          <w:szCs w:val="28"/>
        </w:rPr>
        <w:t>Комитет по внутреннему транспорту</w:t>
      </w:r>
    </w:p>
    <w:p w:rsidR="0030172C" w:rsidRPr="0030172C" w:rsidRDefault="0030172C" w:rsidP="0030172C">
      <w:pPr>
        <w:spacing w:before="120"/>
        <w:rPr>
          <w:b/>
          <w:sz w:val="24"/>
          <w:szCs w:val="24"/>
        </w:rPr>
      </w:pPr>
      <w:r w:rsidRPr="0030172C">
        <w:rPr>
          <w:b/>
          <w:sz w:val="24"/>
          <w:szCs w:val="24"/>
        </w:rPr>
        <w:t xml:space="preserve">Всемирный форум для согласования правил </w:t>
      </w:r>
      <w:r w:rsidRPr="0030172C">
        <w:rPr>
          <w:b/>
          <w:sz w:val="24"/>
          <w:szCs w:val="24"/>
        </w:rPr>
        <w:br/>
        <w:t xml:space="preserve">в области транспортных средств </w:t>
      </w:r>
    </w:p>
    <w:p w:rsidR="0030172C" w:rsidRPr="0030172C" w:rsidRDefault="0030172C" w:rsidP="0030172C">
      <w:pPr>
        <w:spacing w:before="120"/>
      </w:pPr>
      <w:r w:rsidRPr="0030172C">
        <w:rPr>
          <w:b/>
        </w:rPr>
        <w:t>170-я сессия</w:t>
      </w:r>
      <w:r w:rsidRPr="0030172C">
        <w:br/>
        <w:t>Женева, 15−18 ноября 2016 года</w:t>
      </w:r>
      <w:r w:rsidRPr="0030172C">
        <w:br/>
        <w:t>Пункт 4.7.8 предварительной повестки дня</w:t>
      </w:r>
    </w:p>
    <w:p w:rsidR="0030172C" w:rsidRPr="0030172C" w:rsidRDefault="0030172C" w:rsidP="0030172C">
      <w:pPr>
        <w:rPr>
          <w:b/>
        </w:rPr>
      </w:pPr>
      <w:r w:rsidRPr="0030172C">
        <w:rPr>
          <w:b/>
        </w:rPr>
        <w:t>Соглашение 1958 года:</w:t>
      </w:r>
    </w:p>
    <w:p w:rsidR="0030172C" w:rsidRPr="0030172C" w:rsidRDefault="0030172C" w:rsidP="0030172C">
      <w:pPr>
        <w:rPr>
          <w:b/>
        </w:rPr>
      </w:pPr>
      <w:r w:rsidRPr="0030172C">
        <w:rPr>
          <w:b/>
        </w:rPr>
        <w:t>Рассмотрение проектов поправок</w:t>
      </w:r>
    </w:p>
    <w:p w:rsidR="0030172C" w:rsidRPr="0030172C" w:rsidRDefault="0030172C" w:rsidP="0030172C">
      <w:pPr>
        <w:rPr>
          <w:b/>
        </w:rPr>
      </w:pPr>
      <w:r w:rsidRPr="0030172C">
        <w:rPr>
          <w:b/>
        </w:rPr>
        <w:t xml:space="preserve">к существующим правилам, </w:t>
      </w:r>
      <w:r w:rsidR="00854293" w:rsidRPr="00854293">
        <w:rPr>
          <w:b/>
        </w:rPr>
        <w:br/>
      </w:r>
      <w:r w:rsidRPr="0030172C">
        <w:rPr>
          <w:b/>
        </w:rPr>
        <w:t>представленных GRSG</w:t>
      </w:r>
    </w:p>
    <w:p w:rsidR="0030172C" w:rsidRPr="0030172C" w:rsidRDefault="0030172C" w:rsidP="0030172C">
      <w:pPr>
        <w:pStyle w:val="HChGR"/>
      </w:pPr>
      <w:r w:rsidRPr="0030172C">
        <w:tab/>
      </w:r>
      <w:r w:rsidRPr="0030172C">
        <w:tab/>
        <w:t>Предложение по дополнению 9 к Правилам № 121 (идентификация органов управления, контрольных сигналов и индикаторов)</w:t>
      </w:r>
    </w:p>
    <w:p w:rsidR="0030172C" w:rsidRPr="0030172C" w:rsidRDefault="0030172C" w:rsidP="0030172C">
      <w:pPr>
        <w:pStyle w:val="H1GR"/>
      </w:pPr>
      <w:r w:rsidRPr="0030172C">
        <w:tab/>
      </w:r>
      <w:r w:rsidRPr="0030172C">
        <w:tab/>
        <w:t>Представлено Рабочей группой по общим предписаниям, касающимся безопасности</w:t>
      </w:r>
      <w:r w:rsidR="00630754" w:rsidRPr="0063075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30172C" w:rsidRPr="00630754" w:rsidRDefault="0030172C" w:rsidP="00630754">
      <w:pPr>
        <w:pStyle w:val="SingleTxtGR"/>
      </w:pPr>
      <w:r w:rsidRPr="0030172C">
        <w:tab/>
        <w:t>Воспроизведенный ниже текст был принят Рабочей группой по общим предписаниям, касающимся безопасности (GRSG), на ее 110-й сессии (ECE/TRANS/WP.29/GRSG/89, пункт 46). Он основан на документе</w:t>
      </w:r>
      <w:r w:rsidR="001D0BE8" w:rsidRPr="001D0BE8">
        <w:t xml:space="preserve"> </w:t>
      </w:r>
      <w:r w:rsidRPr="0030172C">
        <w:t>ECE/</w:t>
      </w:r>
      <w:r w:rsidR="001D0BE8" w:rsidRPr="001D0BE8">
        <w:br/>
      </w:r>
      <w:r w:rsidRPr="0030172C">
        <w:t>TRANS/WP.29/GRSG/2015/24 c поправками, содержащимися в приложении IV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2016 года.</w:t>
      </w:r>
    </w:p>
    <w:p w:rsidR="0030172C" w:rsidRPr="0030172C" w:rsidRDefault="0030172C" w:rsidP="006A183C">
      <w:pPr>
        <w:pStyle w:val="HChGR"/>
      </w:pPr>
      <w:r w:rsidRPr="0030172C">
        <w:br w:type="page"/>
      </w:r>
      <w:r w:rsidRPr="0030172C">
        <w:lastRenderedPageBreak/>
        <w:tab/>
      </w:r>
      <w:r w:rsidRPr="0030172C">
        <w:tab/>
        <w:t>Дополнение 9 к Правилам № 121 (идентификация органов упр</w:t>
      </w:r>
      <w:r w:rsidR="006A183C">
        <w:t>авления, контрольных сигналов и</w:t>
      </w:r>
      <w:r w:rsidR="006A183C">
        <w:rPr>
          <w:lang w:val="en-US"/>
        </w:rPr>
        <w:t> </w:t>
      </w:r>
      <w:r w:rsidRPr="0030172C">
        <w:t>индикаторов)</w:t>
      </w:r>
    </w:p>
    <w:p w:rsidR="0030172C" w:rsidRPr="006A183C" w:rsidRDefault="0030172C" w:rsidP="006A183C">
      <w:pPr>
        <w:pStyle w:val="SingleTxtGR"/>
        <w:rPr>
          <w:rFonts w:eastAsia="Calibri"/>
        </w:rPr>
      </w:pPr>
      <w:r w:rsidRPr="001D0BE8">
        <w:rPr>
          <w:i/>
        </w:rPr>
        <w:t>В таблице 1, строки 2 и 19, добавить ссылку на сноску</w:t>
      </w:r>
      <w:r w:rsidRPr="0030172C">
        <w:rPr>
          <w:vertAlign w:val="superscript"/>
        </w:rPr>
        <w:t>18</w:t>
      </w:r>
      <w:r w:rsidRPr="0030172C">
        <w:t xml:space="preserve"> следующего содержания:</w:t>
      </w:r>
    </w:p>
    <w:p w:rsidR="0030172C" w:rsidRPr="0030172C" w:rsidRDefault="006A183C" w:rsidP="006A183C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30172C" w:rsidRPr="006A183C">
        <w:rPr>
          <w:b w:val="0"/>
        </w:rPr>
        <w:t>«Таблица 1</w:t>
      </w:r>
      <w:r w:rsidRPr="006A183C">
        <w:br/>
      </w:r>
      <w:r w:rsidR="0030172C" w:rsidRPr="0030172C">
        <w:t>Условные обозначения, их освещение и цвета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78"/>
        <w:gridCol w:w="2240"/>
        <w:gridCol w:w="1825"/>
        <w:gridCol w:w="1518"/>
        <w:gridCol w:w="1320"/>
        <w:gridCol w:w="1223"/>
      </w:tblGrid>
      <w:tr w:rsidR="00B1333C" w:rsidRPr="00886BDA" w:rsidTr="001E3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left"/>
              <w:rPr>
                <w:rFonts w:eastAsiaTheme="minorHAnsi"/>
                <w:sz w:val="16"/>
                <w:szCs w:val="22"/>
              </w:rPr>
            </w:pPr>
            <w:r w:rsidRPr="00B1333C">
              <w:rPr>
                <w:rFonts w:eastAsiaTheme="minorHAnsi"/>
                <w:sz w:val="16"/>
                <w:szCs w:val="22"/>
              </w:rPr>
              <w:t>№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22"/>
                <w:lang w:val="en-US"/>
              </w:rPr>
            </w:pPr>
            <w:r w:rsidRPr="00B1333C">
              <w:rPr>
                <w:rFonts w:eastAsiaTheme="minorHAnsi"/>
                <w:sz w:val="16"/>
                <w:szCs w:val="22"/>
                <w:lang w:val="en-US"/>
              </w:rPr>
              <w:t>Колонка 1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22"/>
                <w:lang w:val="en-US"/>
              </w:rPr>
            </w:pPr>
            <w:r w:rsidRPr="00B1333C">
              <w:rPr>
                <w:rFonts w:eastAsiaTheme="minorHAnsi"/>
                <w:sz w:val="16"/>
                <w:szCs w:val="22"/>
                <w:lang w:val="en-US"/>
              </w:rPr>
              <w:t>Колонка 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22"/>
                <w:lang w:val="en-US"/>
              </w:rPr>
            </w:pPr>
            <w:r w:rsidRPr="00B1333C">
              <w:rPr>
                <w:rFonts w:eastAsiaTheme="minorHAnsi"/>
                <w:sz w:val="16"/>
                <w:szCs w:val="22"/>
                <w:lang w:val="en-US"/>
              </w:rPr>
              <w:t>Колонка 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22"/>
                <w:lang w:val="en-US"/>
              </w:rPr>
            </w:pPr>
            <w:r w:rsidRPr="00B1333C">
              <w:rPr>
                <w:rFonts w:eastAsiaTheme="minorHAnsi"/>
                <w:sz w:val="16"/>
                <w:szCs w:val="22"/>
                <w:lang w:val="en-US"/>
              </w:rPr>
              <w:t>Колонка 4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22"/>
                <w:lang w:val="en-US"/>
              </w:rPr>
            </w:pPr>
            <w:r w:rsidRPr="00B1333C">
              <w:rPr>
                <w:rFonts w:eastAsiaTheme="minorHAnsi"/>
                <w:sz w:val="16"/>
                <w:szCs w:val="22"/>
                <w:lang w:val="en-US"/>
              </w:rPr>
              <w:t>Колонка 5</w:t>
            </w:r>
          </w:p>
        </w:tc>
      </w:tr>
      <w:tr w:rsidR="00B1333C" w:rsidRPr="00886BDA" w:rsidTr="001E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rFonts w:eastAsiaTheme="minorHAnsi"/>
                <w:i/>
                <w:sz w:val="16"/>
                <w:szCs w:val="22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sz w:val="16"/>
                <w:szCs w:val="22"/>
                <w:lang w:val="en-US"/>
              </w:rPr>
            </w:pPr>
            <w:r w:rsidRPr="00B1333C">
              <w:rPr>
                <w:rFonts w:eastAsiaTheme="minorHAnsi"/>
                <w:i/>
                <w:sz w:val="16"/>
                <w:szCs w:val="22"/>
                <w:lang w:val="en-US"/>
              </w:rPr>
              <w:t>Позиция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sz w:val="16"/>
                <w:szCs w:val="22"/>
                <w:lang w:val="en-US"/>
              </w:rPr>
            </w:pPr>
            <w:r w:rsidRPr="00B1333C">
              <w:rPr>
                <w:rFonts w:eastAsiaTheme="minorHAnsi"/>
                <w:i/>
                <w:sz w:val="16"/>
                <w:szCs w:val="22"/>
                <w:lang w:val="en-US"/>
              </w:rPr>
              <w:t>Условное обозначение</w:t>
            </w:r>
            <w:r w:rsidRPr="00B1333C">
              <w:rPr>
                <w:rFonts w:eastAsiaTheme="minorHAnsi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sz w:val="16"/>
                <w:szCs w:val="22"/>
                <w:lang w:val="en-US"/>
              </w:rPr>
            </w:pPr>
            <w:r w:rsidRPr="00B1333C">
              <w:rPr>
                <w:rFonts w:eastAsiaTheme="minorHAnsi"/>
                <w:i/>
                <w:sz w:val="16"/>
                <w:szCs w:val="22"/>
                <w:lang w:val="en-US"/>
              </w:rPr>
              <w:t>Функция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sz w:val="16"/>
                <w:szCs w:val="22"/>
                <w:lang w:val="en-US"/>
              </w:rPr>
            </w:pPr>
            <w:r w:rsidRPr="00B1333C">
              <w:rPr>
                <w:rFonts w:eastAsiaTheme="minorHAnsi"/>
                <w:i/>
                <w:sz w:val="16"/>
                <w:szCs w:val="22"/>
                <w:lang w:val="en-US"/>
              </w:rPr>
              <w:t>Освещение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0172C" w:rsidRPr="00B1333C" w:rsidRDefault="0030172C" w:rsidP="00B1333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sz w:val="16"/>
                <w:szCs w:val="22"/>
                <w:lang w:val="en-US"/>
              </w:rPr>
            </w:pPr>
            <w:r w:rsidRPr="00B1333C">
              <w:rPr>
                <w:rFonts w:eastAsiaTheme="minorHAnsi"/>
                <w:i/>
                <w:sz w:val="16"/>
                <w:szCs w:val="22"/>
                <w:lang w:val="en-US"/>
              </w:rPr>
              <w:t>Цвет</w:t>
            </w:r>
          </w:p>
        </w:tc>
      </w:tr>
      <w:tr w:rsidR="00886BDA" w:rsidRPr="00886BDA" w:rsidTr="001E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2240" w:type="dxa"/>
            <w:tcBorders>
              <w:top w:val="single" w:sz="12" w:space="0" w:color="auto"/>
            </w:tcBorders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</w:tr>
      <w:tr w:rsidR="00886BDA" w:rsidRPr="00886BDA" w:rsidTr="0085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30172C" w:rsidRPr="007A4974" w:rsidRDefault="0030172C" w:rsidP="00856E2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2.</w:t>
            </w:r>
          </w:p>
        </w:tc>
        <w:tc>
          <w:tcPr>
            <w:tcW w:w="2240" w:type="dxa"/>
            <w:vMerge w:val="restart"/>
            <w:vAlign w:val="center"/>
            <w:hideMark/>
          </w:tcPr>
          <w:p w:rsidR="0030172C" w:rsidRPr="007A4974" w:rsidRDefault="0030172C" w:rsidP="00856E2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Ближний свет</w:t>
            </w:r>
          </w:p>
        </w:tc>
        <w:tc>
          <w:tcPr>
            <w:tcW w:w="1825" w:type="dxa"/>
            <w:vMerge w:val="restart"/>
            <w:vAlign w:val="center"/>
            <w:hideMark/>
          </w:tcPr>
          <w:p w:rsidR="0030172C" w:rsidRPr="007A4974" w:rsidRDefault="0030172C" w:rsidP="00856E2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noProof/>
                <w:szCs w:val="22"/>
                <w:lang w:val="en-GB" w:eastAsia="en-GB"/>
              </w:rPr>
              <w:drawing>
                <wp:inline distT="0" distB="0" distL="0" distR="0" wp14:anchorId="53045C1C" wp14:editId="694E892B">
                  <wp:extent cx="321945" cy="289560"/>
                  <wp:effectExtent l="0" t="0" r="1905" b="0"/>
                  <wp:docPr id="12" name="Рисунок 12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A23">
              <w:rPr>
                <w:rFonts w:eastAsiaTheme="minorHAnsi" w:cstheme="minorBidi"/>
                <w:szCs w:val="22"/>
                <w:vertAlign w:val="superscript"/>
                <w:lang w:val="en-US"/>
              </w:rPr>
              <w:t xml:space="preserve"> </w:t>
            </w:r>
            <w:r w:rsidRPr="001E3A23">
              <w:rPr>
                <w:rFonts w:eastAsiaTheme="minorHAnsi" w:cstheme="minorBidi"/>
                <w:sz w:val="18"/>
                <w:szCs w:val="18"/>
                <w:vertAlign w:val="superscript"/>
                <w:lang w:val="en-US"/>
              </w:rPr>
              <w:t xml:space="preserve"> 1, 6, 13, 18</w:t>
            </w:r>
          </w:p>
        </w:tc>
        <w:tc>
          <w:tcPr>
            <w:tcW w:w="1518" w:type="dxa"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Орган управления</w:t>
            </w:r>
          </w:p>
        </w:tc>
        <w:tc>
          <w:tcPr>
            <w:tcW w:w="1320" w:type="dxa"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Нет</w:t>
            </w:r>
          </w:p>
        </w:tc>
        <w:tc>
          <w:tcPr>
            <w:tcW w:w="1223" w:type="dxa"/>
            <w:vAlign w:val="top"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</w:p>
        </w:tc>
      </w:tr>
      <w:tr w:rsidR="00886BDA" w:rsidRPr="00886BDA" w:rsidTr="001E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2240" w:type="dxa"/>
            <w:vMerge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825" w:type="dxa"/>
            <w:vMerge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518" w:type="dxa"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Контрольный сигнал</w:t>
            </w:r>
          </w:p>
        </w:tc>
        <w:tc>
          <w:tcPr>
            <w:tcW w:w="1320" w:type="dxa"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Да</w:t>
            </w:r>
          </w:p>
        </w:tc>
        <w:tc>
          <w:tcPr>
            <w:tcW w:w="1223" w:type="dxa"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Зеленый</w:t>
            </w:r>
          </w:p>
        </w:tc>
      </w:tr>
      <w:tr w:rsidR="00886BDA" w:rsidRPr="00886BDA" w:rsidTr="001E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2240" w:type="dxa"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825" w:type="dxa"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518" w:type="dxa"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320" w:type="dxa"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223" w:type="dxa"/>
            <w:vAlign w:val="top"/>
            <w:hideMark/>
          </w:tcPr>
          <w:p w:rsidR="0030172C" w:rsidRPr="007A4974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</w:tr>
      <w:tr w:rsidR="00886BDA" w:rsidRPr="00886BDA" w:rsidTr="0085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30172C" w:rsidRPr="007A4974" w:rsidRDefault="0030172C" w:rsidP="00856E2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  <w:r w:rsidRPr="007A4974">
              <w:rPr>
                <w:rFonts w:eastAsiaTheme="minorHAnsi" w:cstheme="minorBidi"/>
                <w:szCs w:val="22"/>
                <w:lang w:val="en-US"/>
              </w:rPr>
              <w:t>19.</w:t>
            </w:r>
          </w:p>
        </w:tc>
        <w:tc>
          <w:tcPr>
            <w:tcW w:w="2240" w:type="dxa"/>
            <w:vMerge w:val="restart"/>
            <w:vAlign w:val="center"/>
            <w:hideMark/>
          </w:tcPr>
          <w:p w:rsidR="0030172C" w:rsidRPr="00AB376F" w:rsidRDefault="0030172C" w:rsidP="00856E2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 xml:space="preserve">Передние габаритные огни, боковые габаритные огни </w:t>
            </w:r>
            <w:r w:rsidR="00AB376F" w:rsidRPr="00AB376F">
              <w:rPr>
                <w:rFonts w:eastAsiaTheme="minorHAnsi" w:cstheme="minorBidi"/>
                <w:szCs w:val="22"/>
              </w:rPr>
              <w:br/>
            </w:r>
            <w:r w:rsidRPr="00AB376F">
              <w:rPr>
                <w:rFonts w:eastAsiaTheme="minorHAnsi" w:cstheme="minorBidi"/>
                <w:szCs w:val="22"/>
              </w:rPr>
              <w:t>и/или контурные огни</w:t>
            </w:r>
          </w:p>
        </w:tc>
        <w:tc>
          <w:tcPr>
            <w:tcW w:w="1825" w:type="dxa"/>
            <w:vMerge w:val="restart"/>
            <w:vAlign w:val="center"/>
            <w:hideMark/>
          </w:tcPr>
          <w:p w:rsidR="0030172C" w:rsidRPr="00AB376F" w:rsidRDefault="0030172C" w:rsidP="00856E2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7A4974">
              <w:rPr>
                <w:rFonts w:eastAsiaTheme="minorHAnsi" w:cstheme="minorBidi"/>
                <w:noProof/>
                <w:szCs w:val="22"/>
                <w:lang w:val="en-GB" w:eastAsia="en-GB"/>
              </w:rPr>
              <w:drawing>
                <wp:inline distT="0" distB="0" distL="0" distR="0" wp14:anchorId="19AF9F03" wp14:editId="0173FB7A">
                  <wp:extent cx="424815" cy="26416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76F">
              <w:rPr>
                <w:rFonts w:eastAsiaTheme="minorHAnsi" w:cstheme="minorBidi"/>
                <w:szCs w:val="22"/>
              </w:rPr>
              <w:t xml:space="preserve"> </w:t>
            </w:r>
            <w:r w:rsidRPr="00AB376F">
              <w:rPr>
                <w:rFonts w:eastAsiaTheme="minorHAnsi" w:cstheme="minorBidi"/>
                <w:sz w:val="18"/>
                <w:szCs w:val="18"/>
                <w:vertAlign w:val="superscript"/>
              </w:rPr>
              <w:t xml:space="preserve">  1, 6, 18</w:t>
            </w:r>
          </w:p>
        </w:tc>
        <w:tc>
          <w:tcPr>
            <w:tcW w:w="1518" w:type="dxa"/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>Орган управления</w:t>
            </w:r>
          </w:p>
        </w:tc>
        <w:tc>
          <w:tcPr>
            <w:tcW w:w="1320" w:type="dxa"/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>Нет</w:t>
            </w:r>
          </w:p>
        </w:tc>
        <w:tc>
          <w:tcPr>
            <w:tcW w:w="1223" w:type="dxa"/>
            <w:vAlign w:val="top"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</w:p>
        </w:tc>
      </w:tr>
      <w:tr w:rsidR="00886BDA" w:rsidRPr="00886BDA" w:rsidTr="001E3A23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</w:rPr>
            </w:pPr>
          </w:p>
        </w:tc>
        <w:tc>
          <w:tcPr>
            <w:tcW w:w="2240" w:type="dxa"/>
            <w:vMerge/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</w:p>
        </w:tc>
        <w:tc>
          <w:tcPr>
            <w:tcW w:w="1825" w:type="dxa"/>
            <w:vMerge/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</w:p>
        </w:tc>
        <w:tc>
          <w:tcPr>
            <w:tcW w:w="1518" w:type="dxa"/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>Контрольный сигнал</w:t>
            </w:r>
            <w:r w:rsidRPr="00AB376F">
              <w:rPr>
                <w:rFonts w:eastAsiaTheme="minorHAnsi" w:cstheme="minorBidi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320" w:type="dxa"/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>Да</w:t>
            </w:r>
            <w:r w:rsidRPr="00AB376F">
              <w:rPr>
                <w:rFonts w:eastAsiaTheme="minorHAnsi" w:cstheme="minorBid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23" w:type="dxa"/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>Зеленый</w:t>
            </w:r>
          </w:p>
        </w:tc>
      </w:tr>
      <w:tr w:rsidR="00886BDA" w:rsidRPr="00886BDA" w:rsidTr="001E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>…</w:t>
            </w:r>
          </w:p>
        </w:tc>
        <w:tc>
          <w:tcPr>
            <w:tcW w:w="2240" w:type="dxa"/>
            <w:tcBorders>
              <w:bottom w:val="single" w:sz="12" w:space="0" w:color="auto"/>
            </w:tcBorders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>…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>…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>…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>…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vAlign w:val="top"/>
            <w:hideMark/>
          </w:tcPr>
          <w:p w:rsidR="0030172C" w:rsidRPr="00AB376F" w:rsidRDefault="0030172C" w:rsidP="007A497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</w:rPr>
            </w:pPr>
            <w:r w:rsidRPr="00AB376F">
              <w:rPr>
                <w:rFonts w:eastAsiaTheme="minorHAnsi" w:cstheme="minorBidi"/>
                <w:szCs w:val="22"/>
              </w:rPr>
              <w:t>…</w:t>
            </w:r>
          </w:p>
        </w:tc>
      </w:tr>
    </w:tbl>
    <w:p w:rsidR="0030172C" w:rsidRPr="00AB376F" w:rsidRDefault="0030172C" w:rsidP="00886BDA">
      <w:pPr>
        <w:pStyle w:val="SingleTxtGR"/>
        <w:spacing w:before="120"/>
      </w:pPr>
      <w:r w:rsidRPr="0030172C">
        <w:t>…»</w:t>
      </w:r>
    </w:p>
    <w:p w:rsidR="00A658DB" w:rsidRPr="00886BDA" w:rsidRDefault="00886BDA" w:rsidP="00886BD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886BDA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2C" w:rsidRDefault="0030172C" w:rsidP="00B471C5">
      <w:r>
        <w:separator/>
      </w:r>
    </w:p>
  </w:endnote>
  <w:endnote w:type="continuationSeparator" w:id="0">
    <w:p w:rsidR="0030172C" w:rsidRDefault="0030172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9723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630754">
      <w:rPr>
        <w:lang w:val="en-US"/>
      </w:rPr>
      <w:t>15146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A183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30754">
            <w:rPr>
              <w:lang w:val="en-US"/>
            </w:rPr>
            <w:t>15146</w:t>
          </w:r>
          <w:r w:rsidRPr="001C3ABC">
            <w:rPr>
              <w:lang w:val="en-US"/>
            </w:rPr>
            <w:t xml:space="preserve"> (R)</w:t>
          </w:r>
          <w:r w:rsidR="00630754">
            <w:rPr>
              <w:lang w:val="en-US"/>
            </w:rPr>
            <w:t xml:space="preserve">  160916  200916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A183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9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9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30754" w:rsidRDefault="0063075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30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30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30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30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30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30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30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30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307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2C" w:rsidRPr="009141DC" w:rsidRDefault="0030172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0172C" w:rsidRPr="00D1261C" w:rsidRDefault="0030172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30754" w:rsidRPr="00630754" w:rsidRDefault="00630754">
      <w:pPr>
        <w:pStyle w:val="FootnoteText"/>
        <w:rPr>
          <w:lang w:val="ru-RU"/>
        </w:rPr>
      </w:pPr>
      <w:r>
        <w:tab/>
      </w:r>
      <w:r w:rsidRPr="00630754">
        <w:rPr>
          <w:rStyle w:val="FootnoteReference"/>
          <w:sz w:val="20"/>
          <w:vertAlign w:val="baseline"/>
          <w:lang w:val="ru-RU"/>
        </w:rPr>
        <w:t>*</w:t>
      </w:r>
      <w:r w:rsidRPr="00630754">
        <w:rPr>
          <w:lang w:val="ru-RU"/>
        </w:rPr>
        <w:t xml:space="preserve"> </w:t>
      </w:r>
      <w:r w:rsidRPr="00630754">
        <w:rPr>
          <w:lang w:val="ru-RU"/>
        </w:rPr>
        <w:tab/>
      </w:r>
      <w:r w:rsidRPr="0030172C">
        <w:rPr>
          <w:lang w:val="ru-RU"/>
        </w:rPr>
        <w:t>В соответствии с программой работы Комите</w:t>
      </w:r>
      <w:r>
        <w:rPr>
          <w:lang w:val="ru-RU"/>
        </w:rPr>
        <w:t>та по внутреннему транспорту на</w:t>
      </w:r>
      <w:r>
        <w:rPr>
          <w:lang w:val="en-US"/>
        </w:rPr>
        <w:t> </w:t>
      </w:r>
      <w:r w:rsidRPr="0030172C">
        <w:rPr>
          <w:lang w:val="ru-RU"/>
        </w:rPr>
        <w:t>2016−2017</w:t>
      </w:r>
      <w:r>
        <w:t> </w:t>
      </w:r>
      <w:r w:rsidRPr="0030172C">
        <w:rPr>
          <w:lang w:val="ru-RU"/>
        </w:rPr>
        <w:t>годы (</w:t>
      </w:r>
      <w:r>
        <w:t>ECE</w:t>
      </w:r>
      <w:r w:rsidRPr="0030172C">
        <w:rPr>
          <w:lang w:val="ru-RU"/>
        </w:rPr>
        <w:t>/</w:t>
      </w:r>
      <w:r>
        <w:t>TRANS</w:t>
      </w:r>
      <w:r w:rsidRPr="0030172C">
        <w:rPr>
          <w:lang w:val="ru-RU"/>
        </w:rPr>
        <w:t xml:space="preserve">/254, пункт 159, и </w:t>
      </w:r>
      <w:r>
        <w:t>ECE</w:t>
      </w:r>
      <w:r w:rsidRPr="0030172C">
        <w:rPr>
          <w:lang w:val="ru-RU"/>
        </w:rPr>
        <w:t>/</w:t>
      </w:r>
      <w:r>
        <w:t>TRANS</w:t>
      </w:r>
      <w:r w:rsidRPr="0030172C">
        <w:rPr>
          <w:lang w:val="ru-RU"/>
        </w:rPr>
        <w:t>/2016/28/</w:t>
      </w:r>
      <w:r>
        <w:rPr>
          <w:lang w:val="en-US"/>
        </w:rPr>
        <w:t>Add</w:t>
      </w:r>
      <w:r w:rsidRPr="0030172C">
        <w:rPr>
          <w:lang w:val="ru-RU"/>
        </w:rPr>
        <w:t xml:space="preserve"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630754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630754" w:rsidRPr="00630754">
      <w:rPr>
        <w:lang w:val="en-US"/>
      </w:rPr>
      <w:t>TRANS/WP.29/2016/96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C"/>
    <w:rsid w:val="000450D1"/>
    <w:rsid w:val="000B1FD5"/>
    <w:rsid w:val="000F2A4F"/>
    <w:rsid w:val="001B7F4A"/>
    <w:rsid w:val="001D0BE8"/>
    <w:rsid w:val="001E3A23"/>
    <w:rsid w:val="00203F84"/>
    <w:rsid w:val="00275188"/>
    <w:rsid w:val="0028687D"/>
    <w:rsid w:val="002B091C"/>
    <w:rsid w:val="002B3D40"/>
    <w:rsid w:val="002D0CCB"/>
    <w:rsid w:val="0030172C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2715F"/>
    <w:rsid w:val="00630754"/>
    <w:rsid w:val="00643644"/>
    <w:rsid w:val="00665D8D"/>
    <w:rsid w:val="006A183C"/>
    <w:rsid w:val="006A7A3B"/>
    <w:rsid w:val="006B6B57"/>
    <w:rsid w:val="006F49F1"/>
    <w:rsid w:val="007005EE"/>
    <w:rsid w:val="00705394"/>
    <w:rsid w:val="00743F62"/>
    <w:rsid w:val="00760D3A"/>
    <w:rsid w:val="00773BA8"/>
    <w:rsid w:val="00797233"/>
    <w:rsid w:val="007A1F42"/>
    <w:rsid w:val="007A4974"/>
    <w:rsid w:val="007D76DD"/>
    <w:rsid w:val="00854293"/>
    <w:rsid w:val="00856E28"/>
    <w:rsid w:val="008717E8"/>
    <w:rsid w:val="00886BDA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8116B"/>
    <w:rsid w:val="00A9606E"/>
    <w:rsid w:val="00AB376F"/>
    <w:rsid w:val="00AD7EAD"/>
    <w:rsid w:val="00B1333C"/>
    <w:rsid w:val="00B35A32"/>
    <w:rsid w:val="00B432C6"/>
    <w:rsid w:val="00B471C5"/>
    <w:rsid w:val="00B6474A"/>
    <w:rsid w:val="00BE1742"/>
    <w:rsid w:val="00C7156D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212597-DBE1-4929-BF1D-E633726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ECDA-2BD2-44DF-871D-C3A2D3A0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Caillot</cp:lastModifiedBy>
  <cp:revision>2</cp:revision>
  <cp:lastPrinted>2016-09-20T10:16:00Z</cp:lastPrinted>
  <dcterms:created xsi:type="dcterms:W3CDTF">2016-10-10T15:42:00Z</dcterms:created>
  <dcterms:modified xsi:type="dcterms:W3CDTF">2016-10-10T15:42:00Z</dcterms:modified>
</cp:coreProperties>
</file>