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F2ED6">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442624">
              <w:rPr>
                <w:lang w:val="en-GB"/>
              </w:rPr>
              <w:t>8</w:t>
            </w:r>
            <w:r w:rsidR="00EF2ED6">
              <w:rPr>
                <w:lang w:val="en-GB"/>
              </w:rPr>
              <w:t>2</w:t>
            </w:r>
          </w:p>
        </w:tc>
      </w:tr>
      <w:tr w:rsidR="00AF2205" w:rsidRPr="004406BD"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E7ECD" w:rsidP="00DB57ED">
            <w:pPr>
              <w:spacing w:line="240" w:lineRule="exact"/>
              <w:rPr>
                <w:lang w:val="en-GB"/>
              </w:rPr>
            </w:pPr>
            <w:r>
              <w:rPr>
                <w:lang w:val="en-GB"/>
              </w:rPr>
              <w:t>31</w:t>
            </w:r>
            <w:r w:rsidR="00BC59A3">
              <w:rPr>
                <w:lang w:val="en-GB"/>
              </w:rPr>
              <w:t xml:space="preserve"> </w:t>
            </w:r>
            <w:r w:rsidR="00F364CD">
              <w:rPr>
                <w:lang w:val="en-GB"/>
              </w:rPr>
              <w:t xml:space="preserve">August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263A3">
        <w:rPr>
          <w:lang w:val="en-GB"/>
        </w:rPr>
        <w:t>6</w:t>
      </w:r>
      <w:r w:rsidR="00A90EA8">
        <w:rPr>
          <w:lang w:val="en-GB"/>
        </w:rPr>
        <w:t>.</w:t>
      </w:r>
      <w:r w:rsidR="00D4385E">
        <w:rPr>
          <w:lang w:val="en-GB"/>
        </w:rPr>
        <w:t>8</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303040" w:rsidP="00CA1678">
      <w:pPr>
        <w:pStyle w:val="HChG"/>
        <w:tabs>
          <w:tab w:val="clear" w:pos="851"/>
        </w:tabs>
        <w:ind w:firstLine="0"/>
        <w:jc w:val="both"/>
        <w:rPr>
          <w:lang w:val="en-GB"/>
        </w:rPr>
      </w:pPr>
      <w:r w:rsidRPr="00303040">
        <w:rPr>
          <w:lang w:val="en-GB"/>
        </w:rPr>
        <w:t>Proposal for Supplement 1 to the 0</w:t>
      </w:r>
      <w:r w:rsidR="00EF2ED6">
        <w:rPr>
          <w:lang w:val="en-GB"/>
        </w:rPr>
        <w:t>2</w:t>
      </w:r>
      <w:r w:rsidRPr="00303040">
        <w:rPr>
          <w:lang w:val="en-GB"/>
        </w:rPr>
        <w:t xml:space="preserve"> series of amendments to Regulation No. 53 (Installation of lighting and light-signalling devices for L</w:t>
      </w:r>
      <w:r w:rsidRPr="00303040">
        <w:rPr>
          <w:vertAlign w:val="subscript"/>
          <w:lang w:val="en-GB"/>
        </w:rPr>
        <w:t>3</w:t>
      </w:r>
      <w:r w:rsidRPr="00303040">
        <w:rPr>
          <w:lang w:val="en-GB"/>
        </w:rPr>
        <w:t xml:space="preserve"> vehicles)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A90EA8">
        <w:rPr>
          <w:vertAlign w:val="superscript"/>
          <w:lang w:val="en-GB"/>
        </w:rPr>
        <w:footnoteReference w:customMarkFollows="1" w:id="2"/>
        <w:t>*</w:t>
      </w:r>
    </w:p>
    <w:p w:rsidR="00C263A3" w:rsidRDefault="00C263A3" w:rsidP="00C263A3">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 xml:space="preserve">seventy-fifth </w:t>
      </w:r>
      <w:r w:rsidRPr="00A90EA8">
        <w:rPr>
          <w:lang w:val="en-GB"/>
        </w:rPr>
        <w:t xml:space="preserve">session </w:t>
      </w:r>
      <w:r>
        <w:rPr>
          <w:lang w:val="en-GB"/>
        </w:rPr>
        <w:t>(</w:t>
      </w:r>
      <w:r w:rsidRPr="002516A0">
        <w:rPr>
          <w:lang w:val="en-GB"/>
        </w:rPr>
        <w:t>ECE/TRANS/WP.29/GRE/7</w:t>
      </w:r>
      <w:r>
        <w:rPr>
          <w:lang w:val="en-GB"/>
        </w:rPr>
        <w:t>5,</w:t>
      </w:r>
      <w:r w:rsidRPr="00C263A3">
        <w:rPr>
          <w:lang w:val="en-US"/>
        </w:rPr>
        <w:t xml:space="preserve"> </w:t>
      </w:r>
      <w:r w:rsidRPr="00C263A3">
        <w:rPr>
          <w:lang w:val="en-GB"/>
        </w:rPr>
        <w:t xml:space="preserve">para. </w:t>
      </w:r>
      <w:r w:rsidR="00303040">
        <w:rPr>
          <w:lang w:val="en-GB"/>
        </w:rPr>
        <w:t>37)</w:t>
      </w:r>
      <w:r>
        <w:rPr>
          <w:lang w:val="en-GB"/>
        </w:rPr>
        <w:t xml:space="preserve">. It is </w:t>
      </w:r>
      <w:r w:rsidRPr="00C263A3">
        <w:rPr>
          <w:lang w:val="en-GB"/>
        </w:rPr>
        <w:t xml:space="preserve">based on </w:t>
      </w:r>
      <w:bookmarkStart w:id="0" w:name="_GoBack"/>
      <w:r w:rsidR="00032ED5" w:rsidRPr="00032ED5">
        <w:rPr>
          <w:lang w:val="en-GB"/>
        </w:rPr>
        <w:t>ECE/TRANS/WP.29/GRE/2016/</w:t>
      </w:r>
      <w:r w:rsidR="00303040">
        <w:rPr>
          <w:lang w:val="en-GB"/>
        </w:rPr>
        <w:t>15</w:t>
      </w:r>
      <w:bookmarkEnd w:id="0"/>
      <w:r>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November 2016 sessions.</w:t>
      </w:r>
    </w:p>
    <w:p w:rsidR="00A90EA8" w:rsidRDefault="00A90EA8" w:rsidP="002C20C9">
      <w:pPr>
        <w:pStyle w:val="SingleTxtG"/>
        <w:ind w:firstLine="567"/>
        <w:rPr>
          <w:lang w:val="en-GB"/>
        </w:rPr>
      </w:pP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3F12EB" w:rsidRPr="00A90EA8" w:rsidRDefault="00303040" w:rsidP="003F12EB">
      <w:pPr>
        <w:pStyle w:val="HChG"/>
        <w:tabs>
          <w:tab w:val="clear" w:pos="851"/>
        </w:tabs>
        <w:ind w:firstLine="0"/>
        <w:jc w:val="both"/>
        <w:rPr>
          <w:lang w:val="en-GB"/>
        </w:rPr>
      </w:pPr>
      <w:r w:rsidRPr="00303040">
        <w:rPr>
          <w:lang w:val="en-GB"/>
        </w:rPr>
        <w:lastRenderedPageBreak/>
        <w:t>Supplement 1 to the 0</w:t>
      </w:r>
      <w:r w:rsidR="00EF2ED6">
        <w:rPr>
          <w:lang w:val="en-GB"/>
        </w:rPr>
        <w:t>2</w:t>
      </w:r>
      <w:r w:rsidRPr="00303040">
        <w:rPr>
          <w:lang w:val="en-GB"/>
        </w:rPr>
        <w:t xml:space="preserve"> series of amendments to Regulation No. 53 (Installation of lighting and light-signalling devices for L</w:t>
      </w:r>
      <w:r w:rsidRPr="00303040">
        <w:rPr>
          <w:vertAlign w:val="subscript"/>
          <w:lang w:val="en-GB"/>
        </w:rPr>
        <w:t>3</w:t>
      </w:r>
      <w:r w:rsidRPr="00303040">
        <w:rPr>
          <w:lang w:val="en-GB"/>
        </w:rPr>
        <w:t xml:space="preserve"> vehicles)</w:t>
      </w:r>
      <w:r>
        <w:rPr>
          <w:lang w:val="en-GB"/>
        </w:rPr>
        <w:t xml:space="preserve"> </w:t>
      </w:r>
    </w:p>
    <w:p w:rsidR="00303040" w:rsidRPr="00B132F6" w:rsidRDefault="00303040" w:rsidP="00303040">
      <w:pPr>
        <w:tabs>
          <w:tab w:val="left" w:pos="1134"/>
          <w:tab w:val="left" w:pos="1701"/>
        </w:tabs>
        <w:spacing w:after="120"/>
        <w:ind w:left="2268" w:hanging="1134"/>
        <w:jc w:val="both"/>
        <w:rPr>
          <w:lang w:val="en-US"/>
        </w:rPr>
      </w:pPr>
      <w:r w:rsidRPr="00B132F6">
        <w:rPr>
          <w:i/>
          <w:iCs/>
          <w:lang w:val="en-US"/>
        </w:rPr>
        <w:t>Paragraph 6.2.5.7.</w:t>
      </w:r>
      <w:r w:rsidRPr="00B132F6">
        <w:rPr>
          <w:lang w:val="en-US"/>
        </w:rPr>
        <w:t>, amend to read:</w:t>
      </w:r>
    </w:p>
    <w:p w:rsidR="00303040" w:rsidRPr="00303040" w:rsidRDefault="004406BD" w:rsidP="00303040">
      <w:pPr>
        <w:pStyle w:val="SingleTxtG"/>
        <w:ind w:left="2268" w:hanging="1134"/>
        <w:rPr>
          <w:lang w:val="en-US"/>
        </w:rPr>
      </w:pPr>
      <w:r>
        <w:rPr>
          <w:lang w:val="en-US"/>
        </w:rPr>
        <w:t>"</w:t>
      </w:r>
      <w:r w:rsidR="00303040" w:rsidRPr="00303040">
        <w:rPr>
          <w:lang w:val="en-US"/>
        </w:rPr>
        <w:t>6.2.5.7.</w:t>
      </w:r>
      <w:r w:rsidR="00303040" w:rsidRPr="00303040">
        <w:rPr>
          <w:lang w:val="en-US"/>
        </w:rPr>
        <w:tab/>
        <w:t xml:space="preserve">Additional light source(s) or additional lighting unit(s) may be activated only in conjunction with the principal passing-beam </w:t>
      </w:r>
      <w:r w:rsidR="00303040" w:rsidRPr="006E4D8D">
        <w:rPr>
          <w:lang w:val="en-US"/>
        </w:rPr>
        <w:t>or the driving-beam</w:t>
      </w:r>
      <w:r w:rsidR="00303040" w:rsidRPr="00303040">
        <w:rPr>
          <w:lang w:val="en-US"/>
        </w:rPr>
        <w:t xml:space="preserve"> to produce bend lighting. The illumination provided by the bend lighting shall not extend above the horizontal plane that is parallel with the ground and containing the reference axis of the headlamp producing the principal passing-beam</w:t>
      </w:r>
      <w:r w:rsidR="00303040" w:rsidRPr="00303040">
        <w:rPr>
          <w:color w:val="0000FF"/>
          <w:lang w:val="en-US"/>
        </w:rPr>
        <w:t xml:space="preserve"> </w:t>
      </w:r>
      <w:r w:rsidR="00303040" w:rsidRPr="00303040">
        <w:rPr>
          <w:lang w:val="en-US"/>
        </w:rPr>
        <w:t>for all bank angles as specified by the manufacture</w:t>
      </w:r>
      <w:r w:rsidR="00303040" w:rsidRPr="008E3EF2">
        <w:rPr>
          <w:lang w:val="en-US"/>
        </w:rPr>
        <w:t>r</w:t>
      </w:r>
      <w:r w:rsidR="00303040" w:rsidRPr="00303040">
        <w:rPr>
          <w:b/>
          <w:lang w:val="en-US"/>
        </w:rPr>
        <w:t xml:space="preserve"> </w:t>
      </w:r>
      <w:r w:rsidR="00303040" w:rsidRPr="00303040">
        <w:rPr>
          <w:lang w:val="en-US"/>
        </w:rPr>
        <w:t>during type approval of the device according to Regulation No. 113.</w:t>
      </w:r>
      <w:r>
        <w:rPr>
          <w:lang w:val="en-US"/>
        </w:rPr>
        <w:t>"</w:t>
      </w:r>
    </w:p>
    <w:p w:rsidR="00303040" w:rsidRPr="00B132F6" w:rsidRDefault="00303040" w:rsidP="00303040">
      <w:pPr>
        <w:tabs>
          <w:tab w:val="left" w:pos="1134"/>
          <w:tab w:val="left" w:pos="1701"/>
        </w:tabs>
        <w:spacing w:after="120"/>
        <w:ind w:left="2268" w:hanging="1134"/>
        <w:jc w:val="both"/>
        <w:rPr>
          <w:lang w:val="en-US"/>
        </w:rPr>
      </w:pPr>
      <w:r w:rsidRPr="00B132F6">
        <w:rPr>
          <w:i/>
          <w:iCs/>
          <w:lang w:val="en-US"/>
        </w:rPr>
        <w:t>Paragraph 6.2.6.1.</w:t>
      </w:r>
      <w:r w:rsidRPr="00B132F6">
        <w:rPr>
          <w:lang w:val="en-US"/>
        </w:rPr>
        <w:t>, amend to read:</w:t>
      </w:r>
    </w:p>
    <w:p w:rsidR="00303040" w:rsidRPr="00303040" w:rsidRDefault="004406BD" w:rsidP="00303040">
      <w:pPr>
        <w:pStyle w:val="SingleTxtG"/>
        <w:ind w:left="2268" w:hanging="1134"/>
        <w:rPr>
          <w:lang w:val="en-US"/>
        </w:rPr>
      </w:pPr>
      <w:r>
        <w:rPr>
          <w:lang w:val="en-US"/>
        </w:rPr>
        <w:t>"</w:t>
      </w:r>
      <w:r w:rsidR="00303040" w:rsidRPr="00303040">
        <w:rPr>
          <w:lang w:val="en-US"/>
        </w:rPr>
        <w:t>6.2.6.1.</w:t>
      </w:r>
      <w:r w:rsidR="00303040" w:rsidRPr="00303040">
        <w:rPr>
          <w:lang w:val="en-US"/>
        </w:rPr>
        <w:tab/>
        <w:t xml:space="preserve">The additional light source(s) or additional lighting unit(s) used to produce bend lighting shall be so connected that it (they) cannot be activated unless the headlamp(s) producing the principal passing-beam </w:t>
      </w:r>
      <w:r w:rsidR="00303040" w:rsidRPr="006E4D8D">
        <w:rPr>
          <w:lang w:val="en-US"/>
        </w:rPr>
        <w:t>or the driving-beam</w:t>
      </w:r>
      <w:r w:rsidR="00303040" w:rsidRPr="00303040">
        <w:rPr>
          <w:lang w:val="en-US"/>
        </w:rPr>
        <w:t xml:space="preserve"> is (are) also activated.</w:t>
      </w:r>
    </w:p>
    <w:p w:rsidR="00303040" w:rsidRPr="001637AB" w:rsidRDefault="00303040" w:rsidP="00303040">
      <w:pPr>
        <w:pStyle w:val="para"/>
        <w:ind w:firstLine="0"/>
      </w:pPr>
      <w:r w:rsidRPr="00E85A84">
        <w:tab/>
      </w:r>
      <w:r>
        <w:t>The additional light source(s)..</w:t>
      </w:r>
      <w:r w:rsidRPr="00E85A84">
        <w:t>.</w:t>
      </w:r>
      <w:r w:rsidR="004406BD">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13C0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03040">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ECE/TRANS/WP.29/2016/</w:t>
    </w:r>
    <w:r w:rsidR="00442624">
      <w:rPr>
        <w:lang w:val="en-US"/>
      </w:rPr>
      <w:t>8</w:t>
    </w:r>
    <w:r w:rsidR="00EF2ED6">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442624">
      <w:rPr>
        <w:lang w:val="en-US"/>
      </w:rPr>
      <w:t>8</w:t>
    </w:r>
    <w:r w:rsidR="00303040">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3C06"/>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6BD"/>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2EF3"/>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E7ECD"/>
    <w:rsid w:val="00DF002F"/>
    <w:rsid w:val="00DF0045"/>
    <w:rsid w:val="00DF1466"/>
    <w:rsid w:val="00DF1F3D"/>
    <w:rsid w:val="00DF1FA1"/>
    <w:rsid w:val="00DF2254"/>
    <w:rsid w:val="00DF3E13"/>
    <w:rsid w:val="00DF4673"/>
    <w:rsid w:val="00DF53E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865"/>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4647A448"/>
  <w15:docId w15:val="{8627D0C0-27CC-41AA-9D1E-2D11F3A7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5BC7-EA0B-4C32-8E4C-B05EE52B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cp:revision>
  <cp:lastPrinted>2016-08-22T08:53:00Z</cp:lastPrinted>
  <dcterms:created xsi:type="dcterms:W3CDTF">2016-08-29T15:12:00Z</dcterms:created>
  <dcterms:modified xsi:type="dcterms:W3CDTF">2016-08-31T08:41:00Z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