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F4C26">
              <w:fldChar w:fldCharType="begin"/>
            </w:r>
            <w:r w:rsidR="007F4C26">
              <w:instrText xml:space="preserve"> FILLIN  "Введите символ после ЕCE/"  \* MERGEFORMAT </w:instrText>
            </w:r>
            <w:r w:rsidR="007F4C26">
              <w:fldChar w:fldCharType="separate"/>
            </w:r>
            <w:r w:rsidR="001A4672">
              <w:t>TRANS/WP.29/2016/75</w:t>
            </w:r>
            <w:r w:rsidR="007F4C26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F4C2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A4672">
                <w:t>31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F4C26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D1BA9" w:rsidRPr="00CD1BA9" w:rsidRDefault="00CD1BA9" w:rsidP="00CD1BA9">
      <w:pPr>
        <w:pStyle w:val="SingleTxtGR"/>
        <w:spacing w:before="120"/>
        <w:ind w:left="0" w:right="1138"/>
        <w:rPr>
          <w:sz w:val="28"/>
          <w:szCs w:val="28"/>
        </w:rPr>
      </w:pPr>
      <w:r w:rsidRPr="00CD1BA9">
        <w:rPr>
          <w:sz w:val="28"/>
          <w:szCs w:val="28"/>
        </w:rPr>
        <w:t>Комитет по внутреннему транспорту</w:t>
      </w:r>
    </w:p>
    <w:p w:rsidR="00CD1BA9" w:rsidRPr="00CD1BA9" w:rsidRDefault="00CD1BA9" w:rsidP="00CD1BA9">
      <w:pPr>
        <w:pStyle w:val="SingleTxtGR"/>
        <w:spacing w:after="0"/>
        <w:ind w:left="0" w:right="1138"/>
        <w:jc w:val="left"/>
        <w:rPr>
          <w:b/>
          <w:sz w:val="24"/>
          <w:szCs w:val="24"/>
        </w:rPr>
      </w:pPr>
      <w:r w:rsidRPr="00CD1BA9">
        <w:rPr>
          <w:b/>
          <w:sz w:val="24"/>
          <w:szCs w:val="24"/>
        </w:rPr>
        <w:t xml:space="preserve">Всемирный форум для согласования правил </w:t>
      </w:r>
      <w:r w:rsidRPr="00CD1BA9">
        <w:rPr>
          <w:b/>
          <w:sz w:val="24"/>
          <w:szCs w:val="24"/>
        </w:rPr>
        <w:br/>
        <w:t>в области транспортных средств</w:t>
      </w:r>
    </w:p>
    <w:p w:rsidR="00CD1BA9" w:rsidRPr="00CD1BA9" w:rsidRDefault="00CD1BA9" w:rsidP="00CD1BA9">
      <w:pPr>
        <w:pStyle w:val="SingleTxtGR"/>
        <w:spacing w:before="120" w:after="0"/>
        <w:ind w:left="0" w:right="1138"/>
        <w:rPr>
          <w:b/>
        </w:rPr>
      </w:pPr>
      <w:r w:rsidRPr="00CD1BA9">
        <w:rPr>
          <w:b/>
        </w:rPr>
        <w:t>170-я сессия</w:t>
      </w:r>
    </w:p>
    <w:p w:rsidR="00CD1BA9" w:rsidRPr="00CD1BA9" w:rsidRDefault="00CD1BA9" w:rsidP="00CD1BA9">
      <w:pPr>
        <w:pStyle w:val="SingleTxtGR"/>
        <w:spacing w:after="0"/>
        <w:ind w:left="0" w:right="1138"/>
      </w:pPr>
      <w:r w:rsidRPr="00CD1BA9">
        <w:t>Женева, 15</w:t>
      </w:r>
      <w:r w:rsidR="0084476D">
        <w:rPr>
          <w:lang w:val="en-US"/>
        </w:rPr>
        <w:t>–</w:t>
      </w:r>
      <w:r w:rsidRPr="00CD1BA9">
        <w:t>18 ноября 2016 года</w:t>
      </w:r>
    </w:p>
    <w:p w:rsidR="00CD1BA9" w:rsidRPr="00CD1BA9" w:rsidRDefault="00CD1BA9" w:rsidP="00CD1BA9">
      <w:pPr>
        <w:pStyle w:val="SingleTxtGR"/>
        <w:spacing w:after="0"/>
        <w:ind w:left="0" w:right="1138"/>
      </w:pPr>
      <w:r w:rsidRPr="00CD1BA9">
        <w:t>Пункт 4.6.1 предварительной повестки дня</w:t>
      </w:r>
    </w:p>
    <w:p w:rsidR="00CD1BA9" w:rsidRPr="00CD1BA9" w:rsidRDefault="00CD1BA9" w:rsidP="00CD1BA9">
      <w:pPr>
        <w:pStyle w:val="SingleTxtGR"/>
        <w:spacing w:after="0"/>
        <w:ind w:left="0" w:right="1138"/>
        <w:jc w:val="left"/>
        <w:rPr>
          <w:b/>
        </w:rPr>
      </w:pPr>
      <w:r w:rsidRPr="00CD1BA9">
        <w:rPr>
          <w:b/>
        </w:rPr>
        <w:t xml:space="preserve">Соглашение 1958 года </w:t>
      </w:r>
      <w:r w:rsidR="009130B4" w:rsidRPr="009130B4">
        <w:rPr>
          <w:b/>
        </w:rPr>
        <w:t>–</w:t>
      </w:r>
      <w:r w:rsidRPr="00CD1BA9">
        <w:rPr>
          <w:b/>
        </w:rPr>
        <w:t xml:space="preserve"> Рассмотрение проектов поправок </w:t>
      </w:r>
      <w:r w:rsidRPr="00CD1BA9">
        <w:rPr>
          <w:b/>
        </w:rPr>
        <w:br/>
        <w:t xml:space="preserve">к существующим правилам, представленных </w:t>
      </w:r>
      <w:r w:rsidRPr="00CD1BA9">
        <w:rPr>
          <w:b/>
          <w:lang w:val="en-GB"/>
        </w:rPr>
        <w:t>GRE</w:t>
      </w:r>
    </w:p>
    <w:p w:rsidR="00CD1BA9" w:rsidRPr="00CD1BA9" w:rsidRDefault="00CD1BA9" w:rsidP="00CD1BA9">
      <w:pPr>
        <w:pStyle w:val="HChGR"/>
      </w:pPr>
      <w:r w:rsidRPr="009130B4">
        <w:tab/>
      </w:r>
      <w:r w:rsidRPr="009130B4">
        <w:tab/>
      </w:r>
      <w:r w:rsidRPr="00CD1BA9">
        <w:t xml:space="preserve">Предложение по дополнению 25 к поправкам серии 02 </w:t>
      </w:r>
      <w:r w:rsidRPr="00CD1BA9">
        <w:br/>
        <w:t>к Правилам № 7 (габаритные огни, сигналы торможения и контурные огни)</w:t>
      </w:r>
    </w:p>
    <w:p w:rsidR="00CD1BA9" w:rsidRPr="00CD1BA9" w:rsidRDefault="00CD1BA9" w:rsidP="00CD1BA9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CD1BA9">
        <w:t>Представлено Рабочей группой по вопросам освещения и</w:t>
      </w:r>
      <w:r w:rsidR="00FE6F6B">
        <w:rPr>
          <w:lang w:val="en-US"/>
        </w:rPr>
        <w:t> </w:t>
      </w:r>
      <w:r w:rsidRPr="00CD1BA9">
        <w:t>световой сигнализации</w:t>
      </w:r>
      <w:r w:rsidR="009130B4" w:rsidRPr="009130B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CD1BA9" w:rsidRPr="00CD1BA9" w:rsidRDefault="00CD1BA9" w:rsidP="00CD1BA9">
      <w:pPr>
        <w:pStyle w:val="SingleTxtGR"/>
      </w:pPr>
      <w:r w:rsidRPr="009130B4">
        <w:tab/>
      </w:r>
      <w:r w:rsidRPr="00CD1BA9">
        <w:t xml:space="preserve">Воспроизведенный ниже текст был принят </w:t>
      </w:r>
      <w:r w:rsidRPr="00CD1BA9">
        <w:rPr>
          <w:bCs/>
        </w:rPr>
        <w:t>Рабочей группой по вопросам освещения и световой сигнализации</w:t>
      </w:r>
      <w:r w:rsidRPr="00CD1BA9">
        <w:t xml:space="preserve"> (</w:t>
      </w:r>
      <w:r w:rsidRPr="00CD1BA9">
        <w:rPr>
          <w:lang w:val="en-GB"/>
        </w:rPr>
        <w:t>GRE</w:t>
      </w:r>
      <w:r w:rsidRPr="00CD1BA9">
        <w:t>) на ее семьдесят пятой сессии (</w:t>
      </w:r>
      <w:r w:rsidRPr="00CD1BA9">
        <w:rPr>
          <w:lang w:val="en-GB"/>
        </w:rPr>
        <w:t>ECE</w:t>
      </w:r>
      <w:r w:rsidRPr="00CD1BA9">
        <w:t>/</w:t>
      </w:r>
      <w:r w:rsidRPr="00CD1BA9">
        <w:rPr>
          <w:lang w:val="en-GB"/>
        </w:rPr>
        <w:t>TRANS</w:t>
      </w:r>
      <w:r w:rsidRPr="00CD1BA9">
        <w:t>/</w:t>
      </w:r>
      <w:r w:rsidRPr="00CD1BA9">
        <w:rPr>
          <w:lang w:val="en-GB"/>
        </w:rPr>
        <w:t>WP</w:t>
      </w:r>
      <w:r w:rsidRPr="00CD1BA9">
        <w:t>.29/</w:t>
      </w:r>
      <w:r w:rsidRPr="00CD1BA9">
        <w:rPr>
          <w:lang w:val="en-GB"/>
        </w:rPr>
        <w:t>GRE</w:t>
      </w:r>
      <w:r w:rsidRPr="00CD1BA9">
        <w:t xml:space="preserve">/75, пункты 16 и 28). В его основу положены документ </w:t>
      </w:r>
      <w:r w:rsidRPr="00CD1BA9">
        <w:rPr>
          <w:lang w:val="en-GB"/>
        </w:rPr>
        <w:t>ECE</w:t>
      </w:r>
      <w:r w:rsidRPr="00CD1BA9">
        <w:t>/</w:t>
      </w:r>
      <w:r w:rsidRPr="00CD1BA9">
        <w:rPr>
          <w:lang w:val="en-GB"/>
        </w:rPr>
        <w:t>TRANS</w:t>
      </w:r>
      <w:r w:rsidRPr="00CD1BA9">
        <w:t>/</w:t>
      </w:r>
      <w:r w:rsidRPr="00CD1BA9">
        <w:rPr>
          <w:lang w:val="en-GB"/>
        </w:rPr>
        <w:t>WP</w:t>
      </w:r>
      <w:r w:rsidRPr="00CD1BA9">
        <w:t>.29/</w:t>
      </w:r>
      <w:r w:rsidRPr="00CD1BA9">
        <w:rPr>
          <w:lang w:val="en-GB"/>
        </w:rPr>
        <w:t>GRE</w:t>
      </w:r>
      <w:r w:rsidRPr="00CD1BA9">
        <w:t xml:space="preserve">/2016/12 без поправок и приложение </w:t>
      </w:r>
      <w:r w:rsidRPr="00CD1BA9">
        <w:rPr>
          <w:lang w:val="en-GB"/>
        </w:rPr>
        <w:t>III</w:t>
      </w:r>
      <w:r w:rsidRPr="00CD1BA9">
        <w:t xml:space="preserve"> к докладу. Этот текст представлен </w:t>
      </w:r>
      <w:r w:rsidRPr="00CD1BA9">
        <w:rPr>
          <w:bCs/>
        </w:rPr>
        <w:t xml:space="preserve">Всемирному форуму для согласования правил </w:t>
      </w:r>
      <w:r w:rsidRPr="00CD1BA9">
        <w:rPr>
          <w:bCs/>
        </w:rPr>
        <w:br/>
        <w:t>в области транспортных средств</w:t>
      </w:r>
      <w:r w:rsidRPr="00CD1BA9">
        <w:t xml:space="preserve"> (</w:t>
      </w:r>
      <w:r w:rsidRPr="00CD1BA9">
        <w:rPr>
          <w:lang w:val="en-GB"/>
        </w:rPr>
        <w:t>WP</w:t>
      </w:r>
      <w:r w:rsidRPr="00CD1BA9">
        <w:t xml:space="preserve">.29) и Административному комитету </w:t>
      </w:r>
      <w:r w:rsidRPr="00CD1BA9">
        <w:rPr>
          <w:lang w:val="en-GB"/>
        </w:rPr>
        <w:t>AC</w:t>
      </w:r>
      <w:r w:rsidRPr="00CD1BA9">
        <w:t>.1 для рассмотрения на их сессиях в ноябре 2016 года.</w:t>
      </w:r>
    </w:p>
    <w:p w:rsidR="00CD1BA9" w:rsidRPr="00CD1BA9" w:rsidRDefault="00CD1BA9" w:rsidP="00CD1BA9">
      <w:pPr>
        <w:pStyle w:val="SingleTxtGR"/>
      </w:pPr>
    </w:p>
    <w:p w:rsidR="00CD1BA9" w:rsidRPr="00CD1BA9" w:rsidRDefault="00CD1BA9" w:rsidP="00CD1BA9">
      <w:pPr>
        <w:pStyle w:val="SingleTxtGR"/>
        <w:rPr>
          <w:b/>
        </w:rPr>
      </w:pPr>
    </w:p>
    <w:p w:rsidR="00CD1BA9" w:rsidRPr="00CD1BA9" w:rsidRDefault="00CD1BA9" w:rsidP="00CD1BA9">
      <w:pPr>
        <w:pStyle w:val="SingleTxtGR"/>
      </w:pPr>
      <w:r w:rsidRPr="00CD1BA9">
        <w:br w:type="page"/>
      </w:r>
    </w:p>
    <w:p w:rsidR="00CD1BA9" w:rsidRPr="00CD1BA9" w:rsidRDefault="00CD1BA9" w:rsidP="00CD1BA9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Pr="00CD1BA9">
        <w:t xml:space="preserve">Дополнение 25 к поправкам серии 02 </w:t>
      </w:r>
      <w:r w:rsidRPr="00CD1BA9">
        <w:br/>
        <w:t>к Правилам № 7 (габаритные огни, сигналы торможения и контурные огни)</w:t>
      </w:r>
    </w:p>
    <w:p w:rsidR="00CD1BA9" w:rsidRPr="00CD1BA9" w:rsidRDefault="00CD1BA9" w:rsidP="00CD1BA9">
      <w:pPr>
        <w:pStyle w:val="SingleTxtGR"/>
        <w:rPr>
          <w:iCs/>
        </w:rPr>
      </w:pPr>
      <w:r w:rsidRPr="00CD1BA9">
        <w:rPr>
          <w:i/>
          <w:iCs/>
        </w:rPr>
        <w:t xml:space="preserve">Пункт 6.1.7.2 </w:t>
      </w:r>
      <w:r w:rsidRPr="00CD1BA9">
        <w:t>изменить следующим образом:</w:t>
      </w:r>
    </w:p>
    <w:p w:rsidR="00CD1BA9" w:rsidRPr="00CD1BA9" w:rsidRDefault="00CD1BA9" w:rsidP="00CD1BA9">
      <w:pPr>
        <w:pStyle w:val="SingleTxtGR"/>
        <w:ind w:left="2268" w:hanging="1134"/>
      </w:pPr>
      <w:r w:rsidRPr="00CD1BA9">
        <w:t>«6.1.7.2</w:t>
      </w:r>
      <w:r w:rsidRPr="00CD1BA9">
        <w:tab/>
        <w:t>Характеристики огня одиночных огней должны соответствовать минимальным значениям силы света, предписанным в таблице нормального распределения света в пространстве, содержащейся в приложении</w:t>
      </w:r>
      <w:r w:rsidRPr="00CD1BA9">
        <w:rPr>
          <w:lang w:val="fr-CH"/>
        </w:rPr>
        <w:t> </w:t>
      </w:r>
      <w:r w:rsidRPr="00CD1BA9">
        <w:t>4, когда один из источников света выходит из строя. Однако для огней, предназначенных для использования только с двумя источниками света, достаточным считается 50-процентный уровень минимальной силы света на исходной оси огня при условии, что в карточке сообщения отмечено, что огонь предназначен для использования только на транспортном средстве, оснащенном контрольным сигналом, указывающим на выход</w:t>
      </w:r>
      <w:r w:rsidRPr="00CD1BA9">
        <w:rPr>
          <w:b/>
          <w:bCs/>
        </w:rPr>
        <w:t xml:space="preserve"> </w:t>
      </w:r>
      <w:r w:rsidRPr="00CD1BA9">
        <w:t>из строя одного из этих двух источников света».</w:t>
      </w:r>
    </w:p>
    <w:p w:rsidR="00CD1BA9" w:rsidRPr="00CD1BA9" w:rsidRDefault="00CD1BA9" w:rsidP="00CD1BA9">
      <w:pPr>
        <w:pStyle w:val="SingleTxtGR"/>
        <w:rPr>
          <w:i/>
        </w:rPr>
      </w:pPr>
      <w:r w:rsidRPr="00CD1BA9">
        <w:rPr>
          <w:i/>
          <w:iCs/>
        </w:rPr>
        <w:t>Приложение 2</w:t>
      </w:r>
      <w:r w:rsidRPr="00CD1BA9">
        <w:rPr>
          <w:i/>
        </w:rPr>
        <w:t xml:space="preserve">, </w:t>
      </w:r>
    </w:p>
    <w:p w:rsidR="00CD1BA9" w:rsidRPr="00CD1BA9" w:rsidRDefault="00CD1BA9" w:rsidP="00CD1BA9">
      <w:pPr>
        <w:pStyle w:val="SingleTxtGR"/>
      </w:pPr>
      <w:r w:rsidRPr="00CD1BA9">
        <w:rPr>
          <w:i/>
          <w:iCs/>
        </w:rPr>
        <w:t>Пункт 9.1</w:t>
      </w:r>
      <w:r w:rsidRPr="00CD1BA9">
        <w:t xml:space="preserve"> изменить следующим образом:</w:t>
      </w:r>
    </w:p>
    <w:p w:rsidR="00CD1BA9" w:rsidRPr="00CD1BA9" w:rsidRDefault="00CD1BA9" w:rsidP="00627E36">
      <w:pPr>
        <w:pStyle w:val="SingleTxtGR"/>
        <w:tabs>
          <w:tab w:val="clear" w:pos="1701"/>
        </w:tabs>
      </w:pPr>
      <w:r w:rsidRPr="00CD1BA9">
        <w:t>«9.1</w:t>
      </w:r>
      <w:r w:rsidRPr="00CD1BA9">
        <w:tab/>
        <w:t>По категории огня:</w:t>
      </w:r>
    </w:p>
    <w:p w:rsidR="00CD1BA9" w:rsidRPr="00CD1BA9" w:rsidRDefault="00CD1BA9" w:rsidP="00627E36">
      <w:pPr>
        <w:pStyle w:val="SingleTxtGR"/>
        <w:ind w:left="2286"/>
      </w:pPr>
      <w:r w:rsidRPr="00CD1BA9">
        <w:t>Для монтажа либо снаружи, либо внутри, либо в обоих положени-ях</w:t>
      </w:r>
      <w:r w:rsidRPr="00FD1288">
        <w:rPr>
          <w:sz w:val="18"/>
          <w:szCs w:val="18"/>
          <w:vertAlign w:val="superscript"/>
        </w:rPr>
        <w:t>2</w:t>
      </w:r>
    </w:p>
    <w:p w:rsidR="00CD1BA9" w:rsidRPr="00CD1BA9" w:rsidRDefault="00CD1BA9" w:rsidP="00627E36">
      <w:pPr>
        <w:pStyle w:val="SingleTxtGR"/>
        <w:tabs>
          <w:tab w:val="right" w:leader="dot" w:pos="1701"/>
        </w:tabs>
        <w:ind w:left="2290" w:right="1138"/>
      </w:pPr>
      <w:r w:rsidRPr="00CD1BA9">
        <w:t>Цвет излучаемого света: красный/белый</w:t>
      </w:r>
      <w:r w:rsidRPr="00E242F9">
        <w:rPr>
          <w:sz w:val="18"/>
          <w:szCs w:val="18"/>
          <w:vertAlign w:val="superscript"/>
        </w:rPr>
        <w:t>2</w:t>
      </w:r>
    </w:p>
    <w:p w:rsidR="00CD1BA9" w:rsidRPr="00627E36" w:rsidRDefault="00CD1BA9" w:rsidP="00627E3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  <w:rPr>
          <w:lang w:val="en-US"/>
        </w:rPr>
      </w:pPr>
      <w:r w:rsidRPr="00CD1BA9">
        <w:t>Число, категория и тип источника(ов) света:</w:t>
      </w:r>
      <w:r w:rsidR="00627E36">
        <w:rPr>
          <w:lang w:val="en-US"/>
        </w:rPr>
        <w:tab/>
      </w:r>
    </w:p>
    <w:p w:rsidR="00CD1BA9" w:rsidRPr="00627E36" w:rsidRDefault="00CD1BA9" w:rsidP="00627E3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</w:pPr>
      <w:r w:rsidRPr="00CD1BA9">
        <w:t xml:space="preserve">Напряжение и мощность: </w:t>
      </w:r>
      <w:r w:rsidRPr="00627E36">
        <w:tab/>
      </w:r>
    </w:p>
    <w:p w:rsidR="00CD1BA9" w:rsidRPr="00CD1BA9" w:rsidRDefault="00CD1BA9" w:rsidP="00E242F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</w:pPr>
      <w:r w:rsidRPr="00CD1BA9">
        <w:t>Конкретный идентификационный код модуля источника света:</w:t>
      </w:r>
      <w:r w:rsidRPr="00CD1BA9">
        <w:tab/>
      </w:r>
    </w:p>
    <w:p w:rsidR="00CD1BA9" w:rsidRPr="00CD1BA9" w:rsidRDefault="00CD1BA9" w:rsidP="00627E36">
      <w:pPr>
        <w:pStyle w:val="SingleTxtGR"/>
        <w:ind w:left="2286"/>
        <w:rPr>
          <w:bCs/>
        </w:rPr>
      </w:pPr>
      <w:r w:rsidRPr="00CD1BA9">
        <w:rPr>
          <w:bCs/>
        </w:rPr>
        <w:t xml:space="preserve">Только для </w:t>
      </w:r>
      <w:r w:rsidRPr="00CD1BA9">
        <w:t>ограниченной</w:t>
      </w:r>
      <w:r w:rsidRPr="00CD1BA9">
        <w:rPr>
          <w:bCs/>
        </w:rPr>
        <w:t xml:space="preserve"> высоты установки, равной или меньшей 750 мм над уровнем грунта: да/нет</w:t>
      </w:r>
      <w:r w:rsidRPr="00E242F9">
        <w:rPr>
          <w:bCs/>
          <w:sz w:val="18"/>
          <w:szCs w:val="18"/>
          <w:vertAlign w:val="superscript"/>
        </w:rPr>
        <w:t>2</w:t>
      </w:r>
      <w:r w:rsidRPr="00CD1BA9">
        <w:rPr>
          <w:bCs/>
        </w:rPr>
        <w:tab/>
      </w:r>
    </w:p>
    <w:p w:rsidR="00CD1BA9" w:rsidRPr="00CD1BA9" w:rsidRDefault="00CD1BA9" w:rsidP="00E242F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</w:pPr>
      <w:r w:rsidRPr="00CD1BA9">
        <w:t>Геометрические условия установки и соответствующие допуски, если таковые предусмотрены:</w:t>
      </w:r>
      <w:r w:rsidRPr="00CD1BA9">
        <w:tab/>
      </w:r>
    </w:p>
    <w:p w:rsidR="00CD1BA9" w:rsidRPr="00CD1BA9" w:rsidRDefault="00CD1BA9" w:rsidP="00627E36">
      <w:pPr>
        <w:pStyle w:val="SingleTxtGR"/>
        <w:ind w:left="2286"/>
        <w:rPr>
          <w:bCs/>
        </w:rPr>
      </w:pPr>
      <w:r w:rsidRPr="00CD1BA9">
        <w:t>Применение</w:t>
      </w:r>
      <w:r w:rsidRPr="00CD1BA9">
        <w:rPr>
          <w:bCs/>
        </w:rPr>
        <w:t xml:space="preserve"> электронного механизма управления источником света/регулятора силы света:</w:t>
      </w:r>
    </w:p>
    <w:p w:rsidR="00CD1BA9" w:rsidRPr="00CD1BA9" w:rsidRDefault="00CD1BA9" w:rsidP="00627E36">
      <w:pPr>
        <w:pStyle w:val="SingleTxtGR"/>
        <w:ind w:left="2286"/>
        <w:rPr>
          <w:bCs/>
        </w:rPr>
      </w:pPr>
      <w:r w:rsidRPr="00CD1BA9">
        <w:rPr>
          <w:bCs/>
        </w:rPr>
        <w:t>a)</w:t>
      </w:r>
      <w:r w:rsidRPr="00CD1BA9">
        <w:rPr>
          <w:bCs/>
        </w:rPr>
        <w:tab/>
        <w:t>являющегося частью огня: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CD1BA9" w:rsidRPr="00CD1BA9" w:rsidRDefault="00CD1BA9" w:rsidP="00627E36">
      <w:pPr>
        <w:pStyle w:val="SingleTxtGR"/>
        <w:ind w:left="2286"/>
        <w:rPr>
          <w:b/>
        </w:rPr>
      </w:pPr>
      <w:r w:rsidRPr="00CD1BA9">
        <w:rPr>
          <w:bCs/>
        </w:rPr>
        <w:t>b)</w:t>
      </w:r>
      <w:r w:rsidRPr="00CD1BA9">
        <w:rPr>
          <w:bCs/>
        </w:rPr>
        <w:tab/>
        <w:t>не являющегося частью огня: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CD1BA9" w:rsidRPr="00CD1BA9" w:rsidRDefault="00CD1BA9" w:rsidP="00E242F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640"/>
        </w:tabs>
        <w:ind w:left="2290" w:right="1138"/>
        <w:rPr>
          <w:bCs/>
        </w:rPr>
      </w:pPr>
      <w:r w:rsidRPr="00CD1BA9">
        <w:rPr>
          <w:bCs/>
        </w:rPr>
        <w:t>Величина(ы) входного напряжения, подаваемого электронным</w:t>
      </w:r>
      <w:r w:rsidR="00E242F9" w:rsidRPr="00E242F9">
        <w:rPr>
          <w:bCs/>
        </w:rPr>
        <w:t xml:space="preserve"> </w:t>
      </w:r>
      <w:r w:rsidRPr="00CD1BA9">
        <w:rPr>
          <w:bCs/>
        </w:rPr>
        <w:t>механизмом управления источником света/регулятором силы света:</w:t>
      </w:r>
      <w:r w:rsidRPr="00CD1BA9">
        <w:rPr>
          <w:bCs/>
        </w:rPr>
        <w:tab/>
      </w:r>
    </w:p>
    <w:p w:rsidR="00CD1BA9" w:rsidRPr="00CD1BA9" w:rsidRDefault="00CD1BA9" w:rsidP="00E242F9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640"/>
        </w:tabs>
        <w:ind w:left="2290" w:right="1138"/>
        <w:rPr>
          <w:bCs/>
        </w:rPr>
      </w:pPr>
      <w:r w:rsidRPr="00CD1BA9">
        <w:rPr>
          <w:bCs/>
        </w:rPr>
        <w:t xml:space="preserve">Изготовитель электронного механизма управления источником света/регулятора силы света и идентификационный номер (когда механизм управления источником </w:t>
      </w:r>
      <w:r w:rsidRPr="00CD1BA9">
        <w:t>света</w:t>
      </w:r>
      <w:r w:rsidRPr="00CD1BA9">
        <w:rPr>
          <w:bCs/>
        </w:rPr>
        <w:t xml:space="preserve"> является частью огня, но не находится в корпусе огня):</w:t>
      </w:r>
      <w:r w:rsidRPr="00CD1BA9">
        <w:rPr>
          <w:bCs/>
        </w:rPr>
        <w:tab/>
      </w:r>
    </w:p>
    <w:p w:rsidR="00CD1BA9" w:rsidRPr="00CD1BA9" w:rsidRDefault="00CD1BA9" w:rsidP="00627E36">
      <w:pPr>
        <w:pStyle w:val="SingleTxtGR"/>
        <w:ind w:left="2286"/>
        <w:rPr>
          <w:bCs/>
          <w:vertAlign w:val="superscript"/>
        </w:rPr>
      </w:pPr>
      <w:r w:rsidRPr="00CD1BA9">
        <w:rPr>
          <w:bCs/>
        </w:rPr>
        <w:t>Изменяемая сила света: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CD1BA9" w:rsidRPr="00CD1BA9" w:rsidRDefault="00CD1BA9" w:rsidP="00E242F9">
      <w:pPr>
        <w:pStyle w:val="SingleTxtGR"/>
        <w:pageBreakBefore/>
        <w:ind w:left="2290" w:right="1138"/>
        <w:rPr>
          <w:bCs/>
        </w:rPr>
      </w:pPr>
      <w:r w:rsidRPr="00CD1BA9">
        <w:rPr>
          <w:bCs/>
        </w:rPr>
        <w:lastRenderedPageBreak/>
        <w:t>Передний габаритный огонь</w:t>
      </w:r>
      <w:r w:rsidRPr="00E242F9">
        <w:rPr>
          <w:bCs/>
          <w:sz w:val="18"/>
          <w:szCs w:val="18"/>
          <w:vertAlign w:val="superscript"/>
        </w:rPr>
        <w:t>2</w:t>
      </w:r>
      <w:r w:rsidRPr="00CD1BA9">
        <w:rPr>
          <w:bCs/>
        </w:rPr>
        <w:t>, задний габаритный огонь</w:t>
      </w:r>
      <w:r w:rsidRPr="00CD1BA9">
        <w:rPr>
          <w:bCs/>
          <w:vertAlign w:val="superscript"/>
        </w:rPr>
        <w:t>2</w:t>
      </w:r>
      <w:r w:rsidRPr="00CD1BA9">
        <w:rPr>
          <w:bCs/>
        </w:rPr>
        <w:t>, сигнал торможения</w:t>
      </w:r>
      <w:r w:rsidRPr="00E242F9">
        <w:rPr>
          <w:bCs/>
          <w:sz w:val="18"/>
          <w:szCs w:val="18"/>
          <w:vertAlign w:val="superscript"/>
        </w:rPr>
        <w:t>2</w:t>
      </w:r>
      <w:r w:rsidRPr="00CD1BA9">
        <w:rPr>
          <w:bCs/>
        </w:rPr>
        <w:t>, контурный огонь</w:t>
      </w:r>
      <w:r w:rsidRPr="00CD1BA9">
        <w:rPr>
          <w:bCs/>
          <w:vertAlign w:val="superscript"/>
        </w:rPr>
        <w:t>2</w:t>
      </w:r>
      <w:r w:rsidRPr="00CD1BA9">
        <w:rPr>
          <w:bCs/>
        </w:rPr>
        <w:t xml:space="preserve"> предназначен для использования только на транспортном средстве, оснащенном контрольным сигналом сбоя: да/нет</w:t>
      </w:r>
      <w:r w:rsidRPr="00E242F9">
        <w:rPr>
          <w:bCs/>
          <w:sz w:val="18"/>
          <w:szCs w:val="18"/>
          <w:vertAlign w:val="superscript"/>
        </w:rPr>
        <w:t>2</w:t>
      </w:r>
    </w:p>
    <w:p w:rsidR="00CD1BA9" w:rsidRPr="00CD1BA9" w:rsidRDefault="00CD1BA9" w:rsidP="00CD1BA9">
      <w:pPr>
        <w:pStyle w:val="SingleTxtGR"/>
        <w:rPr>
          <w:lang w:val="en-US"/>
        </w:rPr>
      </w:pPr>
      <w:r w:rsidRPr="00CD1BA9">
        <w:rPr>
          <w:lang w:val="en-US"/>
        </w:rPr>
        <w:t>_______________</w:t>
      </w:r>
    </w:p>
    <w:p w:rsidR="00A658DB" w:rsidRDefault="00CD1BA9" w:rsidP="00E242F9">
      <w:pPr>
        <w:pStyle w:val="SingleTxtGR"/>
        <w:tabs>
          <w:tab w:val="clear" w:pos="2268"/>
          <w:tab w:val="left" w:pos="1980"/>
        </w:tabs>
        <w:rPr>
          <w:lang w:val="fr-CH"/>
        </w:rPr>
      </w:pPr>
      <w:r w:rsidRPr="00CD1BA9">
        <w:rPr>
          <w:vertAlign w:val="superscript"/>
          <w:lang w:val="en-US"/>
        </w:rPr>
        <w:tab/>
      </w:r>
      <w:r w:rsidRPr="00E242F9">
        <w:rPr>
          <w:sz w:val="18"/>
          <w:szCs w:val="18"/>
          <w:vertAlign w:val="superscript"/>
          <w:lang w:val="en-US"/>
        </w:rPr>
        <w:t>2</w:t>
      </w:r>
      <w:r w:rsidRPr="00CD1BA9">
        <w:rPr>
          <w:lang w:val="en-US"/>
        </w:rPr>
        <w:tab/>
      </w:r>
      <w:r w:rsidRPr="00CD1BA9">
        <w:rPr>
          <w:lang w:val="fr-CH"/>
        </w:rPr>
        <w:t>Ненужное вычеркнуть.»</w:t>
      </w:r>
    </w:p>
    <w:p w:rsidR="001A4672" w:rsidRPr="001A4672" w:rsidRDefault="00E242F9" w:rsidP="00E242F9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A4672" w:rsidRPr="001A4672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72" w:rsidRDefault="001A4672" w:rsidP="00B471C5">
      <w:r>
        <w:separator/>
      </w:r>
    </w:p>
  </w:endnote>
  <w:endnote w:type="continuationSeparator" w:id="0">
    <w:p w:rsidR="001A4672" w:rsidRDefault="001A467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F4C2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A4672" w:rsidRPr="001A4672">
      <w:rPr>
        <w:lang w:val="en-US"/>
      </w:rPr>
      <w:t>15058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A4672" w:rsidRPr="001A4672">
      <w:rPr>
        <w:lang w:val="en-US"/>
      </w:rPr>
      <w:t>15058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F4C2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A4672" w:rsidRPr="001A4672">
            <w:rPr>
              <w:lang w:val="en-US"/>
            </w:rPr>
            <w:t>15058</w:t>
          </w:r>
          <w:r w:rsidR="001A4672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B56C84">
            <w:rPr>
              <w:lang w:val="en-US"/>
            </w:rPr>
            <w:t xml:space="preserve">  140916  150916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56C84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7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7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56C84" w:rsidRDefault="00B56C8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56C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72" w:rsidRPr="009141DC" w:rsidRDefault="001A467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A4672" w:rsidRPr="00D1261C" w:rsidRDefault="001A467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130B4" w:rsidRPr="009130B4" w:rsidRDefault="009130B4" w:rsidP="00314995">
      <w:pPr>
        <w:pStyle w:val="FootnoteText"/>
        <w:rPr>
          <w:sz w:val="20"/>
          <w:lang w:val="ru-RU"/>
        </w:rPr>
      </w:pPr>
      <w:r>
        <w:tab/>
      </w:r>
      <w:r w:rsidRPr="009130B4">
        <w:rPr>
          <w:rStyle w:val="FootnoteReference"/>
          <w:sz w:val="20"/>
          <w:vertAlign w:val="baseline"/>
          <w:lang w:val="ru-RU"/>
        </w:rPr>
        <w:t>*</w:t>
      </w:r>
      <w:r w:rsidRPr="009130B4">
        <w:rPr>
          <w:sz w:val="20"/>
          <w:lang w:val="ru-RU"/>
        </w:rPr>
        <w:t xml:space="preserve"> </w:t>
      </w:r>
      <w:r w:rsidRPr="009130B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9130B4">
        <w:rPr>
          <w:lang w:val="ru-RU"/>
        </w:rPr>
        <w:br/>
        <w:t>на 2016–2017 годы (</w:t>
      </w:r>
      <w:r w:rsidRPr="009130B4">
        <w:rPr>
          <w:lang w:val="en-US"/>
        </w:rPr>
        <w:t>ECE</w:t>
      </w:r>
      <w:r w:rsidRPr="009130B4">
        <w:rPr>
          <w:lang w:val="ru-RU"/>
        </w:rPr>
        <w:t>/</w:t>
      </w:r>
      <w:r w:rsidRPr="009130B4">
        <w:rPr>
          <w:lang w:val="en-US"/>
        </w:rPr>
        <w:t>TRANS</w:t>
      </w:r>
      <w:r w:rsidRPr="009130B4">
        <w:rPr>
          <w:lang w:val="ru-RU"/>
        </w:rPr>
        <w:t xml:space="preserve">/254, пункт 159, и </w:t>
      </w:r>
      <w:r w:rsidRPr="009130B4">
        <w:rPr>
          <w:lang w:val="en-US"/>
        </w:rPr>
        <w:t>ECE</w:t>
      </w:r>
      <w:r w:rsidRPr="009130B4">
        <w:rPr>
          <w:lang w:val="ru-RU"/>
        </w:rPr>
        <w:t>/</w:t>
      </w:r>
      <w:r w:rsidRPr="009130B4">
        <w:rPr>
          <w:lang w:val="en-US"/>
        </w:rPr>
        <w:t>TRANS</w:t>
      </w:r>
      <w:r w:rsidRPr="009130B4">
        <w:rPr>
          <w:lang w:val="ru-RU"/>
        </w:rPr>
        <w:t>/2016/28/</w:t>
      </w:r>
      <w:r w:rsidRPr="009130B4">
        <w:rPr>
          <w:lang w:val="en-US"/>
        </w:rPr>
        <w:t>Add</w:t>
      </w:r>
      <w:r w:rsidRPr="009130B4">
        <w:rPr>
          <w:lang w:val="ru-RU"/>
        </w:rPr>
        <w:t>.1,</w:t>
      </w:r>
      <w:r w:rsidR="004477F8" w:rsidRPr="004477F8">
        <w:rPr>
          <w:lang w:val="ru-RU"/>
        </w:rPr>
        <w:t xml:space="preserve"> </w:t>
      </w:r>
      <w:r w:rsidRPr="009130B4">
        <w:rPr>
          <w:lang w:val="ru-RU"/>
        </w:rPr>
        <w:t>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A4672" w:rsidRPr="001A4672">
      <w:rPr>
        <w:lang w:val="en-US"/>
      </w:rPr>
      <w:t>TRANS/WP.29/2016/75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A4672" w:rsidRPr="001A4672">
      <w:rPr>
        <w:lang w:val="en-US"/>
      </w:rPr>
      <w:t>TRANS/WP.29/2016/75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72" w:rsidRDefault="001A4672" w:rsidP="001A467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72"/>
    <w:rsid w:val="000450D1"/>
    <w:rsid w:val="000B1FD5"/>
    <w:rsid w:val="000F2A4F"/>
    <w:rsid w:val="001A4672"/>
    <w:rsid w:val="00203F84"/>
    <w:rsid w:val="00275188"/>
    <w:rsid w:val="0028687D"/>
    <w:rsid w:val="002B091C"/>
    <w:rsid w:val="002B3D40"/>
    <w:rsid w:val="002D0CCB"/>
    <w:rsid w:val="002E6EAC"/>
    <w:rsid w:val="00314995"/>
    <w:rsid w:val="00323442"/>
    <w:rsid w:val="00345C79"/>
    <w:rsid w:val="00366A39"/>
    <w:rsid w:val="003F2005"/>
    <w:rsid w:val="004477F8"/>
    <w:rsid w:val="0048005C"/>
    <w:rsid w:val="004B2597"/>
    <w:rsid w:val="004D639B"/>
    <w:rsid w:val="004E242B"/>
    <w:rsid w:val="00544379"/>
    <w:rsid w:val="00566944"/>
    <w:rsid w:val="005D56BF"/>
    <w:rsid w:val="0062027E"/>
    <w:rsid w:val="00627E36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F4C26"/>
    <w:rsid w:val="0084476D"/>
    <w:rsid w:val="008717E8"/>
    <w:rsid w:val="008D01AE"/>
    <w:rsid w:val="008E0423"/>
    <w:rsid w:val="009130B4"/>
    <w:rsid w:val="009141DC"/>
    <w:rsid w:val="009174A1"/>
    <w:rsid w:val="00933A16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53741"/>
    <w:rsid w:val="00B56C84"/>
    <w:rsid w:val="00B6474A"/>
    <w:rsid w:val="00BE1742"/>
    <w:rsid w:val="00CD1BA9"/>
    <w:rsid w:val="00D1261C"/>
    <w:rsid w:val="00D1341F"/>
    <w:rsid w:val="00D151CF"/>
    <w:rsid w:val="00D26030"/>
    <w:rsid w:val="00D75DCE"/>
    <w:rsid w:val="00DD35AC"/>
    <w:rsid w:val="00DD479F"/>
    <w:rsid w:val="00E15E48"/>
    <w:rsid w:val="00E242F9"/>
    <w:rsid w:val="00EB0723"/>
    <w:rsid w:val="00EB2957"/>
    <w:rsid w:val="00EE6F37"/>
    <w:rsid w:val="00F1599F"/>
    <w:rsid w:val="00F31EF2"/>
    <w:rsid w:val="00FD128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6BAF24-CD21-4C6F-AE28-37DF70AF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360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93A5-33A2-40D6-87D3-F60CBD8D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Caillot</cp:lastModifiedBy>
  <cp:revision>2</cp:revision>
  <cp:lastPrinted>2016-09-15T07:43:00Z</cp:lastPrinted>
  <dcterms:created xsi:type="dcterms:W3CDTF">2016-10-10T15:30:00Z</dcterms:created>
  <dcterms:modified xsi:type="dcterms:W3CDTF">2016-10-10T15:30:00Z</dcterms:modified>
</cp:coreProperties>
</file>