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21587E">
            <w:bookmarkStart w:id="0" w:name="_GoBack"/>
            <w:bookmarkEnd w:id="0"/>
          </w:p>
        </w:tc>
        <w:tc>
          <w:tcPr>
            <w:tcW w:w="2268" w:type="dxa"/>
            <w:tcBorders>
              <w:bottom w:val="single" w:sz="4" w:space="0" w:color="auto"/>
            </w:tcBorders>
            <w:vAlign w:val="bottom"/>
          </w:tcPr>
          <w:p w:rsidR="00F35BAF" w:rsidRPr="00DB58B5" w:rsidRDefault="00F35BAF" w:rsidP="00A709B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1587E" w:rsidP="0021587E">
            <w:pPr>
              <w:jc w:val="right"/>
            </w:pPr>
            <w:r w:rsidRPr="0021587E">
              <w:rPr>
                <w:sz w:val="40"/>
              </w:rPr>
              <w:t>ECE</w:t>
            </w:r>
            <w:r>
              <w:t>/TRANS/WP.29/2016/71</w:t>
            </w:r>
          </w:p>
        </w:tc>
      </w:tr>
      <w:tr w:rsidR="00F35BAF" w:rsidRPr="00DB58B5" w:rsidTr="00A709B7">
        <w:trPr>
          <w:trHeight w:hRule="exact" w:val="2835"/>
        </w:trPr>
        <w:tc>
          <w:tcPr>
            <w:tcW w:w="1276" w:type="dxa"/>
            <w:tcBorders>
              <w:top w:val="single" w:sz="4" w:space="0" w:color="auto"/>
              <w:bottom w:val="single" w:sz="12" w:space="0" w:color="auto"/>
            </w:tcBorders>
          </w:tcPr>
          <w:p w:rsidR="00F35BAF" w:rsidRPr="00DB58B5" w:rsidRDefault="00F35BAF" w:rsidP="00A709B7">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A709B7">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1587E" w:rsidP="00A709B7">
            <w:pPr>
              <w:spacing w:before="240"/>
            </w:pPr>
            <w:r>
              <w:t>Distr. générale</w:t>
            </w:r>
          </w:p>
          <w:p w:rsidR="0021587E" w:rsidRDefault="00A7792B" w:rsidP="0021587E">
            <w:pPr>
              <w:spacing w:line="240" w:lineRule="exact"/>
            </w:pPr>
            <w:r>
              <w:t>7 avril 2016</w:t>
            </w:r>
          </w:p>
          <w:p w:rsidR="0021587E" w:rsidRDefault="0021587E" w:rsidP="0021587E">
            <w:pPr>
              <w:spacing w:line="240" w:lineRule="exact"/>
            </w:pPr>
            <w:r>
              <w:t>Français</w:t>
            </w:r>
          </w:p>
          <w:p w:rsidR="0021587E" w:rsidRPr="00DB58B5" w:rsidRDefault="0021587E" w:rsidP="0021587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7792B" w:rsidRDefault="00A7792B"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A7792B" w:rsidRDefault="00A7792B" w:rsidP="00AF0CB5">
      <w:pPr>
        <w:spacing w:before="120" w:line="240" w:lineRule="exact"/>
        <w:rPr>
          <w:b/>
        </w:rPr>
      </w:pPr>
      <w:r w:rsidRPr="005B3905">
        <w:rPr>
          <w:b/>
          <w:lang w:val="fr-FR"/>
        </w:rPr>
        <w:t>169</w:t>
      </w:r>
      <w:r>
        <w:rPr>
          <w:b/>
          <w:vertAlign w:val="superscript"/>
          <w:lang w:val="fr-FR"/>
        </w:rPr>
        <w:t>e</w:t>
      </w:r>
      <w:r>
        <w:rPr>
          <w:b/>
        </w:rPr>
        <w:t> session</w:t>
      </w:r>
    </w:p>
    <w:p w:rsidR="00A7792B" w:rsidRPr="005B3905" w:rsidRDefault="00C24A7E" w:rsidP="00A7792B">
      <w:pPr>
        <w:jc w:val="both"/>
        <w:rPr>
          <w:lang w:val="fr-FR"/>
        </w:rPr>
      </w:pPr>
      <w:r>
        <w:rPr>
          <w:lang w:val="fr-FR"/>
        </w:rPr>
        <w:t xml:space="preserve">Genève, </w:t>
      </w:r>
      <w:r w:rsidR="00A7792B" w:rsidRPr="005B3905">
        <w:rPr>
          <w:lang w:val="fr-FR"/>
        </w:rPr>
        <w:t xml:space="preserve">21-24 </w:t>
      </w:r>
      <w:r w:rsidR="00A7792B">
        <w:rPr>
          <w:lang w:val="fr-FR"/>
        </w:rPr>
        <w:t>juin</w:t>
      </w:r>
      <w:r w:rsidR="00A7792B" w:rsidRPr="005B3905">
        <w:rPr>
          <w:lang w:val="fr-FR"/>
        </w:rPr>
        <w:t xml:space="preserve"> 2016</w:t>
      </w:r>
    </w:p>
    <w:p w:rsidR="00A7792B" w:rsidRPr="005B3905" w:rsidRDefault="00A7792B" w:rsidP="00A7792B">
      <w:pPr>
        <w:rPr>
          <w:lang w:val="fr-FR"/>
        </w:rPr>
      </w:pPr>
      <w:r>
        <w:rPr>
          <w:lang w:val="fr-FR"/>
        </w:rPr>
        <w:t>Point</w:t>
      </w:r>
      <w:r w:rsidRPr="005B3905">
        <w:rPr>
          <w:lang w:val="fr-FR"/>
        </w:rPr>
        <w:t xml:space="preserve"> 14.3 </w:t>
      </w:r>
      <w:r>
        <w:rPr>
          <w:lang w:val="fr-FR"/>
        </w:rPr>
        <w:t>de l</w:t>
      </w:r>
      <w:r w:rsidRPr="005B3905">
        <w:rPr>
          <w:lang w:val="fr-FR"/>
        </w:rPr>
        <w:t>’</w:t>
      </w:r>
      <w:r>
        <w:rPr>
          <w:lang w:val="fr-FR"/>
        </w:rPr>
        <w:t>ordre du jour provisoire</w:t>
      </w:r>
    </w:p>
    <w:p w:rsidR="00A7792B" w:rsidRPr="005B3905" w:rsidRDefault="00A7792B" w:rsidP="00A7792B">
      <w:pPr>
        <w:rPr>
          <w:b/>
          <w:lang w:val="fr-FR"/>
        </w:rPr>
      </w:pPr>
      <w:r w:rsidRPr="005B3905">
        <w:rPr>
          <w:b/>
          <w:lang w:val="fr-FR"/>
        </w:rPr>
        <w:t xml:space="preserve">Examen et vote par l’AC.3 de projets de RTM et/ou de projets </w:t>
      </w:r>
      <w:r w:rsidR="00F83290">
        <w:rPr>
          <w:b/>
          <w:lang w:val="fr-FR"/>
        </w:rPr>
        <w:br/>
      </w:r>
      <w:r w:rsidRPr="005B3905">
        <w:rPr>
          <w:b/>
          <w:lang w:val="fr-FR"/>
        </w:rPr>
        <w:t>d’amendements à des RTM existants</w:t>
      </w:r>
      <w:r>
        <w:rPr>
          <w:b/>
          <w:lang w:val="fr-FR"/>
        </w:rPr>
        <w:t xml:space="preserve"> − </w:t>
      </w:r>
      <w:r w:rsidRPr="005B3905">
        <w:rPr>
          <w:b/>
          <w:lang w:val="fr-FR"/>
        </w:rPr>
        <w:t xml:space="preserve">Proposition </w:t>
      </w:r>
      <w:r w:rsidR="00F83290">
        <w:rPr>
          <w:b/>
          <w:lang w:val="fr-FR"/>
        </w:rPr>
        <w:br/>
      </w:r>
      <w:r w:rsidRPr="005B3905">
        <w:rPr>
          <w:b/>
          <w:lang w:val="fr-FR"/>
        </w:rPr>
        <w:t xml:space="preserve">d’amendement 1 au RTM </w:t>
      </w:r>
      <w:r w:rsidR="00F83290" w:rsidRPr="00F83290">
        <w:rPr>
          <w:rFonts w:eastAsia="MS Mincho"/>
          <w:b/>
          <w:szCs w:val="22"/>
          <w:lang w:val="fr-FR"/>
        </w:rPr>
        <w:t>n</w:t>
      </w:r>
      <w:r w:rsidR="00F83290" w:rsidRPr="00F83290">
        <w:rPr>
          <w:rFonts w:eastAsia="MS Mincho"/>
          <w:b/>
          <w:szCs w:val="22"/>
          <w:vertAlign w:val="superscript"/>
          <w:lang w:val="fr-FR"/>
        </w:rPr>
        <w:t>o</w:t>
      </w:r>
      <w:r w:rsidR="00F83290">
        <w:rPr>
          <w:b/>
          <w:lang w:val="fr-FR"/>
        </w:rPr>
        <w:t> </w:t>
      </w:r>
      <w:r w:rsidRPr="005B3905">
        <w:rPr>
          <w:b/>
          <w:lang w:val="fr-FR"/>
        </w:rPr>
        <w:t>16 (Pneumatiques)</w:t>
      </w:r>
    </w:p>
    <w:p w:rsidR="00A7792B" w:rsidRPr="005B3905" w:rsidRDefault="00A7792B" w:rsidP="00F83290">
      <w:pPr>
        <w:pStyle w:val="HChG"/>
        <w:rPr>
          <w:lang w:val="fr-FR"/>
        </w:rPr>
      </w:pPr>
      <w:r w:rsidRPr="005B3905">
        <w:rPr>
          <w:lang w:val="fr-FR"/>
        </w:rPr>
        <w:tab/>
      </w:r>
      <w:r w:rsidRPr="005B3905">
        <w:rPr>
          <w:lang w:val="fr-FR"/>
        </w:rPr>
        <w:tab/>
      </w:r>
      <w:r>
        <w:rPr>
          <w:lang w:val="fr-FR"/>
        </w:rPr>
        <w:t>R</w:t>
      </w:r>
      <w:r w:rsidRPr="00E96777">
        <w:rPr>
          <w:lang w:val="fr-FR"/>
        </w:rPr>
        <w:t xml:space="preserve">apport technique sur l’élaboration de l’amendement 1 </w:t>
      </w:r>
      <w:r w:rsidR="00F83290">
        <w:rPr>
          <w:lang w:val="fr-FR"/>
        </w:rPr>
        <w:br/>
      </w:r>
      <w:r w:rsidRPr="00E96777">
        <w:rPr>
          <w:lang w:val="fr-FR"/>
        </w:rPr>
        <w:t xml:space="preserve">au </w:t>
      </w:r>
      <w:r w:rsidRPr="00F83290">
        <w:t>Règlement</w:t>
      </w:r>
      <w:r w:rsidRPr="00E96777">
        <w:rPr>
          <w:lang w:val="fr-FR"/>
        </w:rPr>
        <w:t xml:space="preserve"> technique mondial</w:t>
      </w:r>
      <w:r>
        <w:rPr>
          <w:lang w:val="fr-FR"/>
        </w:rPr>
        <w:t xml:space="preserve"> (RTM ONU) </w:t>
      </w:r>
      <w:r w:rsidR="00C24A7E" w:rsidRPr="00C24A7E">
        <w:rPr>
          <w:rFonts w:eastAsia="MS Mincho"/>
          <w:szCs w:val="22"/>
          <w:lang w:val="fr-FR"/>
        </w:rPr>
        <w:t>n</w:t>
      </w:r>
      <w:r w:rsidR="00C24A7E" w:rsidRPr="00C24A7E">
        <w:rPr>
          <w:rFonts w:eastAsia="MS Mincho"/>
          <w:szCs w:val="22"/>
          <w:vertAlign w:val="superscript"/>
          <w:lang w:val="fr-FR"/>
        </w:rPr>
        <w:t>o</w:t>
      </w:r>
      <w:r w:rsidR="00C24A7E">
        <w:rPr>
          <w:rFonts w:eastAsia="MS Mincho"/>
          <w:szCs w:val="22"/>
          <w:lang w:val="fr-FR"/>
        </w:rPr>
        <w:t> </w:t>
      </w:r>
      <w:r w:rsidR="00F83290">
        <w:rPr>
          <w:lang w:val="fr-FR"/>
        </w:rPr>
        <w:t>16</w:t>
      </w:r>
    </w:p>
    <w:p w:rsidR="00A7792B" w:rsidRPr="005B3905" w:rsidRDefault="00A7792B" w:rsidP="00F83290">
      <w:pPr>
        <w:pStyle w:val="H1G"/>
        <w:rPr>
          <w:lang w:val="fr-FR"/>
        </w:rPr>
      </w:pPr>
      <w:r w:rsidRPr="005B3905">
        <w:rPr>
          <w:lang w:val="fr-FR"/>
        </w:rPr>
        <w:tab/>
      </w:r>
      <w:r w:rsidRPr="005B3905">
        <w:rPr>
          <w:lang w:val="fr-FR"/>
        </w:rPr>
        <w:tab/>
      </w:r>
      <w:r w:rsidRPr="005C4C8A">
        <w:rPr>
          <w:lang w:val="fr-FR"/>
        </w:rPr>
        <w:t xml:space="preserve">Communication du </w:t>
      </w:r>
      <w:r w:rsidRPr="00F83290">
        <w:t>Groupe</w:t>
      </w:r>
      <w:r w:rsidRPr="005C4C8A">
        <w:rPr>
          <w:lang w:val="fr-FR"/>
        </w:rPr>
        <w:t xml:space="preserve"> de travail en matière de roulement </w:t>
      </w:r>
      <w:r w:rsidR="00F83290">
        <w:rPr>
          <w:lang w:val="fr-FR"/>
        </w:rPr>
        <w:br/>
      </w:r>
      <w:r w:rsidRPr="005C4C8A">
        <w:rPr>
          <w:lang w:val="fr-FR"/>
        </w:rPr>
        <w:t>et de freinage</w:t>
      </w:r>
      <w:r w:rsidR="00F83290" w:rsidRPr="00F83290">
        <w:rPr>
          <w:rStyle w:val="FootnoteReference"/>
          <w:b w:val="0"/>
          <w:sz w:val="20"/>
          <w:vertAlign w:val="baseline"/>
        </w:rPr>
        <w:footnoteReference w:customMarkFollows="1" w:id="2"/>
        <w:t>*</w:t>
      </w:r>
    </w:p>
    <w:p w:rsidR="00F9573C" w:rsidRDefault="00A7792B" w:rsidP="00F83290">
      <w:pPr>
        <w:pStyle w:val="SingleTxtG"/>
        <w:ind w:firstLine="567"/>
        <w:rPr>
          <w:lang w:val="fr-FR" w:eastAsia="ko-KR"/>
        </w:rPr>
      </w:pPr>
      <w:r w:rsidRPr="005C4C8A">
        <w:rPr>
          <w:lang w:val="fr-FR" w:eastAsia="ko-KR"/>
        </w:rPr>
        <w:t>Le texte reproduit ci-dessous, qui a été adopté par le Groupe de travail en matière de roulement et de freinage (GRRF) à sa quatre-ving</w:t>
      </w:r>
      <w:r>
        <w:rPr>
          <w:lang w:val="fr-FR" w:eastAsia="ko-KR"/>
        </w:rPr>
        <w:t>t-uni</w:t>
      </w:r>
      <w:r w:rsidRPr="005C4C8A">
        <w:rPr>
          <w:lang w:val="fr-FR" w:eastAsia="ko-KR"/>
        </w:rPr>
        <w:t>ème session</w:t>
      </w:r>
      <w:r w:rsidRPr="005B3905">
        <w:rPr>
          <w:lang w:val="fr-FR" w:eastAsia="ko-KR"/>
        </w:rPr>
        <w:t xml:space="preserve"> (ECE/TRANS/WP.29/</w:t>
      </w:r>
      <w:r w:rsidR="00F83290">
        <w:rPr>
          <w:lang w:val="fr-FR" w:eastAsia="ko-KR"/>
        </w:rPr>
        <w:br/>
      </w:r>
      <w:r w:rsidRPr="005B3905">
        <w:rPr>
          <w:lang w:val="fr-FR" w:eastAsia="ko-KR"/>
        </w:rPr>
        <w:t>GRRF/81</w:t>
      </w:r>
      <w:r>
        <w:rPr>
          <w:lang w:val="fr-FR" w:eastAsia="ko-KR"/>
        </w:rPr>
        <w:t>, par</w:t>
      </w:r>
      <w:r w:rsidRPr="005B3905">
        <w:rPr>
          <w:lang w:val="fr-FR" w:eastAsia="ko-KR"/>
        </w:rPr>
        <w:t>.</w:t>
      </w:r>
      <w:r w:rsidR="00F83290">
        <w:rPr>
          <w:lang w:val="fr-FR" w:eastAsia="ko-KR"/>
        </w:rPr>
        <w:t> </w:t>
      </w:r>
      <w:r w:rsidRPr="005B3905">
        <w:rPr>
          <w:lang w:val="fr-FR" w:eastAsia="ko-KR"/>
        </w:rPr>
        <w:t>30</w:t>
      </w:r>
      <w:r>
        <w:rPr>
          <w:lang w:val="fr-FR" w:eastAsia="ko-KR"/>
        </w:rPr>
        <w:t>), est fondé sur le document</w:t>
      </w:r>
      <w:r w:rsidRPr="005B3905">
        <w:rPr>
          <w:lang w:val="fr-FR" w:eastAsia="ko-KR"/>
        </w:rPr>
        <w:t xml:space="preserve"> ECE/TRANS/WP.29/GRRF/2016/3 </w:t>
      </w:r>
      <w:r>
        <w:rPr>
          <w:lang w:val="fr-FR" w:eastAsia="ko-KR"/>
        </w:rPr>
        <w:t>tel que modifié par le paragraphe</w:t>
      </w:r>
      <w:r w:rsidR="00F83290">
        <w:rPr>
          <w:lang w:val="fr-FR" w:eastAsia="ko-KR"/>
        </w:rPr>
        <w:t> </w:t>
      </w:r>
      <w:r w:rsidRPr="005B3905">
        <w:rPr>
          <w:lang w:val="fr-FR" w:eastAsia="ko-KR"/>
        </w:rPr>
        <w:t xml:space="preserve">30 </w:t>
      </w:r>
      <w:r>
        <w:rPr>
          <w:lang w:val="fr-FR" w:eastAsia="ko-KR"/>
        </w:rPr>
        <w:t>du rapport</w:t>
      </w:r>
      <w:r w:rsidRPr="005B3905">
        <w:rPr>
          <w:lang w:val="fr-FR" w:eastAsia="ko-KR"/>
        </w:rPr>
        <w:t xml:space="preserve">. </w:t>
      </w:r>
      <w:r w:rsidRPr="005C4C8A">
        <w:rPr>
          <w:lang w:val="fr-FR" w:eastAsia="ko-KR"/>
        </w:rPr>
        <w:t>Il est soumis au Forum mondial de l’harmonisation des Règlements concernant les véhicules (WP.29) et</w:t>
      </w:r>
      <w:r>
        <w:rPr>
          <w:lang w:val="fr-FR" w:eastAsia="ko-KR"/>
        </w:rPr>
        <w:t xml:space="preserve"> au Comité d’administration (AC.3)</w:t>
      </w:r>
      <w:r w:rsidRPr="005C4C8A">
        <w:rPr>
          <w:lang w:val="fr-FR" w:eastAsia="ko-KR"/>
        </w:rPr>
        <w:t xml:space="preserve"> pour examen</w:t>
      </w:r>
      <w:r>
        <w:rPr>
          <w:lang w:val="fr-FR" w:eastAsia="ko-KR"/>
        </w:rPr>
        <w:t>.</w:t>
      </w:r>
    </w:p>
    <w:p w:rsidR="00264BE0" w:rsidRPr="005B3905" w:rsidRDefault="00264BE0" w:rsidP="00264BE0">
      <w:pPr>
        <w:pStyle w:val="HChG"/>
        <w:rPr>
          <w:lang w:val="fr-FR"/>
        </w:rPr>
      </w:pPr>
      <w:r>
        <w:rPr>
          <w:lang w:val="fr-FR" w:eastAsia="ko-KR"/>
        </w:rPr>
        <w:br w:type="page"/>
      </w:r>
      <w:r w:rsidRPr="005B3905">
        <w:rPr>
          <w:lang w:val="fr-FR"/>
        </w:rPr>
        <w:lastRenderedPageBreak/>
        <w:tab/>
        <w:t>A.</w:t>
      </w:r>
      <w:r w:rsidRPr="005B3905">
        <w:rPr>
          <w:lang w:val="fr-FR"/>
        </w:rPr>
        <w:tab/>
      </w:r>
      <w:r>
        <w:rPr>
          <w:lang w:val="fr-FR"/>
        </w:rPr>
        <w:t>Historique</w:t>
      </w:r>
    </w:p>
    <w:p w:rsidR="00264BE0" w:rsidRPr="005B3905" w:rsidRDefault="00264BE0" w:rsidP="00264BE0">
      <w:pPr>
        <w:pStyle w:val="SingleTxtG"/>
        <w:numPr>
          <w:ilvl w:val="0"/>
          <w:numId w:val="15"/>
        </w:numPr>
        <w:ind w:left="1134" w:firstLine="0"/>
        <w:rPr>
          <w:lang w:val="fr-FR"/>
        </w:rPr>
      </w:pPr>
      <w:r w:rsidRPr="00A856C6">
        <w:rPr>
          <w:lang w:val="fr-FR" w:eastAsia="ko-KR"/>
        </w:rPr>
        <w:t>Le Règlement technique mondial (RTM</w:t>
      </w:r>
      <w:r w:rsidRPr="005274BB">
        <w:rPr>
          <w:lang w:val="fr-FR" w:eastAsia="ko-KR"/>
        </w:rPr>
        <w:t>)</w:t>
      </w:r>
      <w:r w:rsidRPr="00A856C6">
        <w:rPr>
          <w:lang w:val="fr-FR" w:eastAsia="ko-KR"/>
        </w:rPr>
        <w:t xml:space="preserve">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A856C6">
        <w:rPr>
          <w:lang w:val="fr-FR" w:eastAsia="ko-KR"/>
        </w:rPr>
        <w:t>16 de l’ONU relatif aux pneumatiques a été inscrit au Registre mondial le 13</w:t>
      </w:r>
      <w:r>
        <w:rPr>
          <w:lang w:val="fr-FR" w:eastAsia="ko-KR"/>
        </w:rPr>
        <w:t> </w:t>
      </w:r>
      <w:r w:rsidRPr="00A856C6">
        <w:rPr>
          <w:lang w:val="fr-FR" w:eastAsia="ko-KR"/>
        </w:rPr>
        <w:t>novembre 2014</w:t>
      </w:r>
      <w:r w:rsidRPr="005B3905">
        <w:rPr>
          <w:lang w:val="fr-FR"/>
        </w:rPr>
        <w:t xml:space="preserve">. </w:t>
      </w:r>
      <w:r w:rsidRPr="005274BB">
        <w:rPr>
          <w:lang w:val="fr-FR"/>
        </w:rPr>
        <w:t xml:space="preserve">Le groupe de travail informel </w:t>
      </w:r>
      <w:r>
        <w:rPr>
          <w:lang w:val="fr-FR"/>
        </w:rPr>
        <w:t>chargé du</w:t>
      </w:r>
      <w:r w:rsidRPr="005274BB">
        <w:rPr>
          <w:lang w:val="fr-FR"/>
        </w:rPr>
        <w:t xml:space="preserve"> RTM relatif aux pneumatiques n’</w:t>
      </w:r>
      <w:r>
        <w:rPr>
          <w:lang w:val="fr-FR"/>
        </w:rPr>
        <w:t>est</w:t>
      </w:r>
      <w:r w:rsidRPr="005274BB">
        <w:rPr>
          <w:lang w:val="fr-FR"/>
        </w:rPr>
        <w:t xml:space="preserve"> </w:t>
      </w:r>
      <w:r>
        <w:rPr>
          <w:lang w:val="fr-FR"/>
        </w:rPr>
        <w:t>pas</w:t>
      </w:r>
      <w:r w:rsidRPr="005274BB">
        <w:rPr>
          <w:lang w:val="fr-FR"/>
        </w:rPr>
        <w:t xml:space="preserve"> parven</w:t>
      </w:r>
      <w:r>
        <w:rPr>
          <w:lang w:val="fr-FR"/>
        </w:rPr>
        <w:t>u</w:t>
      </w:r>
      <w:r w:rsidRPr="005274BB">
        <w:rPr>
          <w:lang w:val="fr-FR"/>
        </w:rPr>
        <w:t xml:space="preserve"> à harmoniser les dispositions techniques de manière à les rendre acceptables à la fois pour l’homologation de type et pour les systèmes d’évaluation de la conformité en vue de l’autocertification</w:t>
      </w:r>
      <w:r>
        <w:rPr>
          <w:lang w:val="fr-FR"/>
        </w:rPr>
        <w:t>.</w:t>
      </w:r>
    </w:p>
    <w:p w:rsidR="00264BE0" w:rsidRPr="005B3905" w:rsidRDefault="00264BE0" w:rsidP="00264BE0">
      <w:pPr>
        <w:pStyle w:val="SingleTxtG"/>
        <w:numPr>
          <w:ilvl w:val="0"/>
          <w:numId w:val="15"/>
        </w:numPr>
        <w:ind w:left="1134" w:firstLine="0"/>
        <w:rPr>
          <w:lang w:val="fr-FR"/>
        </w:rPr>
      </w:pPr>
      <w:r>
        <w:t xml:space="preserve">Entre-temps, le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t xml:space="preserve">117, sur lequel est fondé le RTM </w:t>
      </w:r>
      <w:r w:rsidR="00D47D64" w:rsidRPr="00264BE0">
        <w:rPr>
          <w:rFonts w:eastAsia="MS Mincho"/>
          <w:szCs w:val="22"/>
          <w:lang w:val="fr-FR" w:eastAsia="ko-KR"/>
        </w:rPr>
        <w:t>n</w:t>
      </w:r>
      <w:r w:rsidR="00D47D64" w:rsidRPr="00264BE0">
        <w:rPr>
          <w:rFonts w:eastAsia="MS Mincho"/>
          <w:szCs w:val="22"/>
          <w:vertAlign w:val="superscript"/>
          <w:lang w:val="fr-FR" w:eastAsia="ko-KR"/>
        </w:rPr>
        <w:t>o</w:t>
      </w:r>
      <w:r w:rsidR="00D47D64">
        <w:rPr>
          <w:lang w:val="fr-FR" w:eastAsia="ko-KR"/>
        </w:rPr>
        <w:t> </w:t>
      </w:r>
      <w:r>
        <w:t>16, a été modifié à plusieurs reprises de manière à y intégrer des dispositions relatives à l’adhérence sur sol mouillé, à la résistance au roulement et à la qualification pour une utilisation sur routes très fortement enneigées pour toutes les classes de pneumatiques faisant partie de son champ d’application</w:t>
      </w:r>
      <w:r w:rsidRPr="005B3905">
        <w:rPr>
          <w:lang w:val="fr-FR"/>
        </w:rPr>
        <w:t xml:space="preserve">. </w:t>
      </w:r>
      <w:r w:rsidRPr="005274BB">
        <w:rPr>
          <w:lang w:val="fr-FR"/>
        </w:rPr>
        <w:t xml:space="preserve">Les RTM </w:t>
      </w:r>
      <w:r w:rsidRPr="00264BE0">
        <w:rPr>
          <w:rFonts w:eastAsia="MS Mincho"/>
          <w:szCs w:val="22"/>
          <w:lang w:val="fr-FR" w:eastAsia="ko-KR"/>
        </w:rPr>
        <w:t>n</w:t>
      </w:r>
      <w:r w:rsidRPr="00264BE0">
        <w:rPr>
          <w:rFonts w:eastAsia="MS Mincho"/>
          <w:szCs w:val="22"/>
          <w:vertAlign w:val="superscript"/>
          <w:lang w:val="fr-FR" w:eastAsia="ko-KR"/>
        </w:rPr>
        <w:t>o</w:t>
      </w:r>
      <w:r>
        <w:rPr>
          <w:rFonts w:eastAsia="MS Mincho"/>
          <w:szCs w:val="22"/>
          <w:vertAlign w:val="superscript"/>
          <w:lang w:val="fr-FR" w:eastAsia="ko-KR"/>
        </w:rPr>
        <w:t>s</w:t>
      </w:r>
      <w:r>
        <w:rPr>
          <w:lang w:val="fr-FR" w:eastAsia="ko-KR"/>
        </w:rPr>
        <w:t> </w:t>
      </w:r>
      <w:r w:rsidRPr="005274BB">
        <w:rPr>
          <w:lang w:val="fr-FR"/>
        </w:rPr>
        <w:t xml:space="preserve">30 et 54, sur lesquels est également fondé le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5274BB">
        <w:rPr>
          <w:lang w:val="fr-FR"/>
        </w:rPr>
        <w:t xml:space="preserve">16, ont également subi certaines modifications, ce qui a rendu nécessaire d’harmoniser en conséquence les dispositions pertinentes du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5274BB">
        <w:rPr>
          <w:lang w:val="fr-FR"/>
        </w:rPr>
        <w:t>16</w:t>
      </w:r>
      <w:r w:rsidRPr="005B3905">
        <w:rPr>
          <w:lang w:val="fr-FR"/>
        </w:rPr>
        <w:t>.</w:t>
      </w:r>
    </w:p>
    <w:p w:rsidR="00264BE0" w:rsidRPr="005B3905" w:rsidRDefault="00264BE0" w:rsidP="00264BE0">
      <w:pPr>
        <w:pStyle w:val="SingleTxtG"/>
        <w:numPr>
          <w:ilvl w:val="0"/>
          <w:numId w:val="15"/>
        </w:numPr>
        <w:ind w:left="1134" w:firstLine="0"/>
        <w:rPr>
          <w:lang w:val="fr-FR"/>
        </w:rPr>
      </w:pPr>
      <w:r w:rsidRPr="005274BB">
        <w:rPr>
          <w:lang w:val="fr-FR"/>
        </w:rPr>
        <w:t xml:space="preserve">Comme il n’était pas possible d’harmoniser dans un délai raisonnable le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5274BB">
        <w:rPr>
          <w:lang w:val="fr-FR"/>
        </w:rPr>
        <w:t xml:space="preserve">16 avec les dispositions nouvellement introduites du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5274BB">
        <w:rPr>
          <w:lang w:val="fr-FR"/>
        </w:rPr>
        <w:t xml:space="preserve">117, il a été décidé de ne pas envisager d’intégrer ces dispositions dans le texte dudit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5274BB">
        <w:rPr>
          <w:lang w:val="fr-FR"/>
        </w:rPr>
        <w:t>16 lors de son élaboration</w:t>
      </w:r>
      <w:r w:rsidRPr="005B3905">
        <w:rPr>
          <w:lang w:val="fr-FR"/>
        </w:rPr>
        <w:t>.</w:t>
      </w:r>
    </w:p>
    <w:p w:rsidR="00264BE0" w:rsidRPr="005B3905" w:rsidRDefault="00264BE0" w:rsidP="00264BE0">
      <w:pPr>
        <w:pStyle w:val="SingleTxtG"/>
        <w:numPr>
          <w:ilvl w:val="0"/>
          <w:numId w:val="15"/>
        </w:numPr>
        <w:ind w:left="1134" w:firstLine="0"/>
        <w:rPr>
          <w:lang w:val="fr-FR"/>
        </w:rPr>
      </w:pPr>
      <w:r w:rsidRPr="005274BB">
        <w:rPr>
          <w:lang w:val="fr-FR"/>
        </w:rPr>
        <w:t xml:space="preserve">Comme les nouvelles dispositions précitées du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5274BB">
        <w:rPr>
          <w:lang w:val="fr-FR"/>
        </w:rPr>
        <w:t xml:space="preserve">117 ainsi que celles des RTM </w:t>
      </w:r>
      <w:r w:rsidRPr="00264BE0">
        <w:rPr>
          <w:rFonts w:eastAsia="MS Mincho"/>
          <w:szCs w:val="22"/>
          <w:lang w:val="fr-FR" w:eastAsia="ko-KR"/>
        </w:rPr>
        <w:t>n</w:t>
      </w:r>
      <w:r w:rsidRPr="00264BE0">
        <w:rPr>
          <w:rFonts w:eastAsia="MS Mincho"/>
          <w:szCs w:val="22"/>
          <w:vertAlign w:val="superscript"/>
          <w:lang w:val="fr-FR" w:eastAsia="ko-KR"/>
        </w:rPr>
        <w:t>o</w:t>
      </w:r>
      <w:r>
        <w:rPr>
          <w:rFonts w:eastAsia="MS Mincho"/>
          <w:szCs w:val="22"/>
          <w:vertAlign w:val="superscript"/>
          <w:lang w:val="fr-FR" w:eastAsia="ko-KR"/>
        </w:rPr>
        <w:t>s</w:t>
      </w:r>
      <w:r>
        <w:rPr>
          <w:lang w:val="fr-FR" w:eastAsia="ko-KR"/>
        </w:rPr>
        <w:t> </w:t>
      </w:r>
      <w:r w:rsidRPr="005274BB">
        <w:rPr>
          <w:lang w:val="fr-FR"/>
        </w:rPr>
        <w:t xml:space="preserve">30 et 54 tiennent compte des dernières avancées technologiques et sont importantes pour évaluer la performance des pneumatiques commercialisés dans le monde entier, le GRRF a pris la décision, à sa soixante-dix-neuvième session, d’établir un projet d’amendement visant à harmoniser le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5274BB">
        <w:rPr>
          <w:lang w:val="fr-FR"/>
        </w:rPr>
        <w:t>16 relatif aux pneumatiques avec les dernières évolutions de la réglementation (EC</w:t>
      </w:r>
      <w:r>
        <w:rPr>
          <w:lang w:val="fr-FR"/>
        </w:rPr>
        <w:t>E/TRANS/ WP.29/GRRF/79, par. </w:t>
      </w:r>
      <w:r w:rsidRPr="005B3905">
        <w:rPr>
          <w:lang w:val="fr-FR"/>
        </w:rPr>
        <w:t>27).</w:t>
      </w:r>
    </w:p>
    <w:p w:rsidR="00264BE0" w:rsidRPr="005B3905" w:rsidRDefault="00264BE0" w:rsidP="00264BE0">
      <w:pPr>
        <w:pStyle w:val="SingleTxtG"/>
        <w:numPr>
          <w:ilvl w:val="0"/>
          <w:numId w:val="15"/>
        </w:numPr>
        <w:ind w:left="1134" w:firstLine="0"/>
        <w:rPr>
          <w:lang w:val="fr-FR"/>
        </w:rPr>
      </w:pPr>
      <w:r w:rsidRPr="005274BB">
        <w:rPr>
          <w:lang w:val="fr-FR"/>
        </w:rPr>
        <w:t xml:space="preserve">L’Organisation technique européenne du pneumatique et de la jante (ETRTO) a accepté d’établir un projet d’amendement 1 au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5274BB">
        <w:rPr>
          <w:lang w:val="fr-FR"/>
        </w:rPr>
        <w:t>16 relatif aux pneumatiques, qui serait considéré comme la phase 1b de l’élaboration dudit RTM</w:t>
      </w:r>
      <w:r w:rsidRPr="005B3905">
        <w:rPr>
          <w:lang w:val="fr-FR"/>
        </w:rPr>
        <w:t xml:space="preserve">. </w:t>
      </w:r>
      <w:r w:rsidRPr="005274BB">
        <w:rPr>
          <w:lang w:val="fr-FR"/>
        </w:rPr>
        <w:t>Le Gouvernement de la Fédération de Russie a assumé les fonctions de responsable technique pour ce travail</w:t>
      </w:r>
      <w:r w:rsidRPr="005B3905">
        <w:rPr>
          <w:lang w:val="fr-FR"/>
        </w:rPr>
        <w:t>.</w:t>
      </w:r>
    </w:p>
    <w:p w:rsidR="00264BE0" w:rsidRPr="005B3905" w:rsidRDefault="00264BE0" w:rsidP="00264BE0">
      <w:pPr>
        <w:pStyle w:val="SingleTxtG"/>
        <w:numPr>
          <w:ilvl w:val="0"/>
          <w:numId w:val="15"/>
        </w:numPr>
        <w:ind w:left="1134" w:firstLine="0"/>
        <w:rPr>
          <w:lang w:val="fr-FR"/>
        </w:rPr>
      </w:pPr>
      <w:r w:rsidRPr="005274BB">
        <w:rPr>
          <w:lang w:val="fr-FR"/>
        </w:rPr>
        <w:t>À sa quarante-quatrième session, le Comité exécutif de l’Accord de 1958 (AC.3) a adopté le document ECE/TRANS/WP.29/2015/70, soumis par la Fédération de Russie</w:t>
      </w:r>
      <w:r>
        <w:rPr>
          <w:lang w:val="fr-FR"/>
        </w:rPr>
        <w:t>,</w:t>
      </w:r>
      <w:r w:rsidRPr="005274BB">
        <w:rPr>
          <w:lang w:val="fr-FR"/>
        </w:rPr>
        <w:t xml:space="preserve"> dans lequel celle-ci demande l’autorisation de commencer à élaborer l’amendement 1 au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5274BB">
        <w:rPr>
          <w:lang w:val="fr-FR"/>
        </w:rPr>
        <w:t>16 de l’ONU</w:t>
      </w:r>
      <w:r w:rsidRPr="005B3905">
        <w:rPr>
          <w:lang w:val="fr-FR"/>
        </w:rPr>
        <w:t>.</w:t>
      </w:r>
    </w:p>
    <w:p w:rsidR="00264BE0" w:rsidRPr="005B3905" w:rsidRDefault="00264BE0" w:rsidP="00264BE0">
      <w:pPr>
        <w:pStyle w:val="HChG"/>
        <w:rPr>
          <w:szCs w:val="24"/>
          <w:lang w:val="fr-FR"/>
        </w:rPr>
      </w:pPr>
      <w:r w:rsidRPr="005B3905">
        <w:rPr>
          <w:szCs w:val="24"/>
          <w:lang w:val="fr-FR"/>
        </w:rPr>
        <w:tab/>
        <w:t>B.</w:t>
      </w:r>
      <w:r w:rsidRPr="005B3905">
        <w:rPr>
          <w:szCs w:val="24"/>
          <w:lang w:val="fr-FR"/>
        </w:rPr>
        <w:tab/>
      </w:r>
      <w:r w:rsidRPr="005274BB">
        <w:rPr>
          <w:lang w:val="fr-FR" w:eastAsia="ko-KR"/>
        </w:rPr>
        <w:t>Organisation d</w:t>
      </w:r>
      <w:r>
        <w:rPr>
          <w:lang w:val="fr-FR" w:eastAsia="ko-KR"/>
        </w:rPr>
        <w:t>es travaux</w:t>
      </w:r>
    </w:p>
    <w:p w:rsidR="00264BE0" w:rsidRPr="005B3905" w:rsidRDefault="00264BE0" w:rsidP="00264BE0">
      <w:pPr>
        <w:pStyle w:val="SingleTxtG"/>
        <w:numPr>
          <w:ilvl w:val="0"/>
          <w:numId w:val="15"/>
        </w:numPr>
        <w:ind w:left="1134" w:firstLine="0"/>
        <w:rPr>
          <w:lang w:val="fr-FR"/>
        </w:rPr>
      </w:pPr>
      <w:r w:rsidRPr="00826B87">
        <w:rPr>
          <w:lang w:val="fr-FR" w:eastAsia="ko-KR"/>
        </w:rPr>
        <w:t xml:space="preserve">La proposition d’amendement 1 au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826B87">
        <w:rPr>
          <w:lang w:val="fr-FR" w:eastAsia="ko-KR"/>
        </w:rPr>
        <w:t>16, y</w:t>
      </w:r>
      <w:r>
        <w:rPr>
          <w:lang w:val="fr-FR" w:eastAsia="ko-KR"/>
        </w:rPr>
        <w:t> </w:t>
      </w:r>
      <w:r w:rsidRPr="00826B87">
        <w:rPr>
          <w:lang w:val="fr-FR" w:eastAsia="ko-KR"/>
        </w:rPr>
        <w:t xml:space="preserve">compris les modifications approuvées dans les Normes fédérales des États-Unis applicables aux véhicules à moteur en matière de sécurité (FMVSS) pertinentes ainsi que dans les compléments et rectificatifs aux </w:t>
      </w:r>
      <w:r>
        <w:rPr>
          <w:lang w:val="fr-FR" w:eastAsia="ko-KR"/>
        </w:rPr>
        <w:t>R</w:t>
      </w:r>
      <w:r w:rsidRPr="00826B87">
        <w:rPr>
          <w:lang w:val="fr-FR" w:eastAsia="ko-KR"/>
        </w:rPr>
        <w:t>èglements de l’ONU, a été établie par les experts de l’ETRTO avec l’intention de rendre le texte proposé neutre à l’égard des systèmes d’évaluation de la conformité</w:t>
      </w:r>
      <w:r>
        <w:rPr>
          <w:lang w:val="fr-FR"/>
        </w:rPr>
        <w:t>.</w:t>
      </w:r>
    </w:p>
    <w:p w:rsidR="00264BE0" w:rsidRPr="005B3905" w:rsidRDefault="00264BE0" w:rsidP="00264BE0">
      <w:pPr>
        <w:pStyle w:val="SingleTxtG"/>
        <w:numPr>
          <w:ilvl w:val="0"/>
          <w:numId w:val="15"/>
        </w:numPr>
        <w:ind w:left="1134" w:firstLine="0"/>
        <w:rPr>
          <w:lang w:val="fr-FR"/>
        </w:rPr>
      </w:pPr>
      <w:r w:rsidRPr="003A5A62">
        <w:rPr>
          <w:lang w:val="fr-FR"/>
        </w:rPr>
        <w:t>Le projet de document a été examiné par les experts intéressés à la réunion informelle tenue les 25 et 26</w:t>
      </w:r>
      <w:r>
        <w:rPr>
          <w:lang w:val="fr-FR"/>
        </w:rPr>
        <w:t> </w:t>
      </w:r>
      <w:r w:rsidRPr="003A5A62">
        <w:rPr>
          <w:lang w:val="fr-FR"/>
        </w:rPr>
        <w:t>juin 2015 au Palais des Nations, à Genève, en marge de la 166</w:t>
      </w:r>
      <w:r w:rsidRPr="00264BE0">
        <w:rPr>
          <w:vertAlign w:val="superscript"/>
          <w:lang w:val="fr-FR"/>
        </w:rPr>
        <w:t>e</w:t>
      </w:r>
      <w:r>
        <w:rPr>
          <w:lang w:val="fr-FR"/>
        </w:rPr>
        <w:t> </w:t>
      </w:r>
      <w:r w:rsidRPr="003A5A62">
        <w:rPr>
          <w:lang w:val="fr-FR"/>
        </w:rPr>
        <w:t>session du WP.29</w:t>
      </w:r>
      <w:r w:rsidRPr="005B3905">
        <w:rPr>
          <w:lang w:val="fr-FR"/>
        </w:rPr>
        <w:t xml:space="preserve">. </w:t>
      </w:r>
      <w:r w:rsidRPr="003A5A62">
        <w:rPr>
          <w:lang w:val="fr-FR"/>
        </w:rPr>
        <w:t>Ont participé à cette réunion les représentants des Parties contractantes à l’Accord de 1998 suivantes</w:t>
      </w:r>
      <w:r>
        <w:rPr>
          <w:lang w:val="fr-FR"/>
        </w:rPr>
        <w:t> </w:t>
      </w:r>
      <w:r w:rsidRPr="003A5A62">
        <w:rPr>
          <w:lang w:val="fr-FR"/>
        </w:rPr>
        <w:t>: Canada, Égypte, Espagne, États-Unis d’Amérique, Fédération de Russie, Hongrie, Portugal</w:t>
      </w:r>
      <w:r>
        <w:rPr>
          <w:lang w:val="fr-FR"/>
        </w:rPr>
        <w:t>,</w:t>
      </w:r>
      <w:r w:rsidRPr="003A5A62">
        <w:rPr>
          <w:lang w:val="fr-FR"/>
        </w:rPr>
        <w:t xml:space="preserve"> Royaume-Uni </w:t>
      </w:r>
      <w:r>
        <w:rPr>
          <w:lang w:val="fr-FR"/>
        </w:rPr>
        <w:t xml:space="preserve">et </w:t>
      </w:r>
      <w:r w:rsidRPr="003A5A62">
        <w:rPr>
          <w:lang w:val="fr-FR"/>
        </w:rPr>
        <w:t>Commission européenne</w:t>
      </w:r>
      <w:r w:rsidR="00D47D64">
        <w:rPr>
          <w:lang w:val="fr-FR"/>
        </w:rPr>
        <w:t> </w:t>
      </w:r>
      <w:r>
        <w:rPr>
          <w:lang w:val="fr-FR"/>
        </w:rPr>
        <w:t>;</w:t>
      </w:r>
      <w:r w:rsidRPr="003A5A62">
        <w:rPr>
          <w:lang w:val="fr-FR"/>
        </w:rPr>
        <w:t xml:space="preserve"> les représentants des industries concernées suivant</w:t>
      </w:r>
      <w:r>
        <w:rPr>
          <w:lang w:val="fr-FR"/>
        </w:rPr>
        <w:t>e</w:t>
      </w:r>
      <w:r w:rsidRPr="003A5A62">
        <w:rPr>
          <w:lang w:val="fr-FR"/>
        </w:rPr>
        <w:t>s : Organisation technique européenne du pneumatique et de la jante (ETRTO), Japan Auto Parts Industries Association (JAPIA), Indian Tyre Technical Advisory Committee (ITTAC) et Rubber Manufacturers Association (RMA)</w:t>
      </w:r>
      <w:r w:rsidR="00D47D64">
        <w:rPr>
          <w:lang w:val="fr-FR"/>
        </w:rPr>
        <w:t> </w:t>
      </w:r>
      <w:r>
        <w:rPr>
          <w:lang w:val="fr-FR"/>
        </w:rPr>
        <w:t>;</w:t>
      </w:r>
      <w:r w:rsidRPr="003A5A62">
        <w:rPr>
          <w:lang w:val="fr-FR"/>
        </w:rPr>
        <w:t xml:space="preserve"> et le représentant du secrétariat de la CEE</w:t>
      </w:r>
      <w:r>
        <w:rPr>
          <w:lang w:val="fr-FR"/>
        </w:rPr>
        <w:t>.</w:t>
      </w:r>
    </w:p>
    <w:p w:rsidR="00264BE0" w:rsidRPr="005B3905" w:rsidRDefault="00264BE0" w:rsidP="00264BE0">
      <w:pPr>
        <w:pStyle w:val="SingleTxtG"/>
        <w:numPr>
          <w:ilvl w:val="0"/>
          <w:numId w:val="15"/>
        </w:numPr>
        <w:ind w:left="1134" w:firstLine="0"/>
        <w:rPr>
          <w:lang w:val="fr-FR"/>
        </w:rPr>
      </w:pPr>
      <w:r w:rsidRPr="003A5A62">
        <w:rPr>
          <w:lang w:val="fr-FR"/>
        </w:rPr>
        <w:lastRenderedPageBreak/>
        <w:t>Le projet de texte révisé a été établi en fonction des résultats de la réunion et débattu lors de la réunion informelle des experts intéressés</w:t>
      </w:r>
      <w:r>
        <w:rPr>
          <w:lang w:val="fr-FR"/>
        </w:rPr>
        <w:t xml:space="preserve"> du</w:t>
      </w:r>
      <w:r w:rsidRPr="003A5A62">
        <w:rPr>
          <w:lang w:val="fr-FR"/>
        </w:rPr>
        <w:t xml:space="preserve"> 14</w:t>
      </w:r>
      <w:r>
        <w:rPr>
          <w:lang w:val="fr-FR"/>
        </w:rPr>
        <w:t> </w:t>
      </w:r>
      <w:r w:rsidRPr="003A5A62">
        <w:rPr>
          <w:lang w:val="fr-FR"/>
        </w:rPr>
        <w:t>septembre 2015, avant la quatre-vingtième session du GRRF, dans l’objectif de clarifier les questions encore en suspens</w:t>
      </w:r>
      <w:r>
        <w:rPr>
          <w:lang w:val="fr-FR"/>
        </w:rPr>
        <w:t>.</w:t>
      </w:r>
    </w:p>
    <w:p w:rsidR="00264BE0" w:rsidRPr="005B3905" w:rsidRDefault="00264BE0" w:rsidP="00264BE0">
      <w:pPr>
        <w:pStyle w:val="SingleTxtG"/>
        <w:numPr>
          <w:ilvl w:val="0"/>
          <w:numId w:val="15"/>
        </w:numPr>
        <w:ind w:left="1134" w:firstLine="0"/>
        <w:rPr>
          <w:lang w:val="fr-FR"/>
        </w:rPr>
      </w:pPr>
      <w:r w:rsidRPr="003A5A62">
        <w:rPr>
          <w:lang w:val="fr-FR"/>
        </w:rPr>
        <w:t xml:space="preserve">Le projet d’amendement 1 au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3A5A62">
        <w:rPr>
          <w:lang w:val="fr-FR"/>
        </w:rPr>
        <w:t>16</w:t>
      </w:r>
      <w:r>
        <w:rPr>
          <w:lang w:val="fr-FR"/>
        </w:rPr>
        <w:t>,</w:t>
      </w:r>
      <w:r w:rsidRPr="003A5A62">
        <w:rPr>
          <w:lang w:val="fr-FR"/>
        </w:rPr>
        <w:t xml:space="preserve"> ajusté en fonction des résultats de la réunion</w:t>
      </w:r>
      <w:r>
        <w:rPr>
          <w:lang w:val="fr-FR"/>
        </w:rPr>
        <w:t>,</w:t>
      </w:r>
      <w:r w:rsidRPr="003A5A62">
        <w:rPr>
          <w:lang w:val="fr-FR"/>
        </w:rPr>
        <w:t xml:space="preserve"> ainsi que les points au sujet desquels des orientations étaient demandées au GRRF</w:t>
      </w:r>
      <w:r>
        <w:rPr>
          <w:lang w:val="fr-FR"/>
        </w:rPr>
        <w:t>,</w:t>
      </w:r>
      <w:r w:rsidRPr="003A5A62">
        <w:rPr>
          <w:lang w:val="fr-FR"/>
        </w:rPr>
        <w:t xml:space="preserve"> ont été soumis à la quatre-vingtième session du GRRF</w:t>
      </w:r>
      <w:r>
        <w:rPr>
          <w:lang w:val="fr-FR"/>
        </w:rPr>
        <w:t>.</w:t>
      </w:r>
    </w:p>
    <w:p w:rsidR="00264BE0" w:rsidRPr="005B3905" w:rsidRDefault="00264BE0" w:rsidP="00264BE0">
      <w:pPr>
        <w:pStyle w:val="SingleTxtG"/>
        <w:numPr>
          <w:ilvl w:val="0"/>
          <w:numId w:val="15"/>
        </w:numPr>
        <w:ind w:left="1134" w:firstLine="0"/>
        <w:rPr>
          <w:lang w:val="fr-FR"/>
        </w:rPr>
      </w:pPr>
      <w:r w:rsidRPr="00A33615">
        <w:rPr>
          <w:lang w:val="fr-FR"/>
        </w:rPr>
        <w:t>À sa quatre-vingtième session, le GRRF a approuvé le travail accompli par les experts de l’ETRTO et de la Fédération de Russie avec l’aide d’autres experts intéressés</w:t>
      </w:r>
      <w:r w:rsidRPr="005B3905">
        <w:rPr>
          <w:lang w:val="fr-FR"/>
        </w:rPr>
        <w:t xml:space="preserve">. </w:t>
      </w:r>
      <w:r w:rsidRPr="00A33615">
        <w:rPr>
          <w:lang w:val="fr-FR"/>
        </w:rPr>
        <w:t>Afin de mettre la dernière main en temps utile au texte du projet d’amendement 1, le président du GRRF a invité tous les experts du GRRF à soumettre à l’ETRTO, au plus tard le 2</w:t>
      </w:r>
      <w:r>
        <w:rPr>
          <w:lang w:val="fr-FR"/>
        </w:rPr>
        <w:t> </w:t>
      </w:r>
      <w:r w:rsidRPr="00A33615">
        <w:rPr>
          <w:lang w:val="fr-FR"/>
        </w:rPr>
        <w:t xml:space="preserve">octobre 2015, leurs observations sur les documents qui leur avaient été soumis afin que ces observations soient débattues à la </w:t>
      </w:r>
      <w:r w:rsidR="009875ED">
        <w:rPr>
          <w:lang w:val="fr-FR"/>
        </w:rPr>
        <w:t>W</w:t>
      </w:r>
      <w:r w:rsidRPr="00A33615">
        <w:rPr>
          <w:lang w:val="fr-FR"/>
        </w:rPr>
        <w:t>ebconférence prévue à la mi-octobre</w:t>
      </w:r>
      <w:r w:rsidRPr="005B3905">
        <w:rPr>
          <w:lang w:val="fr-FR"/>
        </w:rPr>
        <w:t>.</w:t>
      </w:r>
    </w:p>
    <w:p w:rsidR="00264BE0" w:rsidRPr="005B3905" w:rsidRDefault="00264BE0" w:rsidP="00264BE0">
      <w:pPr>
        <w:pStyle w:val="SingleTxtG"/>
        <w:numPr>
          <w:ilvl w:val="0"/>
          <w:numId w:val="15"/>
        </w:numPr>
        <w:ind w:left="1134" w:firstLine="0"/>
        <w:rPr>
          <w:lang w:val="fr-FR"/>
        </w:rPr>
      </w:pPr>
      <w:r w:rsidRPr="00A33615">
        <w:rPr>
          <w:lang w:val="fr-FR"/>
        </w:rPr>
        <w:t xml:space="preserve">Lors de la </w:t>
      </w:r>
      <w:r w:rsidR="009875ED">
        <w:rPr>
          <w:lang w:val="fr-FR"/>
        </w:rPr>
        <w:t>W</w:t>
      </w:r>
      <w:r w:rsidRPr="00A33615">
        <w:rPr>
          <w:lang w:val="fr-FR"/>
        </w:rPr>
        <w:t>ebconférence, qui a eu lieu le 16</w:t>
      </w:r>
      <w:r>
        <w:rPr>
          <w:lang w:val="fr-FR"/>
        </w:rPr>
        <w:t> </w:t>
      </w:r>
      <w:r w:rsidRPr="00A33615">
        <w:rPr>
          <w:lang w:val="fr-FR"/>
        </w:rPr>
        <w:t>octobre 2015, les experts intéressés ont examiné les documents de travail dans lesquels figuraient la proposition d’amendement ainsi que les commentaires des experts du GRRF et d’autres reçus après la quatre-vingtième session du GRRF</w:t>
      </w:r>
      <w:r w:rsidRPr="005B3905">
        <w:rPr>
          <w:lang w:val="fr-FR"/>
        </w:rPr>
        <w:t>.</w:t>
      </w:r>
    </w:p>
    <w:p w:rsidR="00264BE0" w:rsidRPr="005B3905" w:rsidRDefault="00264BE0" w:rsidP="00264BE0">
      <w:pPr>
        <w:pStyle w:val="SingleTxtG"/>
        <w:numPr>
          <w:ilvl w:val="0"/>
          <w:numId w:val="15"/>
        </w:numPr>
        <w:ind w:left="1134" w:firstLine="0"/>
        <w:rPr>
          <w:lang w:val="fr-FR"/>
        </w:rPr>
      </w:pPr>
      <w:r w:rsidRPr="00A33615">
        <w:rPr>
          <w:lang w:val="fr-FR"/>
        </w:rPr>
        <w:t xml:space="preserve">Les résultats du débat tenu lors de la </w:t>
      </w:r>
      <w:r w:rsidR="009875ED">
        <w:rPr>
          <w:lang w:val="fr-FR"/>
        </w:rPr>
        <w:t>W</w:t>
      </w:r>
      <w:r w:rsidRPr="00A33615">
        <w:rPr>
          <w:lang w:val="fr-FR"/>
        </w:rPr>
        <w:t xml:space="preserve">ebconférence ont été pris en compte dans les documents de travail relatifs à l’amendement 1 au RTM </w:t>
      </w:r>
      <w:r w:rsidR="00A709B7" w:rsidRPr="00A709B7">
        <w:rPr>
          <w:rFonts w:eastAsia="MS Mincho"/>
          <w:szCs w:val="22"/>
          <w:lang w:val="fr-FR"/>
        </w:rPr>
        <w:t>n</w:t>
      </w:r>
      <w:r w:rsidR="00A709B7" w:rsidRPr="00A709B7">
        <w:rPr>
          <w:rFonts w:eastAsia="MS Mincho"/>
          <w:szCs w:val="22"/>
          <w:vertAlign w:val="superscript"/>
          <w:lang w:val="fr-FR"/>
        </w:rPr>
        <w:t>o</w:t>
      </w:r>
      <w:r w:rsidR="00A709B7">
        <w:rPr>
          <w:lang w:val="fr-FR"/>
        </w:rPr>
        <w:t> </w:t>
      </w:r>
      <w:r w:rsidRPr="00A33615">
        <w:rPr>
          <w:lang w:val="fr-FR"/>
        </w:rPr>
        <w:t xml:space="preserve">16 et dans le rapport final sur la phase 1b de l’élaboration dudit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A33615">
        <w:rPr>
          <w:lang w:val="fr-FR"/>
        </w:rPr>
        <w:t>16, auquel l’ETRTO avait par ailleurs mis la dernière main et qu’elle avait soumis pour examen et adoption éventuelle à la quatre-vingt-unième session du GRRF</w:t>
      </w:r>
      <w:r w:rsidRPr="005B3905">
        <w:rPr>
          <w:lang w:val="fr-FR"/>
        </w:rPr>
        <w:t>.</w:t>
      </w:r>
    </w:p>
    <w:p w:rsidR="00264BE0" w:rsidRPr="005B3905" w:rsidRDefault="00264BE0" w:rsidP="00264BE0">
      <w:pPr>
        <w:pStyle w:val="SingleTxtG"/>
        <w:numPr>
          <w:ilvl w:val="0"/>
          <w:numId w:val="15"/>
        </w:numPr>
        <w:ind w:left="1134" w:firstLine="0"/>
        <w:rPr>
          <w:lang w:val="fr-FR"/>
        </w:rPr>
      </w:pPr>
      <w:r w:rsidRPr="00A33615">
        <w:rPr>
          <w:lang w:val="fr-FR"/>
        </w:rPr>
        <w:t xml:space="preserve">À sa quatre-vingt-unième session, le GRRF a adopté les documents de travail relatifs à l’amendement 1 au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A33615">
        <w:rPr>
          <w:lang w:val="fr-FR"/>
        </w:rPr>
        <w:t xml:space="preserve">16 de l’ONU et le rapport final sur la phase 1b de l’élaboration dudit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A33615">
        <w:rPr>
          <w:lang w:val="fr-FR"/>
        </w:rPr>
        <w:t>16, sous réserve de leur examen par le WP.29 et l’AC.3 à leurs sessions de mars 2016</w:t>
      </w:r>
      <w:r w:rsidRPr="005B3905">
        <w:rPr>
          <w:lang w:val="fr-FR"/>
        </w:rPr>
        <w:t>.</w:t>
      </w:r>
    </w:p>
    <w:p w:rsidR="00264BE0" w:rsidRPr="005B3905" w:rsidRDefault="00264BE0" w:rsidP="00264BE0">
      <w:pPr>
        <w:pStyle w:val="HChG"/>
        <w:rPr>
          <w:lang w:val="fr-FR"/>
        </w:rPr>
      </w:pPr>
      <w:r w:rsidRPr="005B3905">
        <w:rPr>
          <w:lang w:val="fr-FR"/>
        </w:rPr>
        <w:tab/>
        <w:t>C.</w:t>
      </w:r>
      <w:r w:rsidRPr="005B3905">
        <w:rPr>
          <w:lang w:val="fr-FR"/>
        </w:rPr>
        <w:tab/>
      </w:r>
      <w:r w:rsidRPr="00A33615">
        <w:rPr>
          <w:lang w:val="fr-FR"/>
        </w:rPr>
        <w:t>Élaboration du RTM</w:t>
      </w:r>
    </w:p>
    <w:p w:rsidR="00264BE0" w:rsidRPr="005B3905" w:rsidRDefault="00264BE0" w:rsidP="00264BE0">
      <w:pPr>
        <w:pStyle w:val="SingleTxtG"/>
        <w:numPr>
          <w:ilvl w:val="0"/>
          <w:numId w:val="15"/>
        </w:numPr>
        <w:ind w:left="1134" w:firstLine="0"/>
        <w:rPr>
          <w:lang w:val="fr-FR" w:eastAsia="ko-KR"/>
        </w:rPr>
      </w:pPr>
      <w:r>
        <w:rPr>
          <w:lang w:val="fr-FR" w:eastAsia="ko-KR"/>
        </w:rPr>
        <w:t>La</w:t>
      </w:r>
      <w:r w:rsidRPr="00A33615">
        <w:rPr>
          <w:lang w:val="fr-FR" w:eastAsia="ko-KR"/>
        </w:rPr>
        <w:t xml:space="preserve"> proposition </w:t>
      </w:r>
      <w:r>
        <w:rPr>
          <w:lang w:val="fr-FR" w:eastAsia="ko-KR"/>
        </w:rPr>
        <w:t xml:space="preserve">ci-après </w:t>
      </w:r>
      <w:r w:rsidRPr="00A33615">
        <w:rPr>
          <w:lang w:val="fr-FR" w:eastAsia="ko-KR"/>
        </w:rPr>
        <w:t xml:space="preserve">a pour objectif d’élaborer, dans le cadre de l’Accord de 1998, un amendement 1 au RTM </w:t>
      </w:r>
      <w:r w:rsidR="009875ED" w:rsidRPr="001E07F6">
        <w:rPr>
          <w:rFonts w:eastAsia="MS Mincho"/>
          <w:spacing w:val="-2"/>
          <w:szCs w:val="22"/>
          <w:lang w:val="fr-FR"/>
        </w:rPr>
        <w:t>n</w:t>
      </w:r>
      <w:r w:rsidR="009875ED" w:rsidRPr="001E07F6">
        <w:rPr>
          <w:rFonts w:eastAsia="MS Mincho"/>
          <w:spacing w:val="-2"/>
          <w:szCs w:val="22"/>
          <w:vertAlign w:val="superscript"/>
          <w:lang w:val="fr-FR"/>
        </w:rPr>
        <w:t>o</w:t>
      </w:r>
      <w:r w:rsidR="009875ED">
        <w:rPr>
          <w:spacing w:val="-2"/>
          <w:lang w:val="fr-FR"/>
        </w:rPr>
        <w:t> </w:t>
      </w:r>
      <w:r w:rsidRPr="00A33615">
        <w:rPr>
          <w:lang w:val="fr-FR" w:eastAsia="ko-KR"/>
        </w:rPr>
        <w:t xml:space="preserve">16 de l’ONU relatif aux pneumatiques visant à adapter ledit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A33615">
        <w:rPr>
          <w:lang w:val="fr-FR" w:eastAsia="ko-KR"/>
        </w:rPr>
        <w:t>16 au</w:t>
      </w:r>
      <w:r>
        <w:rPr>
          <w:lang w:val="fr-FR" w:eastAsia="ko-KR"/>
        </w:rPr>
        <w:t>x</w:t>
      </w:r>
      <w:r w:rsidRPr="00A33615">
        <w:rPr>
          <w:lang w:val="fr-FR" w:eastAsia="ko-KR"/>
        </w:rPr>
        <w:t xml:space="preserve"> progrès technique</w:t>
      </w:r>
      <w:r>
        <w:rPr>
          <w:lang w:val="fr-FR" w:eastAsia="ko-KR"/>
        </w:rPr>
        <w:t>s</w:t>
      </w:r>
      <w:r w:rsidRPr="00A33615">
        <w:rPr>
          <w:lang w:val="fr-FR" w:eastAsia="ko-KR"/>
        </w:rPr>
        <w:t xml:space="preserve"> en y intégrant les dispositions relatives à l’adhérence sur sol mouillé, à la résistance au roulement et à la qualification pour une utilisation sur routes très fortement enneigées des pneumatiques tant des voitures particulières que des véhicules utilitaires légers, récemment adoptées et intégrées dans le Règlement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A33615">
        <w:rPr>
          <w:lang w:val="fr-FR" w:eastAsia="ko-KR"/>
        </w:rPr>
        <w:t>117</w:t>
      </w:r>
      <w:r w:rsidRPr="005B3905">
        <w:rPr>
          <w:lang w:val="fr-FR" w:eastAsia="ko-KR"/>
        </w:rPr>
        <w:t xml:space="preserve">. </w:t>
      </w:r>
      <w:r w:rsidRPr="00A33615">
        <w:rPr>
          <w:lang w:val="fr-FR"/>
        </w:rPr>
        <w:t xml:space="preserve">Les changements approuvés et intégrés dans les Normes fédérales en matière de sécurité des véhicules automobiles (FMVSS, États-Unis) pertinentes et dans les </w:t>
      </w:r>
      <w:r>
        <w:rPr>
          <w:lang w:val="fr-FR"/>
        </w:rPr>
        <w:t>R</w:t>
      </w:r>
      <w:r w:rsidRPr="00A33615">
        <w:rPr>
          <w:lang w:val="fr-FR"/>
        </w:rPr>
        <w:t>èglements n</w:t>
      </w:r>
      <w:r w:rsidRPr="00CC59AC">
        <w:rPr>
          <w:vertAlign w:val="superscript"/>
          <w:lang w:val="fr-FR"/>
        </w:rPr>
        <w:t>os</w:t>
      </w:r>
      <w:r>
        <w:rPr>
          <w:lang w:val="fr-FR"/>
        </w:rPr>
        <w:t> </w:t>
      </w:r>
      <w:r w:rsidRPr="00A33615">
        <w:rPr>
          <w:lang w:val="fr-FR"/>
        </w:rPr>
        <w:t>30 et 54 de l’ONU y ont également été intégrés</w:t>
      </w:r>
      <w:r w:rsidRPr="005B3905">
        <w:rPr>
          <w:lang w:val="fr-FR" w:eastAsia="ko-KR"/>
        </w:rPr>
        <w:t>.</w:t>
      </w:r>
    </w:p>
    <w:p w:rsidR="00264BE0" w:rsidRPr="005B3905" w:rsidRDefault="00264BE0" w:rsidP="00264BE0">
      <w:pPr>
        <w:pStyle w:val="SingleTxtG"/>
        <w:numPr>
          <w:ilvl w:val="0"/>
          <w:numId w:val="15"/>
        </w:numPr>
        <w:ind w:left="1134" w:firstLine="0"/>
        <w:rPr>
          <w:lang w:val="fr-FR" w:eastAsia="ko-KR"/>
        </w:rPr>
      </w:pPr>
      <w:r w:rsidRPr="00CC59AC">
        <w:rPr>
          <w:lang w:val="fr-FR" w:eastAsia="ko-KR"/>
        </w:rPr>
        <w:t xml:space="preserve">L’amendement 1 au RTM </w:t>
      </w:r>
      <w:r w:rsidRPr="00264BE0">
        <w:rPr>
          <w:rFonts w:eastAsia="MS Mincho"/>
          <w:szCs w:val="22"/>
          <w:lang w:val="fr-FR" w:eastAsia="ko-KR"/>
        </w:rPr>
        <w:t>n</w:t>
      </w:r>
      <w:r w:rsidRPr="00264BE0">
        <w:rPr>
          <w:rFonts w:eastAsia="MS Mincho"/>
          <w:szCs w:val="22"/>
          <w:vertAlign w:val="superscript"/>
          <w:lang w:val="fr-FR" w:eastAsia="ko-KR"/>
        </w:rPr>
        <w:t>o</w:t>
      </w:r>
      <w:r>
        <w:rPr>
          <w:lang w:val="fr-FR" w:eastAsia="ko-KR"/>
        </w:rPr>
        <w:t> </w:t>
      </w:r>
      <w:r w:rsidRPr="00CC59AC">
        <w:rPr>
          <w:lang w:val="fr-FR" w:eastAsia="ko-KR"/>
        </w:rPr>
        <w:t>16 de l’ONU comprend</w:t>
      </w:r>
      <w:r w:rsidR="00A862CF">
        <w:rPr>
          <w:lang w:val="fr-FR" w:eastAsia="ko-KR"/>
        </w:rPr>
        <w:t> </w:t>
      </w:r>
      <w:r w:rsidRPr="005B3905">
        <w:rPr>
          <w:lang w:val="fr-FR" w:eastAsia="ko-KR"/>
        </w:rPr>
        <w:t>:</w:t>
      </w:r>
    </w:p>
    <w:p w:rsidR="00264BE0" w:rsidRPr="005B3905" w:rsidRDefault="00264BE0" w:rsidP="00264BE0">
      <w:pPr>
        <w:pStyle w:val="SingleTxtG"/>
        <w:ind w:left="2268" w:hanging="567"/>
        <w:rPr>
          <w:lang w:val="fr-FR" w:eastAsia="ko-KR"/>
        </w:rPr>
      </w:pPr>
      <w:r w:rsidRPr="005B3905">
        <w:rPr>
          <w:lang w:val="fr-FR"/>
        </w:rPr>
        <w:t>a)</w:t>
      </w:r>
      <w:r w:rsidRPr="005B3905">
        <w:rPr>
          <w:lang w:val="fr-FR"/>
        </w:rPr>
        <w:tab/>
      </w:r>
      <w:r w:rsidRPr="00CC59AC">
        <w:rPr>
          <w:spacing w:val="-4"/>
          <w:lang w:val="fr-FR" w:eastAsia="ko-KR"/>
        </w:rPr>
        <w:t>Des modifications de la première Partie consistant en l’ajout des nouveaux paragraphes 4</w:t>
      </w:r>
      <w:r>
        <w:rPr>
          <w:spacing w:val="-4"/>
          <w:lang w:val="fr-FR" w:eastAsia="ko-KR"/>
        </w:rPr>
        <w:t> </w:t>
      </w:r>
      <w:r w:rsidRPr="00264BE0">
        <w:rPr>
          <w:i/>
          <w:spacing w:val="-4"/>
          <w:lang w:val="fr-FR" w:eastAsia="ko-KR"/>
        </w:rPr>
        <w:t>bis</w:t>
      </w:r>
      <w:r w:rsidRPr="00CC59AC">
        <w:rPr>
          <w:spacing w:val="-4"/>
          <w:lang w:val="fr-FR" w:eastAsia="ko-KR"/>
        </w:rPr>
        <w:t>, 23</w:t>
      </w:r>
      <w:r>
        <w:rPr>
          <w:spacing w:val="-4"/>
          <w:lang w:val="fr-FR" w:eastAsia="ko-KR"/>
        </w:rPr>
        <w:t> </w:t>
      </w:r>
      <w:r w:rsidRPr="00264BE0">
        <w:rPr>
          <w:i/>
          <w:spacing w:val="-4"/>
          <w:lang w:val="fr-FR" w:eastAsia="ko-KR"/>
        </w:rPr>
        <w:t>bis</w:t>
      </w:r>
      <w:r w:rsidRPr="00CC59AC">
        <w:rPr>
          <w:spacing w:val="-4"/>
          <w:lang w:val="fr-FR" w:eastAsia="ko-KR"/>
        </w:rPr>
        <w:t>, 28</w:t>
      </w:r>
      <w:r>
        <w:rPr>
          <w:spacing w:val="-4"/>
          <w:lang w:val="fr-FR" w:eastAsia="ko-KR"/>
        </w:rPr>
        <w:t> </w:t>
      </w:r>
      <w:r w:rsidRPr="00264BE0">
        <w:rPr>
          <w:i/>
          <w:spacing w:val="-4"/>
          <w:lang w:val="fr-FR" w:eastAsia="ko-KR"/>
        </w:rPr>
        <w:t>bis</w:t>
      </w:r>
      <w:r w:rsidRPr="00CC59AC">
        <w:rPr>
          <w:spacing w:val="-4"/>
          <w:lang w:val="fr-FR" w:eastAsia="ko-KR"/>
        </w:rPr>
        <w:t xml:space="preserve"> et 28</w:t>
      </w:r>
      <w:r>
        <w:rPr>
          <w:spacing w:val="-4"/>
          <w:lang w:val="fr-FR" w:eastAsia="ko-KR"/>
        </w:rPr>
        <w:t> </w:t>
      </w:r>
      <w:r w:rsidRPr="00264BE0">
        <w:rPr>
          <w:i/>
          <w:spacing w:val="-4"/>
          <w:lang w:val="fr-FR" w:eastAsia="ko-KR"/>
        </w:rPr>
        <w:t>ter</w:t>
      </w:r>
      <w:r>
        <w:rPr>
          <w:i/>
          <w:spacing w:val="-4"/>
          <w:lang w:val="fr-FR" w:eastAsia="ko-KR"/>
        </w:rPr>
        <w:t> </w:t>
      </w:r>
      <w:r w:rsidRPr="005B3905">
        <w:rPr>
          <w:spacing w:val="-4"/>
          <w:lang w:val="fr-FR" w:eastAsia="ko-KR"/>
        </w:rPr>
        <w:t>;</w:t>
      </w:r>
    </w:p>
    <w:p w:rsidR="00264BE0" w:rsidRPr="005B3905" w:rsidRDefault="00264BE0" w:rsidP="00264BE0">
      <w:pPr>
        <w:pStyle w:val="SingleTxtG"/>
        <w:ind w:left="2268" w:hanging="567"/>
        <w:rPr>
          <w:lang w:val="fr-FR" w:eastAsia="ko-KR"/>
        </w:rPr>
      </w:pPr>
      <w:r w:rsidRPr="005B3905">
        <w:rPr>
          <w:lang w:val="fr-FR"/>
        </w:rPr>
        <w:t>b)</w:t>
      </w:r>
      <w:r w:rsidRPr="005B3905">
        <w:rPr>
          <w:lang w:val="fr-FR"/>
        </w:rPr>
        <w:tab/>
      </w:r>
      <w:r w:rsidRPr="00CC59AC">
        <w:rPr>
          <w:lang w:val="fr-FR" w:eastAsia="ko-KR"/>
        </w:rPr>
        <w:t>Des modifications de la deuxième Partie, comme suit</w:t>
      </w:r>
      <w:r>
        <w:rPr>
          <w:lang w:val="fr-FR" w:eastAsia="ko-KR"/>
        </w:rPr>
        <w:t> </w:t>
      </w:r>
      <w:r w:rsidRPr="005B3905">
        <w:rPr>
          <w:lang w:val="fr-FR" w:eastAsia="ko-KR"/>
        </w:rPr>
        <w:t>:</w:t>
      </w:r>
    </w:p>
    <w:p w:rsidR="00264BE0" w:rsidRPr="005B3905" w:rsidRDefault="00264BE0" w:rsidP="00264BE0">
      <w:pPr>
        <w:pStyle w:val="SingleTxtG"/>
        <w:ind w:left="2268" w:hanging="567"/>
        <w:rPr>
          <w:lang w:val="fr-FR" w:eastAsia="ko-KR"/>
        </w:rPr>
      </w:pPr>
      <w:r w:rsidRPr="005B3905">
        <w:rPr>
          <w:lang w:val="fr-FR" w:eastAsia="ko-KR"/>
        </w:rPr>
        <w:t>i</w:t>
      </w:r>
      <w:r w:rsidRPr="005B3905">
        <w:rPr>
          <w:lang w:val="fr-FR"/>
        </w:rPr>
        <w:t>)</w:t>
      </w:r>
      <w:r w:rsidRPr="005B3905">
        <w:rPr>
          <w:lang w:val="fr-FR"/>
        </w:rPr>
        <w:tab/>
      </w:r>
      <w:r w:rsidRPr="00CC59AC">
        <w:rPr>
          <w:lang w:val="fr-FR" w:eastAsia="ko-KR"/>
        </w:rPr>
        <w:t>Ajout de nouvelles définitions (sect.</w:t>
      </w:r>
      <w:r>
        <w:rPr>
          <w:lang w:val="fr-FR" w:eastAsia="ko-KR"/>
        </w:rPr>
        <w:t> </w:t>
      </w:r>
      <w:r w:rsidRPr="00CC59AC">
        <w:rPr>
          <w:lang w:val="fr-FR" w:eastAsia="ko-KR"/>
        </w:rPr>
        <w:t>2</w:t>
      </w:r>
      <w:r w:rsidRPr="005B3905">
        <w:rPr>
          <w:lang w:val="fr-FR" w:eastAsia="ko-KR"/>
        </w:rPr>
        <w:t>)</w:t>
      </w:r>
      <w:r>
        <w:rPr>
          <w:lang w:val="fr-FR" w:eastAsia="ko-KR"/>
        </w:rPr>
        <w:t> </w:t>
      </w:r>
      <w:r w:rsidRPr="005B3905">
        <w:rPr>
          <w:lang w:val="fr-FR" w:eastAsia="ko-KR"/>
        </w:rPr>
        <w:t>:</w:t>
      </w:r>
    </w:p>
    <w:p w:rsidR="00264BE0" w:rsidRPr="005B3905" w:rsidRDefault="00264BE0" w:rsidP="00264BE0">
      <w:pPr>
        <w:pStyle w:val="SingleTxtG"/>
        <w:ind w:left="2268"/>
        <w:rPr>
          <w:b/>
          <w:lang w:val="fr-FR"/>
        </w:rPr>
      </w:pPr>
      <w:r w:rsidRPr="00CC59AC">
        <w:rPr>
          <w:b/>
          <w:lang w:val="fr-FR"/>
        </w:rPr>
        <w:t xml:space="preserve">Règlement </w:t>
      </w:r>
      <w:r w:rsidRPr="00264BE0">
        <w:rPr>
          <w:rFonts w:eastAsia="MS Mincho"/>
          <w:b/>
          <w:szCs w:val="22"/>
          <w:lang w:val="fr-FR" w:eastAsia="ko-KR"/>
        </w:rPr>
        <w:t>n</w:t>
      </w:r>
      <w:r w:rsidRPr="00264BE0">
        <w:rPr>
          <w:rFonts w:eastAsia="MS Mincho"/>
          <w:b/>
          <w:szCs w:val="22"/>
          <w:vertAlign w:val="superscript"/>
          <w:lang w:val="fr-FR" w:eastAsia="ko-KR"/>
        </w:rPr>
        <w:t>o</w:t>
      </w:r>
      <w:r w:rsidRPr="00264BE0">
        <w:rPr>
          <w:b/>
          <w:lang w:val="fr-FR" w:eastAsia="ko-KR"/>
        </w:rPr>
        <w:t> </w:t>
      </w:r>
      <w:r w:rsidRPr="00CC59AC">
        <w:rPr>
          <w:b/>
          <w:lang w:val="fr-FR"/>
        </w:rPr>
        <w:t>117</w:t>
      </w:r>
      <w:r>
        <w:rPr>
          <w:b/>
          <w:lang w:val="fr-FR"/>
        </w:rPr>
        <w:t> </w:t>
      </w:r>
      <w:r w:rsidRPr="005B3905">
        <w:rPr>
          <w:b/>
          <w:lang w:val="fr-FR"/>
        </w:rPr>
        <w:t>:</w:t>
      </w:r>
    </w:p>
    <w:p w:rsidR="00264BE0" w:rsidRPr="005B3905" w:rsidRDefault="00264BE0" w:rsidP="00264BE0">
      <w:pPr>
        <w:pStyle w:val="SingleTxtG"/>
        <w:ind w:left="2268"/>
        <w:rPr>
          <w:lang w:val="fr-FR"/>
        </w:rPr>
      </w:pPr>
      <w:r w:rsidRPr="00CC59AC">
        <w:rPr>
          <w:lang w:val="fr-FR"/>
        </w:rPr>
        <w:t>Complément 1 à la série 02 d’amendements</w:t>
      </w:r>
      <w:r w:rsidR="00615036">
        <w:rPr>
          <w:lang w:val="fr-FR"/>
        </w:rPr>
        <w:t> </w:t>
      </w:r>
      <w:r w:rsidRPr="00CC59AC">
        <w:rPr>
          <w:lang w:val="fr-FR"/>
        </w:rPr>
        <w:t>: document ECE/TRANS/ WP.29/2012/2, tel qu’amendé par le paragraphe</w:t>
      </w:r>
      <w:r w:rsidR="00A862CF">
        <w:rPr>
          <w:lang w:val="fr-FR"/>
        </w:rPr>
        <w:t> </w:t>
      </w:r>
      <w:r w:rsidRPr="00CC59AC">
        <w:rPr>
          <w:lang w:val="fr-FR"/>
        </w:rPr>
        <w:t>65 du rapport de la 156</w:t>
      </w:r>
      <w:r w:rsidR="00615036" w:rsidRPr="00615036">
        <w:rPr>
          <w:vertAlign w:val="superscript"/>
          <w:lang w:val="fr-FR"/>
        </w:rPr>
        <w:t>e</w:t>
      </w:r>
      <w:r w:rsidR="00615036">
        <w:rPr>
          <w:lang w:val="fr-FR"/>
        </w:rPr>
        <w:t> </w:t>
      </w:r>
      <w:r w:rsidRPr="00CC59AC">
        <w:rPr>
          <w:lang w:val="fr-FR"/>
        </w:rPr>
        <w:t>session du WP.29 (ECE/TRANS/WP.29/1095</w:t>
      </w:r>
      <w:r w:rsidRPr="005B3905">
        <w:rPr>
          <w:lang w:val="fr-FR"/>
        </w:rPr>
        <w:t>)</w:t>
      </w:r>
      <w:r w:rsidR="00615036">
        <w:rPr>
          <w:lang w:val="fr-FR"/>
        </w:rPr>
        <w:t> </w:t>
      </w:r>
      <w:r w:rsidRPr="005B3905">
        <w:rPr>
          <w:spacing w:val="-2"/>
          <w:lang w:val="fr-FR"/>
        </w:rPr>
        <w:t>;</w:t>
      </w:r>
    </w:p>
    <w:p w:rsidR="00264BE0" w:rsidRPr="005B3905" w:rsidRDefault="00264BE0" w:rsidP="00264BE0">
      <w:pPr>
        <w:pStyle w:val="SingleTxtG"/>
        <w:ind w:left="2268"/>
        <w:rPr>
          <w:spacing w:val="-2"/>
          <w:lang w:val="fr-FR"/>
        </w:rPr>
      </w:pPr>
      <w:r w:rsidRPr="00CC59AC">
        <w:rPr>
          <w:spacing w:val="-2"/>
          <w:lang w:val="fr-FR"/>
        </w:rPr>
        <w:lastRenderedPageBreak/>
        <w:t>Complément 2 à la série 02 d’amendements</w:t>
      </w:r>
      <w:r w:rsidR="002F1B3E">
        <w:rPr>
          <w:spacing w:val="-2"/>
          <w:lang w:val="fr-FR"/>
        </w:rPr>
        <w:t> </w:t>
      </w:r>
      <w:r w:rsidRPr="00CC59AC">
        <w:rPr>
          <w:spacing w:val="-2"/>
          <w:lang w:val="fr-FR"/>
        </w:rPr>
        <w:t>: document ECE/TRANS/ WP.29/2012/54, tel qu’amendé par le paragraphe</w:t>
      </w:r>
      <w:r w:rsidR="002F1B3E">
        <w:rPr>
          <w:spacing w:val="-2"/>
          <w:lang w:val="fr-FR"/>
        </w:rPr>
        <w:t> </w:t>
      </w:r>
      <w:r w:rsidRPr="00CC59AC">
        <w:rPr>
          <w:spacing w:val="-2"/>
          <w:lang w:val="fr-FR"/>
        </w:rPr>
        <w:t>63 du rapport de la 158</w:t>
      </w:r>
      <w:r w:rsidR="002F1B3E" w:rsidRPr="002F1B3E">
        <w:rPr>
          <w:spacing w:val="-2"/>
          <w:vertAlign w:val="superscript"/>
          <w:lang w:val="fr-FR"/>
        </w:rPr>
        <w:t>e</w:t>
      </w:r>
      <w:r w:rsidR="002F1B3E">
        <w:rPr>
          <w:spacing w:val="-2"/>
          <w:lang w:val="fr-FR"/>
        </w:rPr>
        <w:t> </w:t>
      </w:r>
      <w:r w:rsidRPr="00CC59AC">
        <w:rPr>
          <w:spacing w:val="-2"/>
          <w:lang w:val="fr-FR"/>
        </w:rPr>
        <w:t>session du WP.29 (ECE/TRANS/WP.29/1099</w:t>
      </w:r>
      <w:r w:rsidRPr="005B3905">
        <w:rPr>
          <w:lang w:val="fr-FR"/>
        </w:rPr>
        <w:t>)</w:t>
      </w:r>
      <w:r w:rsidR="002F1B3E">
        <w:rPr>
          <w:lang w:val="fr-FR"/>
        </w:rPr>
        <w:t> </w:t>
      </w:r>
      <w:r w:rsidRPr="005B3905">
        <w:rPr>
          <w:spacing w:val="-2"/>
          <w:lang w:val="fr-FR"/>
        </w:rPr>
        <w:t>;</w:t>
      </w:r>
    </w:p>
    <w:p w:rsidR="00264BE0" w:rsidRPr="005B3905" w:rsidRDefault="00264BE0" w:rsidP="00264BE0">
      <w:pPr>
        <w:pStyle w:val="SingleTxtG"/>
        <w:ind w:left="2268"/>
        <w:rPr>
          <w:lang w:val="fr-FR"/>
        </w:rPr>
      </w:pPr>
      <w:r w:rsidRPr="00CC59AC">
        <w:rPr>
          <w:lang w:val="fr-FR"/>
        </w:rPr>
        <w:t>Complément 7 à la série 02 d’amendements</w:t>
      </w:r>
      <w:r w:rsidR="002F1B3E">
        <w:rPr>
          <w:lang w:val="fr-FR"/>
        </w:rPr>
        <w:t> </w:t>
      </w:r>
      <w:r w:rsidRPr="00CC59AC">
        <w:rPr>
          <w:lang w:val="fr-FR"/>
        </w:rPr>
        <w:t>: document ECE/TRANS/ WP.29/2015/5, adopté à la 165</w:t>
      </w:r>
      <w:r w:rsidR="002F1B3E" w:rsidRPr="002F1B3E">
        <w:rPr>
          <w:vertAlign w:val="superscript"/>
          <w:lang w:val="fr-FR"/>
        </w:rPr>
        <w:t>e</w:t>
      </w:r>
      <w:r w:rsidR="002F1B3E">
        <w:rPr>
          <w:lang w:val="fr-FR"/>
        </w:rPr>
        <w:t> </w:t>
      </w:r>
      <w:r w:rsidRPr="00CC59AC">
        <w:rPr>
          <w:lang w:val="fr-FR"/>
        </w:rPr>
        <w:t>session du WP.29 (ECE/TRANS/</w:t>
      </w:r>
      <w:r w:rsidR="002F1B3E">
        <w:rPr>
          <w:lang w:val="fr-FR"/>
        </w:rPr>
        <w:br/>
      </w:r>
      <w:r w:rsidRPr="00CC59AC">
        <w:rPr>
          <w:lang w:val="fr-FR"/>
        </w:rPr>
        <w:t>WP.29/1114</w:t>
      </w:r>
      <w:r w:rsidRPr="005B3905">
        <w:rPr>
          <w:lang w:val="fr-FR"/>
        </w:rPr>
        <w:t>)</w:t>
      </w:r>
      <w:r w:rsidR="002F1B3E">
        <w:rPr>
          <w:lang w:val="fr-FR"/>
        </w:rPr>
        <w:t> </w:t>
      </w:r>
      <w:r w:rsidRPr="005B3905">
        <w:rPr>
          <w:lang w:val="fr-FR"/>
        </w:rPr>
        <w:t>;</w:t>
      </w:r>
    </w:p>
    <w:p w:rsidR="00264BE0" w:rsidRPr="005B3905" w:rsidRDefault="00264BE0" w:rsidP="00264BE0">
      <w:pPr>
        <w:pStyle w:val="SingleTxtG"/>
        <w:ind w:left="2268"/>
        <w:rPr>
          <w:b/>
          <w:lang w:val="fr-FR"/>
        </w:rPr>
      </w:pPr>
      <w:r w:rsidRPr="00CC59AC">
        <w:rPr>
          <w:b/>
          <w:lang w:val="fr-FR"/>
        </w:rPr>
        <w:t xml:space="preserve">Règlement </w:t>
      </w:r>
      <w:r w:rsidR="002F1B3E" w:rsidRPr="002F1B3E">
        <w:rPr>
          <w:rFonts w:eastAsia="MS Mincho"/>
          <w:b/>
          <w:szCs w:val="22"/>
          <w:lang w:val="fr-FR" w:eastAsia="ko-KR"/>
        </w:rPr>
        <w:t>n</w:t>
      </w:r>
      <w:r w:rsidR="002F1B3E" w:rsidRPr="002F1B3E">
        <w:rPr>
          <w:rFonts w:eastAsia="MS Mincho"/>
          <w:b/>
          <w:szCs w:val="22"/>
          <w:vertAlign w:val="superscript"/>
          <w:lang w:val="fr-FR" w:eastAsia="ko-KR"/>
        </w:rPr>
        <w:t>o</w:t>
      </w:r>
      <w:r w:rsidR="002F1B3E" w:rsidRPr="002F1B3E">
        <w:rPr>
          <w:b/>
          <w:lang w:val="fr-FR" w:eastAsia="ko-KR"/>
        </w:rPr>
        <w:t> </w:t>
      </w:r>
      <w:r w:rsidRPr="00CC59AC">
        <w:rPr>
          <w:b/>
          <w:lang w:val="fr-FR"/>
        </w:rPr>
        <w:t>30</w:t>
      </w:r>
      <w:r w:rsidR="002F1B3E">
        <w:rPr>
          <w:b/>
          <w:lang w:val="fr-FR"/>
        </w:rPr>
        <w:t> </w:t>
      </w:r>
      <w:r w:rsidRPr="005B3905">
        <w:rPr>
          <w:b/>
          <w:lang w:val="fr-FR"/>
        </w:rPr>
        <w:t>:</w:t>
      </w:r>
    </w:p>
    <w:p w:rsidR="00264BE0" w:rsidRPr="005B3905" w:rsidRDefault="00264BE0" w:rsidP="00264BE0">
      <w:pPr>
        <w:pStyle w:val="SingleTxtG"/>
        <w:ind w:left="2268"/>
        <w:rPr>
          <w:lang w:val="fr-FR"/>
        </w:rPr>
      </w:pPr>
      <w:r w:rsidRPr="00CC59AC">
        <w:rPr>
          <w:spacing w:val="-2"/>
          <w:lang w:val="fr-FR"/>
        </w:rPr>
        <w:t>Complément 17 à la série 02 d’amendements</w:t>
      </w:r>
      <w:r w:rsidR="002F1B3E">
        <w:rPr>
          <w:spacing w:val="-2"/>
          <w:lang w:val="fr-FR"/>
        </w:rPr>
        <w:t> </w:t>
      </w:r>
      <w:r w:rsidRPr="00CC59AC">
        <w:rPr>
          <w:spacing w:val="-2"/>
          <w:lang w:val="fr-FR"/>
        </w:rPr>
        <w:t>: document ECE/TRANS/ WP.29/2012/48, tel qu’amendé par le paragraphe</w:t>
      </w:r>
      <w:r w:rsidR="002F1B3E">
        <w:rPr>
          <w:spacing w:val="-2"/>
          <w:lang w:val="fr-FR"/>
        </w:rPr>
        <w:t> </w:t>
      </w:r>
      <w:r w:rsidRPr="00CC59AC">
        <w:rPr>
          <w:spacing w:val="-2"/>
          <w:lang w:val="fr-FR"/>
        </w:rPr>
        <w:t>50 du rapport de la 157</w:t>
      </w:r>
      <w:r w:rsidR="002F1B3E" w:rsidRPr="002F1B3E">
        <w:rPr>
          <w:spacing w:val="-2"/>
          <w:vertAlign w:val="superscript"/>
          <w:lang w:val="fr-FR"/>
        </w:rPr>
        <w:t>e</w:t>
      </w:r>
      <w:r w:rsidR="002F1B3E">
        <w:rPr>
          <w:spacing w:val="-2"/>
          <w:lang w:val="fr-FR"/>
        </w:rPr>
        <w:t> </w:t>
      </w:r>
      <w:r w:rsidRPr="00CC59AC">
        <w:rPr>
          <w:spacing w:val="-2"/>
          <w:lang w:val="fr-FR"/>
        </w:rPr>
        <w:t>session du WP.29 (ECE/TRANS/WP.29/1097</w:t>
      </w:r>
      <w:r w:rsidRPr="005B3905">
        <w:rPr>
          <w:lang w:val="fr-FR"/>
        </w:rPr>
        <w:t>)</w:t>
      </w:r>
      <w:r w:rsidR="002F1B3E">
        <w:rPr>
          <w:lang w:val="fr-FR"/>
        </w:rPr>
        <w:t> </w:t>
      </w:r>
      <w:r w:rsidRPr="005B3905">
        <w:rPr>
          <w:lang w:val="fr-FR"/>
        </w:rPr>
        <w:t>;</w:t>
      </w:r>
    </w:p>
    <w:p w:rsidR="00264BE0" w:rsidRPr="005B3905" w:rsidRDefault="00264BE0" w:rsidP="00264BE0">
      <w:pPr>
        <w:pStyle w:val="SingleTxtG"/>
        <w:ind w:left="2268"/>
        <w:rPr>
          <w:b/>
          <w:lang w:val="fr-FR"/>
        </w:rPr>
      </w:pPr>
      <w:r w:rsidRPr="00CC59AC">
        <w:rPr>
          <w:b/>
          <w:lang w:val="fr-FR"/>
        </w:rPr>
        <w:t xml:space="preserve">Règlement </w:t>
      </w:r>
      <w:r w:rsidR="002F1B3E" w:rsidRPr="002F1B3E">
        <w:rPr>
          <w:rFonts w:eastAsia="MS Mincho"/>
          <w:b/>
          <w:szCs w:val="22"/>
          <w:lang w:val="fr-FR" w:eastAsia="ko-KR"/>
        </w:rPr>
        <w:t>n</w:t>
      </w:r>
      <w:r w:rsidR="002F1B3E" w:rsidRPr="002F1B3E">
        <w:rPr>
          <w:rFonts w:eastAsia="MS Mincho"/>
          <w:b/>
          <w:szCs w:val="22"/>
          <w:vertAlign w:val="superscript"/>
          <w:lang w:val="fr-FR" w:eastAsia="ko-KR"/>
        </w:rPr>
        <w:t>o</w:t>
      </w:r>
      <w:r w:rsidR="002F1B3E" w:rsidRPr="002F1B3E">
        <w:rPr>
          <w:b/>
          <w:lang w:val="fr-FR" w:eastAsia="ko-KR"/>
        </w:rPr>
        <w:t> </w:t>
      </w:r>
      <w:r w:rsidRPr="00CC59AC">
        <w:rPr>
          <w:b/>
          <w:lang w:val="fr-FR"/>
        </w:rPr>
        <w:t>54</w:t>
      </w:r>
      <w:r w:rsidR="002F1B3E">
        <w:rPr>
          <w:b/>
          <w:lang w:val="fr-FR"/>
        </w:rPr>
        <w:t> </w:t>
      </w:r>
      <w:r w:rsidRPr="005B3905">
        <w:rPr>
          <w:b/>
          <w:lang w:val="fr-FR"/>
        </w:rPr>
        <w:t>:</w:t>
      </w:r>
    </w:p>
    <w:p w:rsidR="00264BE0" w:rsidRPr="005B3905" w:rsidRDefault="00264BE0" w:rsidP="00264BE0">
      <w:pPr>
        <w:pStyle w:val="SingleTxtG"/>
        <w:ind w:left="2268"/>
        <w:rPr>
          <w:lang w:val="fr-FR"/>
        </w:rPr>
      </w:pPr>
      <w:r w:rsidRPr="00CC59AC">
        <w:rPr>
          <w:lang w:val="fr-FR"/>
        </w:rPr>
        <w:t>Complément 18 à la version originale du Règlement</w:t>
      </w:r>
      <w:r w:rsidR="00831A94">
        <w:rPr>
          <w:lang w:val="fr-FR"/>
        </w:rPr>
        <w:t> </w:t>
      </w:r>
      <w:r w:rsidRPr="00CC59AC">
        <w:rPr>
          <w:lang w:val="fr-FR"/>
        </w:rPr>
        <w:t>: document ECE/TRANS/WP.29/2012/49, adopté à la 157</w:t>
      </w:r>
      <w:r w:rsidR="00831A94" w:rsidRPr="00831A94">
        <w:rPr>
          <w:vertAlign w:val="superscript"/>
          <w:lang w:val="fr-FR"/>
        </w:rPr>
        <w:t>e</w:t>
      </w:r>
      <w:r w:rsidR="00831A94">
        <w:rPr>
          <w:lang w:val="fr-FR"/>
        </w:rPr>
        <w:t> </w:t>
      </w:r>
      <w:r w:rsidRPr="00CC59AC">
        <w:rPr>
          <w:lang w:val="fr-FR"/>
        </w:rPr>
        <w:t>session du WP.29 (ECE/TRANS/WP.29/1097</w:t>
      </w:r>
      <w:r w:rsidR="00D47D64">
        <w:rPr>
          <w:lang w:val="fr-FR"/>
        </w:rPr>
        <w:t>) ;</w:t>
      </w:r>
    </w:p>
    <w:p w:rsidR="00264BE0" w:rsidRPr="005B3905" w:rsidRDefault="00264BE0" w:rsidP="00264BE0">
      <w:pPr>
        <w:pStyle w:val="SingleTxtG"/>
        <w:ind w:left="2268" w:hanging="567"/>
        <w:rPr>
          <w:lang w:val="fr-FR" w:eastAsia="ko-KR"/>
        </w:rPr>
      </w:pPr>
      <w:r w:rsidRPr="005B3905">
        <w:rPr>
          <w:lang w:val="fr-FR" w:eastAsia="ko-KR"/>
        </w:rPr>
        <w:t>ii)</w:t>
      </w:r>
      <w:r w:rsidRPr="005B3905">
        <w:rPr>
          <w:lang w:val="fr-FR" w:eastAsia="ko-KR"/>
        </w:rPr>
        <w:tab/>
      </w:r>
      <w:r w:rsidRPr="00CC59AC">
        <w:rPr>
          <w:lang w:val="fr-FR" w:eastAsia="ko-KR"/>
        </w:rPr>
        <w:t>Marquage (sect.</w:t>
      </w:r>
      <w:r w:rsidR="00831A94">
        <w:rPr>
          <w:lang w:val="fr-FR" w:eastAsia="ko-KR"/>
        </w:rPr>
        <w:t> </w:t>
      </w:r>
      <w:r w:rsidRPr="00CC59AC">
        <w:rPr>
          <w:lang w:val="fr-FR" w:eastAsia="ko-KR"/>
        </w:rPr>
        <w:t>3.2</w:t>
      </w:r>
      <w:r w:rsidRPr="005B3905">
        <w:rPr>
          <w:lang w:val="fr-FR" w:eastAsia="ko-KR"/>
        </w:rPr>
        <w:t>)</w:t>
      </w:r>
      <w:r w:rsidR="00831A94">
        <w:rPr>
          <w:lang w:val="fr-FR" w:eastAsia="ko-KR"/>
        </w:rPr>
        <w:t> </w:t>
      </w:r>
      <w:r w:rsidRPr="005B3905">
        <w:rPr>
          <w:lang w:val="fr-FR" w:eastAsia="ko-KR"/>
        </w:rPr>
        <w:t>:</w:t>
      </w:r>
    </w:p>
    <w:p w:rsidR="00264BE0" w:rsidRPr="005B3905" w:rsidRDefault="00264BE0" w:rsidP="00264BE0">
      <w:pPr>
        <w:pStyle w:val="SingleTxtG"/>
        <w:ind w:left="2268"/>
        <w:rPr>
          <w:b/>
          <w:lang w:val="fr-FR"/>
        </w:rPr>
      </w:pPr>
      <w:r w:rsidRPr="00CC59AC">
        <w:rPr>
          <w:b/>
          <w:lang w:val="fr-FR"/>
        </w:rPr>
        <w:t>Règle définitive normalisant le numéro d’identification du pneumatique (TIN)</w:t>
      </w:r>
      <w:r w:rsidR="009408AF">
        <w:rPr>
          <w:b/>
          <w:lang w:val="fr-FR"/>
        </w:rPr>
        <w:t> :</w:t>
      </w:r>
    </w:p>
    <w:p w:rsidR="00264BE0" w:rsidRPr="005B3905" w:rsidRDefault="00264BE0" w:rsidP="00264BE0">
      <w:pPr>
        <w:spacing w:after="120"/>
        <w:ind w:left="2268"/>
        <w:rPr>
          <w:lang w:val="fr-FR"/>
        </w:rPr>
      </w:pPr>
      <w:r w:rsidRPr="00CC59AC">
        <w:rPr>
          <w:lang w:val="fr-FR"/>
        </w:rPr>
        <w:t xml:space="preserve">Registre fédéral, vol. 80, </w:t>
      </w:r>
      <w:r w:rsidR="00D47D64" w:rsidRPr="00264BE0">
        <w:rPr>
          <w:rFonts w:eastAsia="MS Mincho"/>
          <w:szCs w:val="22"/>
          <w:lang w:val="fr-FR" w:eastAsia="ko-KR"/>
        </w:rPr>
        <w:t>n</w:t>
      </w:r>
      <w:r w:rsidR="00D47D64" w:rsidRPr="00264BE0">
        <w:rPr>
          <w:rFonts w:eastAsia="MS Mincho"/>
          <w:szCs w:val="22"/>
          <w:vertAlign w:val="superscript"/>
          <w:lang w:val="fr-FR" w:eastAsia="ko-KR"/>
        </w:rPr>
        <w:t>o</w:t>
      </w:r>
      <w:r w:rsidR="00D47D64">
        <w:rPr>
          <w:lang w:val="fr-FR" w:eastAsia="ko-KR"/>
        </w:rPr>
        <w:t> </w:t>
      </w:r>
      <w:r w:rsidRPr="00CC59AC">
        <w:rPr>
          <w:lang w:val="fr-FR"/>
        </w:rPr>
        <w:t>70 (lundi 13 avril 2015, Règles et règlements</w:t>
      </w:r>
      <w:r>
        <w:rPr>
          <w:lang w:val="fr-FR"/>
        </w:rPr>
        <w:t>)</w:t>
      </w:r>
      <w:r w:rsidR="00D47D64">
        <w:rPr>
          <w:lang w:val="fr-FR"/>
        </w:rPr>
        <w:t> ;</w:t>
      </w:r>
    </w:p>
    <w:p w:rsidR="00264BE0" w:rsidRPr="005B3905" w:rsidRDefault="00264BE0" w:rsidP="009408AF">
      <w:pPr>
        <w:pStyle w:val="SingleTxtG"/>
        <w:ind w:left="2268" w:hanging="567"/>
        <w:rPr>
          <w:lang w:val="fr-FR" w:eastAsia="ko-KR"/>
        </w:rPr>
      </w:pPr>
      <w:r w:rsidRPr="005B3905">
        <w:rPr>
          <w:lang w:val="fr-FR" w:eastAsia="ko-KR"/>
        </w:rPr>
        <w:t>iii)</w:t>
      </w:r>
      <w:r w:rsidRPr="005B3905">
        <w:rPr>
          <w:lang w:val="fr-FR" w:eastAsia="ko-KR"/>
        </w:rPr>
        <w:tab/>
      </w:r>
      <w:r w:rsidRPr="00CC59AC">
        <w:rPr>
          <w:lang w:val="fr-FR" w:eastAsia="ko-KR"/>
        </w:rPr>
        <w:t>Autres marques apposées sur les flancs (sect.</w:t>
      </w:r>
      <w:r w:rsidR="009408AF">
        <w:rPr>
          <w:lang w:val="fr-FR" w:eastAsia="ko-KR"/>
        </w:rPr>
        <w:t> </w:t>
      </w:r>
      <w:r w:rsidRPr="00CC59AC">
        <w:rPr>
          <w:lang w:val="fr-FR" w:eastAsia="ko-KR"/>
        </w:rPr>
        <w:t>3.3</w:t>
      </w:r>
      <w:r w:rsidRPr="005B3905">
        <w:rPr>
          <w:lang w:val="fr-FR" w:eastAsia="ko-KR"/>
        </w:rPr>
        <w:t>)</w:t>
      </w:r>
      <w:r w:rsidR="009408AF">
        <w:rPr>
          <w:lang w:val="fr-FR" w:eastAsia="ko-KR"/>
        </w:rPr>
        <w:t> </w:t>
      </w:r>
      <w:r w:rsidRPr="005B3905">
        <w:rPr>
          <w:lang w:val="fr-FR" w:eastAsia="ko-KR"/>
        </w:rPr>
        <w:t>:</w:t>
      </w:r>
    </w:p>
    <w:p w:rsidR="00264BE0" w:rsidRPr="005B3905" w:rsidRDefault="00264BE0" w:rsidP="00264BE0">
      <w:pPr>
        <w:pStyle w:val="SingleTxtG"/>
        <w:ind w:left="2268"/>
        <w:rPr>
          <w:b/>
          <w:lang w:val="fr-FR"/>
        </w:rPr>
      </w:pPr>
      <w:r w:rsidRPr="00CC59AC">
        <w:rPr>
          <w:b/>
          <w:lang w:val="fr-FR"/>
        </w:rPr>
        <w:t xml:space="preserve">Règlement </w:t>
      </w:r>
      <w:r w:rsidR="009408AF" w:rsidRPr="002F1B3E">
        <w:rPr>
          <w:rFonts w:eastAsia="MS Mincho"/>
          <w:b/>
          <w:szCs w:val="22"/>
          <w:lang w:val="fr-FR" w:eastAsia="ko-KR"/>
        </w:rPr>
        <w:t>n</w:t>
      </w:r>
      <w:r w:rsidR="009408AF" w:rsidRPr="002F1B3E">
        <w:rPr>
          <w:rFonts w:eastAsia="MS Mincho"/>
          <w:b/>
          <w:szCs w:val="22"/>
          <w:vertAlign w:val="superscript"/>
          <w:lang w:val="fr-FR" w:eastAsia="ko-KR"/>
        </w:rPr>
        <w:t>o</w:t>
      </w:r>
      <w:r w:rsidR="009408AF" w:rsidRPr="002F1B3E">
        <w:rPr>
          <w:b/>
          <w:lang w:val="fr-FR" w:eastAsia="ko-KR"/>
        </w:rPr>
        <w:t> </w:t>
      </w:r>
      <w:r w:rsidRPr="00CC59AC">
        <w:rPr>
          <w:b/>
          <w:lang w:val="fr-FR"/>
        </w:rPr>
        <w:t>117</w:t>
      </w:r>
      <w:r w:rsidR="009408AF">
        <w:rPr>
          <w:b/>
          <w:lang w:val="fr-FR"/>
        </w:rPr>
        <w:t> </w:t>
      </w:r>
      <w:r w:rsidRPr="005B3905">
        <w:rPr>
          <w:b/>
          <w:lang w:val="fr-FR"/>
        </w:rPr>
        <w:t>:</w:t>
      </w:r>
    </w:p>
    <w:p w:rsidR="00264BE0" w:rsidRPr="005B3905" w:rsidRDefault="00264BE0" w:rsidP="00264BE0">
      <w:pPr>
        <w:pStyle w:val="SingleTxtG"/>
        <w:ind w:left="2268"/>
        <w:rPr>
          <w:spacing w:val="-2"/>
          <w:lang w:val="fr-FR"/>
        </w:rPr>
      </w:pPr>
      <w:r w:rsidRPr="00CC59AC">
        <w:rPr>
          <w:spacing w:val="-2"/>
          <w:lang w:val="fr-FR"/>
        </w:rPr>
        <w:t>Complément 2 à la série 02 d’amendements</w:t>
      </w:r>
      <w:r w:rsidR="009408AF">
        <w:rPr>
          <w:spacing w:val="-2"/>
          <w:lang w:val="fr-FR"/>
        </w:rPr>
        <w:t> </w:t>
      </w:r>
      <w:r w:rsidRPr="00CC59AC">
        <w:rPr>
          <w:spacing w:val="-2"/>
          <w:lang w:val="fr-FR"/>
        </w:rPr>
        <w:t>: document ECE/TRANS/ WP.29/2012/54, tel qu’amendé par le paragraphe 63 du rapport de la 158</w:t>
      </w:r>
      <w:r w:rsidR="009408AF" w:rsidRPr="009408AF">
        <w:rPr>
          <w:spacing w:val="-2"/>
          <w:vertAlign w:val="superscript"/>
          <w:lang w:val="fr-FR"/>
        </w:rPr>
        <w:t>e</w:t>
      </w:r>
      <w:r w:rsidR="009408AF">
        <w:rPr>
          <w:spacing w:val="-2"/>
          <w:lang w:val="fr-FR"/>
        </w:rPr>
        <w:t> </w:t>
      </w:r>
      <w:r w:rsidRPr="00CC59AC">
        <w:rPr>
          <w:spacing w:val="-2"/>
          <w:lang w:val="fr-FR"/>
        </w:rPr>
        <w:t>session du WP.29 (ECE/TRANS/WP.29/1099</w:t>
      </w:r>
      <w:r w:rsidRPr="005B3905">
        <w:rPr>
          <w:lang w:val="fr-FR"/>
        </w:rPr>
        <w:t>)</w:t>
      </w:r>
      <w:r w:rsidR="009408AF">
        <w:rPr>
          <w:lang w:val="fr-FR"/>
        </w:rPr>
        <w:t> </w:t>
      </w:r>
      <w:r w:rsidRPr="005B3905">
        <w:rPr>
          <w:spacing w:val="-2"/>
          <w:lang w:val="fr-FR"/>
        </w:rPr>
        <w:t>;</w:t>
      </w:r>
    </w:p>
    <w:p w:rsidR="00264BE0" w:rsidRPr="005B3905" w:rsidRDefault="00264BE0" w:rsidP="00264BE0">
      <w:pPr>
        <w:pStyle w:val="SingleTxtG"/>
        <w:ind w:left="2268"/>
        <w:rPr>
          <w:b/>
          <w:lang w:val="fr-FR"/>
        </w:rPr>
      </w:pPr>
      <w:r w:rsidRPr="00CC59AC">
        <w:rPr>
          <w:b/>
          <w:lang w:val="fr-FR"/>
        </w:rPr>
        <w:tab/>
        <w:t xml:space="preserve">Règlement </w:t>
      </w:r>
      <w:r w:rsidR="009408AF" w:rsidRPr="002F1B3E">
        <w:rPr>
          <w:rFonts w:eastAsia="MS Mincho"/>
          <w:b/>
          <w:szCs w:val="22"/>
          <w:lang w:val="fr-FR" w:eastAsia="ko-KR"/>
        </w:rPr>
        <w:t>n</w:t>
      </w:r>
      <w:r w:rsidR="009408AF" w:rsidRPr="002F1B3E">
        <w:rPr>
          <w:rFonts w:eastAsia="MS Mincho"/>
          <w:b/>
          <w:szCs w:val="22"/>
          <w:vertAlign w:val="superscript"/>
          <w:lang w:val="fr-FR" w:eastAsia="ko-KR"/>
        </w:rPr>
        <w:t>o</w:t>
      </w:r>
      <w:r w:rsidR="009408AF" w:rsidRPr="002F1B3E">
        <w:rPr>
          <w:b/>
          <w:lang w:val="fr-FR" w:eastAsia="ko-KR"/>
        </w:rPr>
        <w:t> </w:t>
      </w:r>
      <w:r w:rsidRPr="00CC59AC">
        <w:rPr>
          <w:b/>
          <w:lang w:val="fr-FR"/>
        </w:rPr>
        <w:t>54</w:t>
      </w:r>
      <w:r w:rsidR="009408AF">
        <w:rPr>
          <w:b/>
          <w:lang w:val="fr-FR"/>
        </w:rPr>
        <w:t> </w:t>
      </w:r>
      <w:r w:rsidRPr="005B3905">
        <w:rPr>
          <w:b/>
          <w:lang w:val="fr-FR"/>
        </w:rPr>
        <w:t>:</w:t>
      </w:r>
    </w:p>
    <w:p w:rsidR="00264BE0" w:rsidRPr="005B3905" w:rsidRDefault="00264BE0" w:rsidP="00264BE0">
      <w:pPr>
        <w:pStyle w:val="SingleTxtG"/>
        <w:ind w:left="2268"/>
        <w:rPr>
          <w:lang w:val="fr-FR"/>
        </w:rPr>
      </w:pPr>
      <w:r w:rsidRPr="00CC59AC">
        <w:rPr>
          <w:lang w:val="fr-FR"/>
        </w:rPr>
        <w:t>Complément 18 à la version originale du Règlement</w:t>
      </w:r>
      <w:r w:rsidR="009408AF">
        <w:rPr>
          <w:lang w:val="fr-FR"/>
        </w:rPr>
        <w:t> </w:t>
      </w:r>
      <w:r w:rsidRPr="00CC59AC">
        <w:rPr>
          <w:lang w:val="fr-FR"/>
        </w:rPr>
        <w:t>: document ECE/TRANS/WP.29/2012/49, adopté à la 157</w:t>
      </w:r>
      <w:r w:rsidR="009408AF" w:rsidRPr="009408AF">
        <w:rPr>
          <w:vertAlign w:val="superscript"/>
          <w:lang w:val="fr-FR"/>
        </w:rPr>
        <w:t>e</w:t>
      </w:r>
      <w:r w:rsidR="009408AF">
        <w:rPr>
          <w:lang w:val="fr-FR"/>
        </w:rPr>
        <w:t> </w:t>
      </w:r>
      <w:r w:rsidRPr="00CC59AC">
        <w:rPr>
          <w:lang w:val="fr-FR"/>
        </w:rPr>
        <w:t>session du WP.29 (ECE/TRANS/WP.29/1097</w:t>
      </w:r>
      <w:r w:rsidRPr="005B3905">
        <w:rPr>
          <w:lang w:val="fr-FR"/>
        </w:rPr>
        <w:t>)</w:t>
      </w:r>
      <w:r w:rsidR="009408AF">
        <w:rPr>
          <w:lang w:val="fr-FR"/>
        </w:rPr>
        <w:t> </w:t>
      </w:r>
      <w:r w:rsidRPr="005B3905">
        <w:rPr>
          <w:lang w:val="fr-FR"/>
        </w:rPr>
        <w:t>;</w:t>
      </w:r>
    </w:p>
    <w:p w:rsidR="00264BE0" w:rsidRPr="005B3905" w:rsidRDefault="00264BE0" w:rsidP="00264BE0">
      <w:pPr>
        <w:pStyle w:val="SingleTxtG"/>
        <w:ind w:left="2268" w:hanging="567"/>
        <w:rPr>
          <w:lang w:val="fr-FR" w:eastAsia="ko-KR"/>
        </w:rPr>
      </w:pPr>
      <w:r w:rsidRPr="005B3905">
        <w:rPr>
          <w:spacing w:val="-3"/>
          <w:lang w:val="fr-FR"/>
        </w:rPr>
        <w:t>iv)</w:t>
      </w:r>
      <w:r w:rsidRPr="005B3905">
        <w:rPr>
          <w:lang w:val="fr-FR" w:eastAsia="ko-KR"/>
        </w:rPr>
        <w:tab/>
      </w:r>
      <w:r w:rsidRPr="00CB43BB">
        <w:rPr>
          <w:lang w:val="fr-FR" w:eastAsia="ko-KR"/>
        </w:rPr>
        <w:t>Dimensions physiques des pneumatiques pour voitures particulières (sect.</w:t>
      </w:r>
      <w:r w:rsidR="00D47D64">
        <w:rPr>
          <w:lang w:val="fr-FR" w:eastAsia="ko-KR"/>
        </w:rPr>
        <w:t> </w:t>
      </w:r>
      <w:r w:rsidRPr="00CB43BB">
        <w:rPr>
          <w:lang w:val="fr-FR" w:eastAsia="ko-KR"/>
        </w:rPr>
        <w:t>3.5</w:t>
      </w:r>
      <w:r w:rsidRPr="005B3905">
        <w:rPr>
          <w:lang w:val="fr-FR" w:eastAsia="ko-KR"/>
        </w:rPr>
        <w:t>)</w:t>
      </w:r>
      <w:r w:rsidR="009408AF">
        <w:rPr>
          <w:lang w:val="fr-FR" w:eastAsia="ko-KR"/>
        </w:rPr>
        <w:t> </w:t>
      </w:r>
      <w:r w:rsidRPr="005B3905">
        <w:rPr>
          <w:lang w:val="fr-FR" w:eastAsia="ko-KR"/>
        </w:rPr>
        <w:t>:</w:t>
      </w:r>
    </w:p>
    <w:p w:rsidR="00264BE0" w:rsidRPr="005B3905" w:rsidRDefault="00264BE0" w:rsidP="00264BE0">
      <w:pPr>
        <w:pStyle w:val="SingleTxtG"/>
        <w:ind w:left="2268"/>
        <w:rPr>
          <w:b/>
          <w:lang w:val="fr-FR"/>
        </w:rPr>
      </w:pPr>
      <w:r w:rsidRPr="00CB43BB">
        <w:rPr>
          <w:b/>
          <w:lang w:val="fr-FR"/>
        </w:rPr>
        <w:t xml:space="preserve">Règlement </w:t>
      </w:r>
      <w:r w:rsidR="009408AF" w:rsidRPr="002F1B3E">
        <w:rPr>
          <w:rFonts w:eastAsia="MS Mincho"/>
          <w:b/>
          <w:szCs w:val="22"/>
          <w:lang w:val="fr-FR" w:eastAsia="ko-KR"/>
        </w:rPr>
        <w:t>n</w:t>
      </w:r>
      <w:r w:rsidR="009408AF" w:rsidRPr="002F1B3E">
        <w:rPr>
          <w:rFonts w:eastAsia="MS Mincho"/>
          <w:b/>
          <w:szCs w:val="22"/>
          <w:vertAlign w:val="superscript"/>
          <w:lang w:val="fr-FR" w:eastAsia="ko-KR"/>
        </w:rPr>
        <w:t>o</w:t>
      </w:r>
      <w:r w:rsidR="009408AF" w:rsidRPr="002F1B3E">
        <w:rPr>
          <w:b/>
          <w:lang w:val="fr-FR" w:eastAsia="ko-KR"/>
        </w:rPr>
        <w:t> </w:t>
      </w:r>
      <w:r w:rsidRPr="00CB43BB">
        <w:rPr>
          <w:b/>
          <w:lang w:val="fr-FR"/>
        </w:rPr>
        <w:t>30</w:t>
      </w:r>
      <w:r w:rsidR="009408AF">
        <w:rPr>
          <w:b/>
          <w:lang w:val="fr-FR"/>
        </w:rPr>
        <w:t> </w:t>
      </w:r>
      <w:r w:rsidRPr="005B3905">
        <w:rPr>
          <w:b/>
          <w:lang w:val="fr-FR"/>
        </w:rPr>
        <w:t>:</w:t>
      </w:r>
    </w:p>
    <w:p w:rsidR="00264BE0" w:rsidRPr="005B3905" w:rsidRDefault="00264BE0" w:rsidP="00264BE0">
      <w:pPr>
        <w:pStyle w:val="SingleTxtG"/>
        <w:ind w:left="2268"/>
        <w:rPr>
          <w:lang w:val="fr-FR"/>
        </w:rPr>
      </w:pPr>
      <w:r w:rsidRPr="00CB43BB">
        <w:rPr>
          <w:lang w:val="fr-FR"/>
        </w:rPr>
        <w:t>Complément 17 à la série 02 d’amendements</w:t>
      </w:r>
      <w:r w:rsidR="009408AF">
        <w:rPr>
          <w:lang w:val="fr-FR"/>
        </w:rPr>
        <w:t> </w:t>
      </w:r>
      <w:r w:rsidRPr="00CB43BB">
        <w:rPr>
          <w:lang w:val="fr-FR"/>
        </w:rPr>
        <w:t>: document ECE/TRANS/ WP.29/2012/48, tel qu’amendé par le paragraphe 50 du rapport de la 157</w:t>
      </w:r>
      <w:r w:rsidR="009408AF" w:rsidRPr="009408AF">
        <w:rPr>
          <w:vertAlign w:val="superscript"/>
          <w:lang w:val="fr-FR"/>
        </w:rPr>
        <w:t>e</w:t>
      </w:r>
      <w:r w:rsidR="009408AF">
        <w:rPr>
          <w:lang w:val="fr-FR"/>
        </w:rPr>
        <w:t> </w:t>
      </w:r>
      <w:r w:rsidRPr="00CB43BB">
        <w:rPr>
          <w:lang w:val="fr-FR"/>
        </w:rPr>
        <w:t>session du WP.29 (ECE/TRANS/WP.29/1097</w:t>
      </w:r>
      <w:r w:rsidRPr="005B3905">
        <w:rPr>
          <w:lang w:val="fr-FR"/>
        </w:rPr>
        <w:t>)</w:t>
      </w:r>
      <w:r w:rsidR="009408AF">
        <w:rPr>
          <w:lang w:val="fr-FR"/>
        </w:rPr>
        <w:t> </w:t>
      </w:r>
      <w:r w:rsidRPr="005B3905">
        <w:rPr>
          <w:lang w:val="fr-FR"/>
        </w:rPr>
        <w:t>;</w:t>
      </w:r>
    </w:p>
    <w:p w:rsidR="00264BE0" w:rsidRPr="005B3905" w:rsidRDefault="00264BE0" w:rsidP="00264BE0">
      <w:pPr>
        <w:pStyle w:val="SingleTxtG"/>
        <w:ind w:left="2268" w:hanging="567"/>
        <w:rPr>
          <w:lang w:val="fr-FR" w:eastAsia="ko-KR"/>
        </w:rPr>
      </w:pPr>
      <w:bookmarkStart w:id="1" w:name="_Toc279589253"/>
      <w:bookmarkStart w:id="2" w:name="_Toc279589454"/>
      <w:bookmarkStart w:id="3" w:name="_Toc279589937"/>
      <w:bookmarkStart w:id="4" w:name="_Toc279590463"/>
      <w:bookmarkStart w:id="5" w:name="_Toc279590516"/>
      <w:bookmarkStart w:id="6" w:name="_Toc279590793"/>
      <w:bookmarkStart w:id="7" w:name="_Toc279590927"/>
      <w:bookmarkStart w:id="8" w:name="_Toc279590966"/>
      <w:bookmarkStart w:id="9" w:name="_Toc279591004"/>
      <w:bookmarkStart w:id="10" w:name="_Toc279591080"/>
      <w:bookmarkStart w:id="11" w:name="_Toc280015570"/>
      <w:bookmarkStart w:id="12" w:name="_Ref318296720"/>
      <w:bookmarkStart w:id="13" w:name="_Toc329088808"/>
      <w:r w:rsidRPr="005B3905">
        <w:rPr>
          <w:lang w:val="fr-FR" w:eastAsia="ko-KR"/>
        </w:rPr>
        <w:t>v)</w:t>
      </w:r>
      <w:r w:rsidRPr="005B3905">
        <w:rPr>
          <w:lang w:val="fr-FR" w:eastAsia="ko-KR"/>
        </w:rPr>
        <w:tab/>
      </w:r>
      <w:bookmarkEnd w:id="1"/>
      <w:bookmarkEnd w:id="2"/>
      <w:bookmarkEnd w:id="3"/>
      <w:bookmarkEnd w:id="4"/>
      <w:bookmarkEnd w:id="5"/>
      <w:bookmarkEnd w:id="6"/>
      <w:bookmarkEnd w:id="7"/>
      <w:bookmarkEnd w:id="8"/>
      <w:bookmarkEnd w:id="9"/>
      <w:bookmarkEnd w:id="10"/>
      <w:bookmarkEnd w:id="11"/>
      <w:bookmarkEnd w:id="12"/>
      <w:bookmarkEnd w:id="13"/>
      <w:r w:rsidRPr="00CB43BB">
        <w:rPr>
          <w:lang w:val="fr-FR" w:eastAsia="ko-KR"/>
        </w:rPr>
        <w:t>Essai de résistance des pneumatiques pour voitures particulières (sect.</w:t>
      </w:r>
      <w:r w:rsidR="009408AF">
        <w:rPr>
          <w:lang w:val="fr-FR" w:eastAsia="ko-KR"/>
        </w:rPr>
        <w:t> </w:t>
      </w:r>
      <w:r w:rsidRPr="00CB43BB">
        <w:rPr>
          <w:lang w:val="fr-FR" w:eastAsia="ko-KR"/>
        </w:rPr>
        <w:t>3.6</w:t>
      </w:r>
      <w:r w:rsidRPr="005B3905">
        <w:rPr>
          <w:lang w:val="fr-FR" w:eastAsia="ko-KR"/>
        </w:rPr>
        <w:t>)</w:t>
      </w:r>
      <w:r w:rsidR="009408AF">
        <w:rPr>
          <w:lang w:val="fr-FR" w:eastAsia="ko-KR"/>
        </w:rPr>
        <w:t> :</w:t>
      </w:r>
    </w:p>
    <w:p w:rsidR="00264BE0" w:rsidRPr="005B3905" w:rsidRDefault="00264BE0" w:rsidP="00264BE0">
      <w:pPr>
        <w:pStyle w:val="SingleTxtG"/>
        <w:ind w:left="2268"/>
        <w:rPr>
          <w:b/>
          <w:lang w:val="fr-FR"/>
        </w:rPr>
      </w:pPr>
      <w:r w:rsidRPr="00CB43BB">
        <w:rPr>
          <w:b/>
          <w:lang w:val="fr-FR"/>
        </w:rPr>
        <w:t xml:space="preserve">Règlement </w:t>
      </w:r>
      <w:r w:rsidR="009408AF" w:rsidRPr="002F1B3E">
        <w:rPr>
          <w:rFonts w:eastAsia="MS Mincho"/>
          <w:b/>
          <w:szCs w:val="22"/>
          <w:lang w:val="fr-FR" w:eastAsia="ko-KR"/>
        </w:rPr>
        <w:t>n</w:t>
      </w:r>
      <w:r w:rsidR="009408AF" w:rsidRPr="002F1B3E">
        <w:rPr>
          <w:rFonts w:eastAsia="MS Mincho"/>
          <w:b/>
          <w:szCs w:val="22"/>
          <w:vertAlign w:val="superscript"/>
          <w:lang w:val="fr-FR" w:eastAsia="ko-KR"/>
        </w:rPr>
        <w:t>o</w:t>
      </w:r>
      <w:r w:rsidR="009408AF" w:rsidRPr="002F1B3E">
        <w:rPr>
          <w:b/>
          <w:lang w:val="fr-FR" w:eastAsia="ko-KR"/>
        </w:rPr>
        <w:t> </w:t>
      </w:r>
      <w:r w:rsidRPr="00CB43BB">
        <w:rPr>
          <w:b/>
          <w:lang w:val="fr-FR"/>
        </w:rPr>
        <w:t>30</w:t>
      </w:r>
      <w:r w:rsidR="009408AF">
        <w:rPr>
          <w:b/>
          <w:lang w:val="fr-FR"/>
        </w:rPr>
        <w:t> </w:t>
      </w:r>
      <w:r w:rsidRPr="005B3905">
        <w:rPr>
          <w:b/>
          <w:lang w:val="fr-FR"/>
        </w:rPr>
        <w:t>:</w:t>
      </w:r>
    </w:p>
    <w:p w:rsidR="00264BE0" w:rsidRPr="005B3905" w:rsidRDefault="00264BE0" w:rsidP="00264BE0">
      <w:pPr>
        <w:pStyle w:val="SingleTxtG"/>
        <w:ind w:left="2268"/>
        <w:rPr>
          <w:lang w:val="fr-FR"/>
        </w:rPr>
      </w:pPr>
      <w:r w:rsidRPr="00CB43BB">
        <w:rPr>
          <w:spacing w:val="-2"/>
          <w:lang w:val="fr-FR"/>
        </w:rPr>
        <w:t>Complément 17 à la série 02 d’amendements</w:t>
      </w:r>
      <w:r w:rsidR="009408AF">
        <w:rPr>
          <w:spacing w:val="-2"/>
          <w:lang w:val="fr-FR"/>
        </w:rPr>
        <w:t> </w:t>
      </w:r>
      <w:r w:rsidRPr="00CB43BB">
        <w:rPr>
          <w:spacing w:val="-2"/>
          <w:lang w:val="fr-FR"/>
        </w:rPr>
        <w:t>: document ECE/TRANS/ WP.29/2012/48, tel qu’amendé par le paragraphe 50 du rapport de la 157</w:t>
      </w:r>
      <w:r w:rsidR="009408AF" w:rsidRPr="009408AF">
        <w:rPr>
          <w:spacing w:val="-2"/>
          <w:vertAlign w:val="superscript"/>
          <w:lang w:val="fr-FR"/>
        </w:rPr>
        <w:t>e</w:t>
      </w:r>
      <w:r w:rsidR="009408AF">
        <w:rPr>
          <w:spacing w:val="-2"/>
          <w:lang w:val="fr-FR"/>
        </w:rPr>
        <w:t> </w:t>
      </w:r>
      <w:r w:rsidRPr="00CB43BB">
        <w:rPr>
          <w:spacing w:val="-2"/>
          <w:lang w:val="fr-FR"/>
        </w:rPr>
        <w:t>session du WP.29 (ECE/TRANS/WP.29/1097</w:t>
      </w:r>
      <w:r w:rsidRPr="005B3905">
        <w:rPr>
          <w:lang w:val="fr-FR"/>
        </w:rPr>
        <w:t>)</w:t>
      </w:r>
      <w:r w:rsidR="009408AF">
        <w:rPr>
          <w:lang w:val="fr-FR"/>
        </w:rPr>
        <w:t> </w:t>
      </w:r>
      <w:r w:rsidRPr="005B3905">
        <w:rPr>
          <w:lang w:val="fr-FR"/>
        </w:rPr>
        <w:t>;</w:t>
      </w:r>
    </w:p>
    <w:p w:rsidR="00264BE0" w:rsidRPr="005B3905" w:rsidRDefault="00264BE0" w:rsidP="00264BE0">
      <w:pPr>
        <w:pStyle w:val="SingleTxtG"/>
        <w:ind w:left="2268" w:hanging="567"/>
        <w:rPr>
          <w:lang w:val="fr-FR" w:eastAsia="ko-KR"/>
        </w:rPr>
      </w:pPr>
      <w:r w:rsidRPr="005B3905">
        <w:rPr>
          <w:lang w:val="fr-FR" w:eastAsia="ko-KR"/>
        </w:rPr>
        <w:t xml:space="preserve">vi) </w:t>
      </w:r>
      <w:r w:rsidRPr="005B3905">
        <w:rPr>
          <w:lang w:val="fr-FR" w:eastAsia="ko-KR"/>
        </w:rPr>
        <w:tab/>
      </w:r>
      <w:r w:rsidRPr="00CB43BB">
        <w:rPr>
          <w:lang w:val="fr-FR" w:eastAsia="ko-KR"/>
        </w:rPr>
        <w:t>Essai d’émissions de bruit de roulement (sect. 3.8</w:t>
      </w:r>
      <w:r w:rsidRPr="005B3905">
        <w:rPr>
          <w:lang w:val="fr-FR" w:eastAsia="ko-KR"/>
        </w:rPr>
        <w:t>)</w:t>
      </w:r>
      <w:r w:rsidR="009408AF">
        <w:rPr>
          <w:lang w:val="fr-FR" w:eastAsia="ko-KR"/>
        </w:rPr>
        <w:t> </w:t>
      </w:r>
      <w:r w:rsidRPr="005B3905">
        <w:rPr>
          <w:lang w:val="fr-FR" w:eastAsia="ko-KR"/>
        </w:rPr>
        <w:t>:</w:t>
      </w:r>
    </w:p>
    <w:p w:rsidR="00264BE0" w:rsidRPr="005B3905" w:rsidRDefault="00264BE0" w:rsidP="00264BE0">
      <w:pPr>
        <w:pStyle w:val="SingleTxtG"/>
        <w:ind w:left="2268"/>
        <w:rPr>
          <w:b/>
          <w:lang w:val="fr-FR"/>
        </w:rPr>
      </w:pPr>
      <w:r w:rsidRPr="00CB43BB">
        <w:rPr>
          <w:b/>
          <w:lang w:val="fr-FR"/>
        </w:rPr>
        <w:t xml:space="preserve">Règlement </w:t>
      </w:r>
      <w:r w:rsidR="009408AF" w:rsidRPr="002F1B3E">
        <w:rPr>
          <w:rFonts w:eastAsia="MS Mincho"/>
          <w:b/>
          <w:szCs w:val="22"/>
          <w:lang w:val="fr-FR" w:eastAsia="ko-KR"/>
        </w:rPr>
        <w:t>n</w:t>
      </w:r>
      <w:r w:rsidR="009408AF" w:rsidRPr="002F1B3E">
        <w:rPr>
          <w:rFonts w:eastAsia="MS Mincho"/>
          <w:b/>
          <w:szCs w:val="22"/>
          <w:vertAlign w:val="superscript"/>
          <w:lang w:val="fr-FR" w:eastAsia="ko-KR"/>
        </w:rPr>
        <w:t>o</w:t>
      </w:r>
      <w:r w:rsidR="009408AF" w:rsidRPr="002F1B3E">
        <w:rPr>
          <w:b/>
          <w:lang w:val="fr-FR" w:eastAsia="ko-KR"/>
        </w:rPr>
        <w:t> </w:t>
      </w:r>
      <w:r w:rsidRPr="00CB43BB">
        <w:rPr>
          <w:b/>
          <w:lang w:val="fr-FR"/>
        </w:rPr>
        <w:t>117</w:t>
      </w:r>
      <w:r w:rsidR="009408AF">
        <w:rPr>
          <w:b/>
          <w:lang w:val="fr-FR"/>
        </w:rPr>
        <w:t> </w:t>
      </w:r>
      <w:r w:rsidRPr="005B3905">
        <w:rPr>
          <w:b/>
          <w:lang w:val="fr-FR"/>
        </w:rPr>
        <w:t>:</w:t>
      </w:r>
    </w:p>
    <w:p w:rsidR="00264BE0" w:rsidRPr="005B3905" w:rsidRDefault="00264BE0" w:rsidP="00264BE0">
      <w:pPr>
        <w:pStyle w:val="SingleTxtG"/>
        <w:ind w:left="2268"/>
        <w:rPr>
          <w:lang w:val="fr-FR"/>
        </w:rPr>
      </w:pPr>
      <w:r w:rsidRPr="00CB43BB">
        <w:rPr>
          <w:lang w:val="fr-FR"/>
        </w:rPr>
        <w:t>Exemptions ajoutées comme dans la série 02 d’amendements</w:t>
      </w:r>
      <w:r w:rsidR="009408AF">
        <w:rPr>
          <w:lang w:val="fr-FR"/>
        </w:rPr>
        <w:t> </w:t>
      </w:r>
      <w:r w:rsidRPr="005B3905">
        <w:rPr>
          <w:lang w:val="fr-FR"/>
        </w:rPr>
        <w:t>;</w:t>
      </w:r>
    </w:p>
    <w:p w:rsidR="00264BE0" w:rsidRPr="005B3905" w:rsidRDefault="00264BE0" w:rsidP="00264BE0">
      <w:pPr>
        <w:pStyle w:val="SingleTxtG"/>
        <w:ind w:left="2268"/>
        <w:rPr>
          <w:lang w:val="fr-FR"/>
        </w:rPr>
      </w:pPr>
      <w:r w:rsidRPr="00CB43BB">
        <w:rPr>
          <w:lang w:val="fr-FR"/>
        </w:rPr>
        <w:lastRenderedPageBreak/>
        <w:t>En ce qui concerne le revêtement de la zone d’essai, il es</w:t>
      </w:r>
      <w:r w:rsidR="00D47D64">
        <w:rPr>
          <w:lang w:val="fr-FR"/>
        </w:rPr>
        <w:t>t fait référence à la norme ISO </w:t>
      </w:r>
      <w:r w:rsidRPr="00CB43BB">
        <w:rPr>
          <w:lang w:val="fr-FR"/>
        </w:rPr>
        <w:t>10844:2014 (complément 4 à la série 02 d’amendements, document ECE/TRANS/WP.29/2013/55</w:t>
      </w:r>
      <w:r>
        <w:rPr>
          <w:lang w:val="fr-FR"/>
        </w:rPr>
        <w:t>)</w:t>
      </w:r>
      <w:r w:rsidR="001E07F6">
        <w:rPr>
          <w:lang w:val="fr-FR"/>
        </w:rPr>
        <w:t> </w:t>
      </w:r>
      <w:r w:rsidRPr="005B3905">
        <w:rPr>
          <w:lang w:val="fr-FR"/>
        </w:rPr>
        <w:t>;</w:t>
      </w:r>
    </w:p>
    <w:p w:rsidR="00264BE0" w:rsidRPr="005B3905" w:rsidRDefault="00264BE0" w:rsidP="00264BE0">
      <w:pPr>
        <w:pStyle w:val="SingleTxtG"/>
        <w:ind w:left="2268"/>
        <w:rPr>
          <w:spacing w:val="-2"/>
          <w:lang w:val="fr-FR"/>
        </w:rPr>
      </w:pPr>
      <w:r w:rsidRPr="00CB43BB">
        <w:rPr>
          <w:spacing w:val="-2"/>
          <w:lang w:val="fr-FR"/>
        </w:rPr>
        <w:t xml:space="preserve">Complément 8 à la série 02 d’amendements au Règlement </w:t>
      </w:r>
      <w:r w:rsidR="001E07F6" w:rsidRPr="001E07F6">
        <w:rPr>
          <w:rFonts w:eastAsia="MS Mincho"/>
          <w:spacing w:val="-2"/>
          <w:szCs w:val="22"/>
          <w:lang w:val="fr-FR"/>
        </w:rPr>
        <w:t>n</w:t>
      </w:r>
      <w:r w:rsidR="001E07F6" w:rsidRPr="001E07F6">
        <w:rPr>
          <w:rFonts w:eastAsia="MS Mincho"/>
          <w:spacing w:val="-2"/>
          <w:szCs w:val="22"/>
          <w:vertAlign w:val="superscript"/>
          <w:lang w:val="fr-FR"/>
        </w:rPr>
        <w:t>o</w:t>
      </w:r>
      <w:r w:rsidR="001E07F6">
        <w:rPr>
          <w:spacing w:val="-2"/>
          <w:lang w:val="fr-FR"/>
        </w:rPr>
        <w:t> </w:t>
      </w:r>
      <w:r w:rsidRPr="00CB43BB">
        <w:rPr>
          <w:spacing w:val="-2"/>
          <w:lang w:val="fr-FR"/>
        </w:rPr>
        <w:t>117 (Pneumatiques : Résistance au roulement, bruit de roulement et adhérence sur sol mouillé) : document ECE/TRANS/WP.29/2015/65, tel qu’amendé par le paragraphe 66 du rapport de la 166</w:t>
      </w:r>
      <w:r w:rsidR="00454015" w:rsidRPr="00454015">
        <w:rPr>
          <w:spacing w:val="-2"/>
          <w:vertAlign w:val="superscript"/>
          <w:lang w:val="fr-FR"/>
        </w:rPr>
        <w:t>e</w:t>
      </w:r>
      <w:r w:rsidR="00454015">
        <w:rPr>
          <w:spacing w:val="-2"/>
          <w:lang w:val="fr-FR"/>
        </w:rPr>
        <w:t> </w:t>
      </w:r>
      <w:r w:rsidRPr="00CB43BB">
        <w:rPr>
          <w:spacing w:val="-2"/>
          <w:lang w:val="fr-FR"/>
        </w:rPr>
        <w:t>session du WP.29 (ECE/TRANS/</w:t>
      </w:r>
      <w:r w:rsidR="001E07F6">
        <w:rPr>
          <w:spacing w:val="-2"/>
          <w:lang w:val="fr-FR"/>
        </w:rPr>
        <w:br/>
      </w:r>
      <w:r w:rsidRPr="00CB43BB">
        <w:rPr>
          <w:spacing w:val="-2"/>
          <w:lang w:val="fr-FR"/>
        </w:rPr>
        <w:t>WP.29/1116</w:t>
      </w:r>
      <w:r w:rsidRPr="005B3905">
        <w:rPr>
          <w:spacing w:val="-2"/>
          <w:lang w:val="fr-FR"/>
        </w:rPr>
        <w:t>)</w:t>
      </w:r>
      <w:r w:rsidR="001E07F6">
        <w:rPr>
          <w:spacing w:val="-2"/>
          <w:lang w:val="fr-FR"/>
        </w:rPr>
        <w:t> </w:t>
      </w:r>
      <w:r w:rsidRPr="005B3905">
        <w:rPr>
          <w:spacing w:val="-2"/>
          <w:lang w:val="fr-FR"/>
        </w:rPr>
        <w:t>;</w:t>
      </w:r>
    </w:p>
    <w:p w:rsidR="00264BE0" w:rsidRPr="005B3905" w:rsidRDefault="00264BE0" w:rsidP="00264BE0">
      <w:pPr>
        <w:pStyle w:val="SingleTxtG"/>
        <w:ind w:left="2268" w:hanging="567"/>
        <w:rPr>
          <w:lang w:val="fr-FR" w:eastAsia="ko-KR"/>
        </w:rPr>
      </w:pPr>
      <w:r w:rsidRPr="005B3905">
        <w:rPr>
          <w:lang w:val="fr-FR" w:eastAsia="ko-KR"/>
        </w:rPr>
        <w:t>vii)</w:t>
      </w:r>
      <w:r w:rsidRPr="005B3905">
        <w:rPr>
          <w:lang w:val="fr-FR" w:eastAsia="ko-KR"/>
        </w:rPr>
        <w:tab/>
      </w:r>
      <w:r w:rsidRPr="00CB43BB">
        <w:rPr>
          <w:lang w:val="fr-FR" w:eastAsia="ko-KR"/>
        </w:rPr>
        <w:t>Modification de l’essai de mesure de l’adhérence sur sol mouillé (sect.</w:t>
      </w:r>
      <w:r w:rsidR="001E07F6">
        <w:rPr>
          <w:lang w:val="fr-FR" w:eastAsia="ko-KR"/>
        </w:rPr>
        <w:t> </w:t>
      </w:r>
      <w:r w:rsidRPr="00CB43BB">
        <w:rPr>
          <w:lang w:val="fr-FR" w:eastAsia="ko-KR"/>
        </w:rPr>
        <w:t>3.12</w:t>
      </w:r>
      <w:r w:rsidRPr="005B3905">
        <w:rPr>
          <w:lang w:val="fr-FR" w:eastAsia="ko-KR"/>
        </w:rPr>
        <w:t>)</w:t>
      </w:r>
      <w:r w:rsidR="001E07F6">
        <w:rPr>
          <w:lang w:val="fr-FR" w:eastAsia="ko-KR"/>
        </w:rPr>
        <w:t> </w:t>
      </w:r>
      <w:r w:rsidRPr="005B3905">
        <w:rPr>
          <w:lang w:val="fr-FR" w:eastAsia="ko-KR"/>
        </w:rPr>
        <w:t>:</w:t>
      </w:r>
    </w:p>
    <w:p w:rsidR="00264BE0" w:rsidRPr="005B3905" w:rsidRDefault="00264BE0" w:rsidP="00264BE0">
      <w:pPr>
        <w:pStyle w:val="SingleTxtG"/>
        <w:ind w:left="2268"/>
        <w:rPr>
          <w:b/>
          <w:lang w:val="fr-FR"/>
        </w:rPr>
      </w:pPr>
      <w:r w:rsidRPr="00CB43BB">
        <w:rPr>
          <w:b/>
          <w:lang w:val="fr-FR"/>
        </w:rPr>
        <w:t xml:space="preserve">Règlement </w:t>
      </w:r>
      <w:r w:rsidR="001E07F6" w:rsidRPr="001E07F6">
        <w:rPr>
          <w:rFonts w:eastAsia="MS Mincho"/>
          <w:b/>
          <w:spacing w:val="-2"/>
          <w:szCs w:val="22"/>
          <w:lang w:val="fr-FR"/>
        </w:rPr>
        <w:t>n</w:t>
      </w:r>
      <w:r w:rsidR="001E07F6" w:rsidRPr="001E07F6">
        <w:rPr>
          <w:rFonts w:eastAsia="MS Mincho"/>
          <w:b/>
          <w:spacing w:val="-2"/>
          <w:szCs w:val="22"/>
          <w:vertAlign w:val="superscript"/>
          <w:lang w:val="fr-FR"/>
        </w:rPr>
        <w:t>o</w:t>
      </w:r>
      <w:r w:rsidR="001E07F6" w:rsidRPr="001E07F6">
        <w:rPr>
          <w:b/>
          <w:spacing w:val="-2"/>
          <w:lang w:val="fr-FR"/>
        </w:rPr>
        <w:t> </w:t>
      </w:r>
      <w:r w:rsidRPr="00CB43BB">
        <w:rPr>
          <w:b/>
          <w:lang w:val="fr-FR"/>
        </w:rPr>
        <w:t>117</w:t>
      </w:r>
      <w:r w:rsidR="001E07F6">
        <w:rPr>
          <w:b/>
          <w:lang w:val="fr-FR"/>
        </w:rPr>
        <w:t> </w:t>
      </w:r>
      <w:r w:rsidRPr="005B3905">
        <w:rPr>
          <w:b/>
          <w:lang w:val="fr-FR"/>
        </w:rPr>
        <w:t>:</w:t>
      </w:r>
    </w:p>
    <w:p w:rsidR="00264BE0" w:rsidRPr="005B3905" w:rsidRDefault="00264BE0" w:rsidP="00264BE0">
      <w:pPr>
        <w:pStyle w:val="SingleTxtG"/>
        <w:ind w:left="2268"/>
        <w:rPr>
          <w:lang w:val="fr-FR"/>
        </w:rPr>
      </w:pPr>
      <w:r w:rsidRPr="00DD71C4">
        <w:rPr>
          <w:lang w:val="fr-FR"/>
        </w:rPr>
        <w:t>Exemptions ajoutées comme dans la série 02 d’amendements</w:t>
      </w:r>
      <w:r w:rsidR="001E07F6">
        <w:rPr>
          <w:lang w:val="fr-FR"/>
        </w:rPr>
        <w:t> </w:t>
      </w:r>
      <w:r w:rsidRPr="005B3905">
        <w:rPr>
          <w:lang w:val="fr-FR"/>
        </w:rPr>
        <w:t>;</w:t>
      </w:r>
    </w:p>
    <w:p w:rsidR="00264BE0" w:rsidRPr="005B3905" w:rsidRDefault="00264BE0" w:rsidP="00264BE0">
      <w:pPr>
        <w:pStyle w:val="SingleTxtG"/>
        <w:ind w:left="2268"/>
        <w:rPr>
          <w:lang w:val="fr-FR"/>
        </w:rPr>
      </w:pPr>
      <w:r w:rsidRPr="00DD71C4">
        <w:rPr>
          <w:lang w:val="fr-FR"/>
        </w:rPr>
        <w:t>Complément 1 à la série 02 d’amendements</w:t>
      </w:r>
      <w:r w:rsidR="001E07F6">
        <w:rPr>
          <w:lang w:val="fr-FR"/>
        </w:rPr>
        <w:t> </w:t>
      </w:r>
      <w:r w:rsidRPr="00DD71C4">
        <w:rPr>
          <w:lang w:val="fr-FR"/>
        </w:rPr>
        <w:t>: document ECE/TRANS/ WP.29/2012/2, tel qu’amendé par le paragraphe 65 du rapport de la 156</w:t>
      </w:r>
      <w:r w:rsidR="001E07F6" w:rsidRPr="001E07F6">
        <w:rPr>
          <w:vertAlign w:val="superscript"/>
          <w:lang w:val="fr-FR"/>
        </w:rPr>
        <w:t>e</w:t>
      </w:r>
      <w:r w:rsidR="001E07F6">
        <w:rPr>
          <w:lang w:val="fr-FR"/>
        </w:rPr>
        <w:t> </w:t>
      </w:r>
      <w:r w:rsidRPr="00DD71C4">
        <w:rPr>
          <w:lang w:val="fr-FR"/>
        </w:rPr>
        <w:t>session du WP.29 (ECE/TRANS/WP.29/1095</w:t>
      </w:r>
      <w:r w:rsidRPr="005B3905">
        <w:rPr>
          <w:lang w:val="fr-FR"/>
        </w:rPr>
        <w:t>)</w:t>
      </w:r>
      <w:r w:rsidR="001E07F6">
        <w:rPr>
          <w:lang w:val="fr-FR"/>
        </w:rPr>
        <w:t> </w:t>
      </w:r>
      <w:r w:rsidRPr="005B3905">
        <w:rPr>
          <w:lang w:val="fr-FR"/>
        </w:rPr>
        <w:t>;</w:t>
      </w:r>
    </w:p>
    <w:p w:rsidR="00264BE0" w:rsidRPr="005B3905" w:rsidRDefault="00264BE0" w:rsidP="00264BE0">
      <w:pPr>
        <w:pStyle w:val="SingleTxtG"/>
        <w:ind w:left="2268"/>
        <w:rPr>
          <w:lang w:val="fr-FR"/>
        </w:rPr>
      </w:pPr>
      <w:r w:rsidRPr="00DD71C4">
        <w:rPr>
          <w:lang w:val="fr-FR"/>
        </w:rPr>
        <w:t>Complément 6 à la série 02 d’amendements</w:t>
      </w:r>
      <w:r w:rsidR="001E07F6">
        <w:rPr>
          <w:lang w:val="fr-FR"/>
        </w:rPr>
        <w:t> </w:t>
      </w:r>
      <w:r w:rsidRPr="00DD71C4">
        <w:rPr>
          <w:lang w:val="fr-FR"/>
        </w:rPr>
        <w:t>: document ECE/TRANS/ WP.29/2013/66, tel qu’amendé par le paragraphe 56 du rapport de la 162</w:t>
      </w:r>
      <w:r w:rsidR="001E07F6" w:rsidRPr="001E07F6">
        <w:rPr>
          <w:vertAlign w:val="superscript"/>
          <w:lang w:val="fr-FR"/>
        </w:rPr>
        <w:t>e</w:t>
      </w:r>
      <w:r w:rsidR="001E07F6">
        <w:rPr>
          <w:lang w:val="fr-FR"/>
        </w:rPr>
        <w:t> </w:t>
      </w:r>
      <w:r w:rsidRPr="00DD71C4">
        <w:rPr>
          <w:lang w:val="fr-FR"/>
        </w:rPr>
        <w:t>session du WP.29 (ECE/TRANS/WP.29/1108</w:t>
      </w:r>
      <w:r w:rsidRPr="005B3905">
        <w:rPr>
          <w:lang w:val="fr-FR"/>
        </w:rPr>
        <w:t>)</w:t>
      </w:r>
      <w:r w:rsidR="001E07F6">
        <w:rPr>
          <w:lang w:val="fr-FR"/>
        </w:rPr>
        <w:t> </w:t>
      </w:r>
      <w:r w:rsidRPr="005B3905">
        <w:rPr>
          <w:lang w:val="fr-FR"/>
        </w:rPr>
        <w:t>;</w:t>
      </w:r>
    </w:p>
    <w:p w:rsidR="00264BE0" w:rsidRPr="005B3905" w:rsidRDefault="00264BE0" w:rsidP="00264BE0">
      <w:pPr>
        <w:pStyle w:val="SingleTxtG"/>
        <w:ind w:left="2268"/>
        <w:rPr>
          <w:b/>
          <w:lang w:val="fr-FR"/>
        </w:rPr>
      </w:pPr>
      <w:r w:rsidRPr="00DD71C4">
        <w:rPr>
          <w:b/>
          <w:lang w:val="fr-FR"/>
        </w:rPr>
        <w:t xml:space="preserve">Session extraordinaire </w:t>
      </w:r>
      <w:r w:rsidRPr="00B02EDE">
        <w:rPr>
          <w:b/>
          <w:lang w:val="fr-FR"/>
        </w:rPr>
        <w:t>(</w:t>
      </w:r>
      <w:r w:rsidR="001E07F6">
        <w:rPr>
          <w:b/>
          <w:lang w:val="fr-FR"/>
        </w:rPr>
        <w:t>soixante-dix-septième</w:t>
      </w:r>
      <w:r w:rsidRPr="00B02EDE">
        <w:rPr>
          <w:b/>
          <w:lang w:val="fr-FR"/>
        </w:rPr>
        <w:t>)</w:t>
      </w:r>
      <w:r>
        <w:rPr>
          <w:b/>
          <w:lang w:val="fr-FR"/>
        </w:rPr>
        <w:t xml:space="preserve"> </w:t>
      </w:r>
      <w:r w:rsidRPr="00DD71C4">
        <w:rPr>
          <w:b/>
          <w:lang w:val="fr-FR"/>
        </w:rPr>
        <w:t>du GRRF tenue pendant la 163</w:t>
      </w:r>
      <w:r w:rsidR="001E07F6" w:rsidRPr="001E07F6">
        <w:rPr>
          <w:b/>
          <w:vertAlign w:val="superscript"/>
          <w:lang w:val="fr-FR"/>
        </w:rPr>
        <w:t>e</w:t>
      </w:r>
      <w:r w:rsidR="001E07F6">
        <w:rPr>
          <w:b/>
          <w:lang w:val="fr-FR"/>
        </w:rPr>
        <w:t> </w:t>
      </w:r>
      <w:r w:rsidRPr="00DD71C4">
        <w:rPr>
          <w:b/>
          <w:lang w:val="fr-FR"/>
        </w:rPr>
        <w:t>session du WP.29</w:t>
      </w:r>
      <w:r w:rsidR="001E07F6">
        <w:rPr>
          <w:b/>
          <w:lang w:val="fr-FR"/>
        </w:rPr>
        <w:t> :</w:t>
      </w:r>
    </w:p>
    <w:p w:rsidR="00264BE0" w:rsidRPr="005B3905" w:rsidRDefault="00264BE0" w:rsidP="00264BE0">
      <w:pPr>
        <w:pStyle w:val="SingleTxtG"/>
        <w:ind w:left="2268"/>
        <w:rPr>
          <w:lang w:val="fr-FR"/>
        </w:rPr>
      </w:pPr>
      <w:r w:rsidRPr="00DD71C4">
        <w:rPr>
          <w:lang w:val="fr-FR"/>
        </w:rPr>
        <w:t>Document ECE/TRANS/WP.29/GRRF/77, approuvé au paragraphe 28 du rapport de la 164</w:t>
      </w:r>
      <w:r w:rsidR="001E07F6" w:rsidRPr="001E07F6">
        <w:rPr>
          <w:vertAlign w:val="superscript"/>
          <w:lang w:val="fr-FR"/>
        </w:rPr>
        <w:t>e</w:t>
      </w:r>
      <w:r w:rsidR="001E07F6">
        <w:rPr>
          <w:lang w:val="fr-FR"/>
        </w:rPr>
        <w:t> </w:t>
      </w:r>
      <w:r w:rsidRPr="00DD71C4">
        <w:rPr>
          <w:lang w:val="fr-FR"/>
        </w:rPr>
        <w:t>session du WP.29 (ECE/TRANS/WP.29/1112</w:t>
      </w:r>
      <w:r w:rsidR="001E07F6">
        <w:rPr>
          <w:lang w:val="fr-FR"/>
        </w:rPr>
        <w:t>) ;</w:t>
      </w:r>
    </w:p>
    <w:p w:rsidR="00264BE0" w:rsidRPr="005B3905" w:rsidRDefault="00264BE0" w:rsidP="00264BE0">
      <w:pPr>
        <w:pStyle w:val="SingleTxtG"/>
        <w:ind w:left="2268" w:hanging="567"/>
        <w:rPr>
          <w:spacing w:val="-3"/>
          <w:lang w:val="fr-FR"/>
        </w:rPr>
      </w:pPr>
      <w:bookmarkStart w:id="14" w:name="_Toc279589950"/>
      <w:bookmarkStart w:id="15" w:name="_Toc279590476"/>
      <w:bookmarkStart w:id="16" w:name="_Toc279590529"/>
      <w:bookmarkStart w:id="17" w:name="_Toc279590833"/>
      <w:bookmarkStart w:id="18" w:name="_Toc279590940"/>
      <w:bookmarkStart w:id="19" w:name="_Toc279590979"/>
      <w:bookmarkStart w:id="20" w:name="_Toc279591017"/>
      <w:bookmarkStart w:id="21" w:name="_Toc279591093"/>
      <w:bookmarkStart w:id="22" w:name="_Toc280015583"/>
      <w:bookmarkStart w:id="23" w:name="_Ref318453099"/>
      <w:bookmarkStart w:id="24" w:name="_Toc329088816"/>
      <w:r w:rsidRPr="005B3905">
        <w:rPr>
          <w:spacing w:val="-3"/>
          <w:lang w:val="fr-FR"/>
        </w:rPr>
        <w:t>viii)</w:t>
      </w:r>
      <w:r w:rsidRPr="005B3905">
        <w:rPr>
          <w:spacing w:val="-3"/>
          <w:lang w:val="fr-FR"/>
        </w:rPr>
        <w:tab/>
      </w:r>
      <w:bookmarkEnd w:id="14"/>
      <w:bookmarkEnd w:id="15"/>
      <w:bookmarkEnd w:id="16"/>
      <w:bookmarkEnd w:id="17"/>
      <w:bookmarkEnd w:id="18"/>
      <w:bookmarkEnd w:id="19"/>
      <w:bookmarkEnd w:id="20"/>
      <w:bookmarkEnd w:id="21"/>
      <w:bookmarkEnd w:id="22"/>
      <w:bookmarkEnd w:id="23"/>
      <w:bookmarkEnd w:id="24"/>
      <w:r w:rsidRPr="007272D4">
        <w:rPr>
          <w:spacing w:val="-3"/>
          <w:lang w:val="fr-FR"/>
        </w:rPr>
        <w:t>Essai de résistance pour les pneumatiques des catégories LT/C (sect.</w:t>
      </w:r>
      <w:r w:rsidR="001E07F6">
        <w:rPr>
          <w:spacing w:val="-3"/>
          <w:lang w:val="fr-FR"/>
        </w:rPr>
        <w:t> </w:t>
      </w:r>
      <w:r w:rsidRPr="007272D4">
        <w:rPr>
          <w:spacing w:val="-3"/>
          <w:lang w:val="fr-FR"/>
        </w:rPr>
        <w:t>3.14</w:t>
      </w:r>
      <w:r w:rsidRPr="005B3905">
        <w:rPr>
          <w:spacing w:val="-3"/>
          <w:lang w:val="fr-FR"/>
        </w:rPr>
        <w:t>)</w:t>
      </w:r>
      <w:r w:rsidR="001E07F6">
        <w:rPr>
          <w:spacing w:val="-3"/>
          <w:lang w:val="fr-FR"/>
        </w:rPr>
        <w:t> </w:t>
      </w:r>
      <w:r w:rsidRPr="005B3905">
        <w:rPr>
          <w:spacing w:val="-3"/>
          <w:lang w:val="fr-FR"/>
        </w:rPr>
        <w:t>:</w:t>
      </w:r>
    </w:p>
    <w:p w:rsidR="00264BE0" w:rsidRPr="005B3905" w:rsidRDefault="00264BE0" w:rsidP="00264BE0">
      <w:pPr>
        <w:pStyle w:val="SingleTxtG"/>
        <w:ind w:left="2268"/>
        <w:rPr>
          <w:lang w:val="fr-FR"/>
        </w:rPr>
      </w:pPr>
      <w:r w:rsidRPr="005B3905">
        <w:rPr>
          <w:lang w:val="fr-FR"/>
        </w:rPr>
        <w:tab/>
      </w:r>
      <w:r w:rsidRPr="007272D4">
        <w:rPr>
          <w:lang w:val="fr-FR"/>
        </w:rPr>
        <w:t>Dans un souci de cohérence avec la section 3.6 (Essai de résistance des pneumatiques pour voitures particulières) et la définition énoncée au paragraphe</w:t>
      </w:r>
      <w:r w:rsidR="001E07F6">
        <w:rPr>
          <w:lang w:val="fr-FR"/>
        </w:rPr>
        <w:t> </w:t>
      </w:r>
      <w:r w:rsidRPr="007272D4">
        <w:rPr>
          <w:lang w:val="fr-FR"/>
        </w:rPr>
        <w:t>2.89, ont été ajoutées les modifications suivantes</w:t>
      </w:r>
      <w:r w:rsidR="001E07F6">
        <w:rPr>
          <w:lang w:val="fr-FR"/>
        </w:rPr>
        <w:t> </w:t>
      </w:r>
      <w:r w:rsidRPr="005B3905">
        <w:rPr>
          <w:lang w:val="fr-FR"/>
        </w:rPr>
        <w:t>:</w:t>
      </w:r>
    </w:p>
    <w:p w:rsidR="00264BE0" w:rsidRPr="005B3905" w:rsidRDefault="00264BE0" w:rsidP="00264BE0">
      <w:pPr>
        <w:pStyle w:val="SingleTxtG"/>
        <w:ind w:left="2268"/>
        <w:rPr>
          <w:b/>
          <w:lang w:val="fr-FR"/>
        </w:rPr>
      </w:pPr>
      <w:r>
        <w:rPr>
          <w:b/>
          <w:lang w:val="fr-FR"/>
        </w:rPr>
        <w:t xml:space="preserve">Règlement </w:t>
      </w:r>
      <w:r w:rsidR="00D47D64" w:rsidRPr="00D47D64">
        <w:rPr>
          <w:rFonts w:eastAsia="MS Mincho"/>
          <w:b/>
          <w:szCs w:val="22"/>
          <w:lang w:val="fr-FR"/>
        </w:rPr>
        <w:t>n</w:t>
      </w:r>
      <w:r w:rsidR="00D47D64" w:rsidRPr="00D47D64">
        <w:rPr>
          <w:rFonts w:eastAsia="MS Mincho"/>
          <w:b/>
          <w:szCs w:val="22"/>
          <w:vertAlign w:val="superscript"/>
          <w:lang w:val="fr-FR"/>
        </w:rPr>
        <w:t>o</w:t>
      </w:r>
      <w:r w:rsidR="00D47D64">
        <w:rPr>
          <w:b/>
          <w:lang w:val="fr-FR"/>
        </w:rPr>
        <w:t> </w:t>
      </w:r>
      <w:r w:rsidRPr="005B3905">
        <w:rPr>
          <w:b/>
          <w:lang w:val="fr-FR"/>
        </w:rPr>
        <w:t>30</w:t>
      </w:r>
      <w:r w:rsidR="001E07F6">
        <w:rPr>
          <w:b/>
          <w:lang w:val="fr-FR"/>
        </w:rPr>
        <w:t> </w:t>
      </w:r>
      <w:r w:rsidRPr="005B3905">
        <w:rPr>
          <w:b/>
          <w:lang w:val="fr-FR"/>
        </w:rPr>
        <w:t>:</w:t>
      </w:r>
    </w:p>
    <w:p w:rsidR="00264BE0" w:rsidRPr="005B3905" w:rsidRDefault="00264BE0" w:rsidP="00264BE0">
      <w:pPr>
        <w:pStyle w:val="SingleTxtG"/>
        <w:ind w:left="2268"/>
        <w:rPr>
          <w:lang w:val="fr-FR"/>
        </w:rPr>
      </w:pPr>
      <w:r w:rsidRPr="007272D4">
        <w:rPr>
          <w:spacing w:val="-2"/>
          <w:lang w:val="fr-FR"/>
        </w:rPr>
        <w:t>Complément 17 à la série 02 d’amendements</w:t>
      </w:r>
      <w:r w:rsidR="001E07F6">
        <w:rPr>
          <w:spacing w:val="-2"/>
          <w:lang w:val="fr-FR"/>
        </w:rPr>
        <w:t> </w:t>
      </w:r>
      <w:r w:rsidRPr="007272D4">
        <w:rPr>
          <w:spacing w:val="-2"/>
          <w:lang w:val="fr-FR"/>
        </w:rPr>
        <w:t>: document ECE/TRANS/ WP.29/2012/48, tel qu’amendé par le paragraphe 50 du rapport de la 157</w:t>
      </w:r>
      <w:r w:rsidR="001E07F6" w:rsidRPr="001E07F6">
        <w:rPr>
          <w:spacing w:val="-2"/>
          <w:vertAlign w:val="superscript"/>
          <w:lang w:val="fr-FR"/>
        </w:rPr>
        <w:t>e</w:t>
      </w:r>
      <w:r w:rsidR="001E07F6">
        <w:rPr>
          <w:spacing w:val="-2"/>
          <w:lang w:val="fr-FR"/>
        </w:rPr>
        <w:t> </w:t>
      </w:r>
      <w:r w:rsidRPr="007272D4">
        <w:rPr>
          <w:spacing w:val="-2"/>
          <w:lang w:val="fr-FR"/>
        </w:rPr>
        <w:t>session du WP.29 (ECE/TRANS/WP.29/1097</w:t>
      </w:r>
      <w:r w:rsidRPr="005B3905">
        <w:rPr>
          <w:lang w:val="fr-FR"/>
        </w:rPr>
        <w:t>)</w:t>
      </w:r>
      <w:r w:rsidR="001E07F6">
        <w:rPr>
          <w:lang w:val="fr-FR"/>
        </w:rPr>
        <w:t> </w:t>
      </w:r>
      <w:r w:rsidRPr="005B3905">
        <w:rPr>
          <w:lang w:val="fr-FR"/>
        </w:rPr>
        <w:t>;</w:t>
      </w:r>
    </w:p>
    <w:p w:rsidR="00264BE0" w:rsidRPr="005B3905" w:rsidRDefault="00264BE0" w:rsidP="00264BE0">
      <w:pPr>
        <w:pStyle w:val="SingleTxtG"/>
        <w:ind w:left="2268" w:hanging="567"/>
        <w:rPr>
          <w:lang w:val="fr-FR" w:eastAsia="ko-KR"/>
        </w:rPr>
      </w:pPr>
      <w:r w:rsidRPr="005B3905">
        <w:rPr>
          <w:lang w:val="fr-FR" w:eastAsia="ko-KR"/>
        </w:rPr>
        <w:t>ix)</w:t>
      </w:r>
      <w:r w:rsidRPr="005B3905">
        <w:rPr>
          <w:lang w:val="fr-FR" w:eastAsia="ko-KR"/>
        </w:rPr>
        <w:tab/>
      </w:r>
      <w:r w:rsidRPr="007272D4">
        <w:rPr>
          <w:lang w:val="fr-FR" w:eastAsia="ko-KR"/>
        </w:rPr>
        <w:t>Ajout de nouvelles prescriptions relatives à la résistance au roulement (nouvelle sect</w:t>
      </w:r>
      <w:r w:rsidR="00D47D64">
        <w:rPr>
          <w:lang w:val="fr-FR" w:eastAsia="ko-KR"/>
        </w:rPr>
        <w:t>ion </w:t>
      </w:r>
      <w:r w:rsidRPr="007272D4">
        <w:rPr>
          <w:lang w:val="fr-FR" w:eastAsia="ko-KR"/>
        </w:rPr>
        <w:t>3.22</w:t>
      </w:r>
      <w:r w:rsidRPr="005B3905">
        <w:rPr>
          <w:lang w:val="fr-FR" w:eastAsia="ko-KR"/>
        </w:rPr>
        <w:t>)</w:t>
      </w:r>
      <w:r w:rsidR="001E07F6">
        <w:rPr>
          <w:lang w:val="fr-FR" w:eastAsia="ko-KR"/>
        </w:rPr>
        <w:t> </w:t>
      </w:r>
      <w:r w:rsidRPr="005B3905">
        <w:rPr>
          <w:lang w:val="fr-FR" w:eastAsia="ko-KR"/>
        </w:rPr>
        <w:t>:</w:t>
      </w:r>
    </w:p>
    <w:p w:rsidR="00264BE0" w:rsidRPr="005B3905" w:rsidRDefault="00264BE0" w:rsidP="00264BE0">
      <w:pPr>
        <w:pStyle w:val="SingleTxtG"/>
        <w:ind w:left="2268"/>
        <w:rPr>
          <w:b/>
          <w:lang w:val="fr-FR"/>
        </w:rPr>
      </w:pPr>
      <w:r w:rsidRPr="007272D4">
        <w:rPr>
          <w:b/>
          <w:lang w:val="fr-FR"/>
        </w:rPr>
        <w:t xml:space="preserve">Règlement </w:t>
      </w:r>
      <w:r w:rsidR="001E07F6" w:rsidRPr="001E07F6">
        <w:rPr>
          <w:rFonts w:eastAsia="MS Mincho"/>
          <w:b/>
          <w:spacing w:val="-2"/>
          <w:szCs w:val="22"/>
          <w:lang w:val="fr-FR"/>
        </w:rPr>
        <w:t>n</w:t>
      </w:r>
      <w:r w:rsidR="001E07F6" w:rsidRPr="001E07F6">
        <w:rPr>
          <w:rFonts w:eastAsia="MS Mincho"/>
          <w:b/>
          <w:spacing w:val="-2"/>
          <w:szCs w:val="22"/>
          <w:vertAlign w:val="superscript"/>
          <w:lang w:val="fr-FR"/>
        </w:rPr>
        <w:t>o</w:t>
      </w:r>
      <w:r w:rsidR="001E07F6" w:rsidRPr="001E07F6">
        <w:rPr>
          <w:b/>
          <w:spacing w:val="-2"/>
          <w:lang w:val="fr-FR"/>
        </w:rPr>
        <w:t> </w:t>
      </w:r>
      <w:r w:rsidRPr="007272D4">
        <w:rPr>
          <w:b/>
          <w:lang w:val="fr-FR"/>
        </w:rPr>
        <w:t>117</w:t>
      </w:r>
      <w:r w:rsidR="001E07F6">
        <w:rPr>
          <w:b/>
          <w:lang w:val="fr-FR"/>
        </w:rPr>
        <w:t> </w:t>
      </w:r>
      <w:r w:rsidRPr="005B3905">
        <w:rPr>
          <w:b/>
          <w:lang w:val="fr-FR"/>
        </w:rPr>
        <w:t>:</w:t>
      </w:r>
    </w:p>
    <w:p w:rsidR="00264BE0" w:rsidRPr="005B3905" w:rsidRDefault="00264BE0" w:rsidP="00264BE0">
      <w:pPr>
        <w:pStyle w:val="SingleTxtG"/>
        <w:ind w:left="2268"/>
        <w:rPr>
          <w:lang w:val="fr-FR"/>
        </w:rPr>
      </w:pPr>
      <w:r w:rsidRPr="007272D4">
        <w:rPr>
          <w:lang w:val="fr-FR"/>
        </w:rPr>
        <w:t>Série 02 d’amendements</w:t>
      </w:r>
      <w:r w:rsidR="001E07F6">
        <w:rPr>
          <w:lang w:val="fr-FR"/>
        </w:rPr>
        <w:t> </w:t>
      </w:r>
      <w:r w:rsidRPr="007272D4">
        <w:rPr>
          <w:lang w:val="fr-FR"/>
        </w:rPr>
        <w:t>: document ECE/TRANS/WP.29/2010/63, tel qu’amendé par le paragraphe 45 du rapport de la 151</w:t>
      </w:r>
      <w:r w:rsidR="001E07F6" w:rsidRPr="001E07F6">
        <w:rPr>
          <w:vertAlign w:val="superscript"/>
          <w:lang w:val="fr-FR"/>
        </w:rPr>
        <w:t>e</w:t>
      </w:r>
      <w:r w:rsidR="001E07F6">
        <w:rPr>
          <w:lang w:val="fr-FR"/>
        </w:rPr>
        <w:t> </w:t>
      </w:r>
      <w:r w:rsidRPr="007272D4">
        <w:rPr>
          <w:lang w:val="fr-FR"/>
        </w:rPr>
        <w:t>session du WP.29 (ECE/TRANS/WP.29/1085</w:t>
      </w:r>
      <w:r w:rsidRPr="005B3905">
        <w:rPr>
          <w:lang w:val="fr-FR"/>
        </w:rPr>
        <w:t>)</w:t>
      </w:r>
      <w:r w:rsidR="001E07F6">
        <w:rPr>
          <w:lang w:val="fr-FR"/>
        </w:rPr>
        <w:t> </w:t>
      </w:r>
      <w:r w:rsidRPr="005B3905">
        <w:rPr>
          <w:lang w:val="fr-FR"/>
        </w:rPr>
        <w:t>;</w:t>
      </w:r>
    </w:p>
    <w:p w:rsidR="00264BE0" w:rsidRPr="005B3905" w:rsidRDefault="00264BE0" w:rsidP="00264BE0">
      <w:pPr>
        <w:pStyle w:val="SingleTxtG"/>
        <w:ind w:left="2268"/>
        <w:rPr>
          <w:lang w:val="fr-FR"/>
        </w:rPr>
      </w:pPr>
      <w:r w:rsidRPr="007272D4">
        <w:rPr>
          <w:lang w:val="fr-FR"/>
        </w:rPr>
        <w:t>Complément 1 à la série 02 d’amendements</w:t>
      </w:r>
      <w:r w:rsidR="001E07F6">
        <w:rPr>
          <w:lang w:val="fr-FR"/>
        </w:rPr>
        <w:t> </w:t>
      </w:r>
      <w:r w:rsidRPr="007272D4">
        <w:rPr>
          <w:lang w:val="fr-FR"/>
        </w:rPr>
        <w:t>: document ECE/TRANS/ WP.29/2012/6, adopté à la 156</w:t>
      </w:r>
      <w:r w:rsidR="001E07F6" w:rsidRPr="001E07F6">
        <w:rPr>
          <w:vertAlign w:val="superscript"/>
          <w:lang w:val="fr-FR"/>
        </w:rPr>
        <w:t>e</w:t>
      </w:r>
      <w:r w:rsidR="001E07F6">
        <w:rPr>
          <w:lang w:val="fr-FR"/>
        </w:rPr>
        <w:t> </w:t>
      </w:r>
      <w:r w:rsidRPr="007272D4">
        <w:rPr>
          <w:lang w:val="fr-FR"/>
        </w:rPr>
        <w:t>session du WP.29 (ECE/TRANS/</w:t>
      </w:r>
      <w:r w:rsidR="001E07F6">
        <w:rPr>
          <w:lang w:val="fr-FR"/>
        </w:rPr>
        <w:br/>
      </w:r>
      <w:r w:rsidRPr="007272D4">
        <w:rPr>
          <w:lang w:val="fr-FR"/>
        </w:rPr>
        <w:t>WP.29/1095</w:t>
      </w:r>
      <w:r w:rsidRPr="005B3905">
        <w:rPr>
          <w:lang w:val="fr-FR"/>
        </w:rPr>
        <w:t>)</w:t>
      </w:r>
      <w:r w:rsidR="001E07F6">
        <w:rPr>
          <w:lang w:val="fr-FR"/>
        </w:rPr>
        <w:t> </w:t>
      </w:r>
      <w:r w:rsidRPr="005B3905">
        <w:rPr>
          <w:lang w:val="fr-FR"/>
        </w:rPr>
        <w:t>;</w:t>
      </w:r>
    </w:p>
    <w:p w:rsidR="00264BE0" w:rsidRPr="005B3905" w:rsidRDefault="00264BE0" w:rsidP="00264BE0">
      <w:pPr>
        <w:pStyle w:val="SingleTxtG"/>
        <w:ind w:left="2268"/>
        <w:rPr>
          <w:lang w:val="fr-FR"/>
        </w:rPr>
      </w:pPr>
      <w:r w:rsidRPr="007272D4">
        <w:rPr>
          <w:lang w:val="fr-FR"/>
        </w:rPr>
        <w:t>Complémen</w:t>
      </w:r>
      <w:r w:rsidR="001E07F6">
        <w:rPr>
          <w:lang w:val="fr-FR"/>
        </w:rPr>
        <w:t>t 2 à la série 02 d’amendements </w:t>
      </w:r>
      <w:r w:rsidRPr="007272D4">
        <w:rPr>
          <w:lang w:val="fr-FR"/>
        </w:rPr>
        <w:t>: documents ECE/TRANS/ WP.29/2012/54 et ECE/TRANS/WP.29/2012/55, tels qu’amendés par le paragraphe 63 du rapport de la 158</w:t>
      </w:r>
      <w:r w:rsidR="001E07F6" w:rsidRPr="001E07F6">
        <w:rPr>
          <w:vertAlign w:val="superscript"/>
          <w:lang w:val="fr-FR"/>
        </w:rPr>
        <w:t>e</w:t>
      </w:r>
      <w:r w:rsidR="001E07F6">
        <w:rPr>
          <w:lang w:val="fr-FR"/>
        </w:rPr>
        <w:t> </w:t>
      </w:r>
      <w:r w:rsidRPr="007272D4">
        <w:rPr>
          <w:lang w:val="fr-FR"/>
        </w:rPr>
        <w:t>session du WP.29 (ECE/TRANS/</w:t>
      </w:r>
      <w:r w:rsidR="001E07F6">
        <w:rPr>
          <w:lang w:val="fr-FR"/>
        </w:rPr>
        <w:br/>
      </w:r>
      <w:r w:rsidRPr="007272D4">
        <w:rPr>
          <w:lang w:val="fr-FR"/>
        </w:rPr>
        <w:t>WP.29/1099</w:t>
      </w:r>
      <w:r w:rsidRPr="005B3905">
        <w:rPr>
          <w:lang w:val="fr-FR"/>
        </w:rPr>
        <w:t>)</w:t>
      </w:r>
      <w:r w:rsidR="001E07F6">
        <w:rPr>
          <w:lang w:val="fr-FR"/>
        </w:rPr>
        <w:t> </w:t>
      </w:r>
      <w:r w:rsidRPr="005B3905">
        <w:rPr>
          <w:lang w:val="fr-FR"/>
        </w:rPr>
        <w:t>;</w:t>
      </w:r>
    </w:p>
    <w:p w:rsidR="00264BE0" w:rsidRPr="005B3905" w:rsidRDefault="00264BE0" w:rsidP="00264BE0">
      <w:pPr>
        <w:pStyle w:val="SingleTxtG"/>
        <w:ind w:left="2268"/>
        <w:rPr>
          <w:lang w:val="fr-FR"/>
        </w:rPr>
      </w:pPr>
      <w:r w:rsidRPr="007272D4">
        <w:rPr>
          <w:lang w:val="fr-FR"/>
        </w:rPr>
        <w:lastRenderedPageBreak/>
        <w:t>Complément 3 à la série 02 d’amendements : document ECE/TRANS/ WP.29/2013/7, adopté à la 159</w:t>
      </w:r>
      <w:r w:rsidR="001E07F6" w:rsidRPr="001E07F6">
        <w:rPr>
          <w:vertAlign w:val="superscript"/>
          <w:lang w:val="fr-FR"/>
        </w:rPr>
        <w:t>e</w:t>
      </w:r>
      <w:r w:rsidR="001E07F6">
        <w:rPr>
          <w:lang w:val="fr-FR"/>
        </w:rPr>
        <w:t> </w:t>
      </w:r>
      <w:r w:rsidRPr="007272D4">
        <w:rPr>
          <w:lang w:val="fr-FR"/>
        </w:rPr>
        <w:t>session du WP.29 (ECE/TRANS/ WP.29/1102</w:t>
      </w:r>
      <w:r w:rsidRPr="005B3905">
        <w:rPr>
          <w:lang w:val="fr-FR"/>
        </w:rPr>
        <w:t>)</w:t>
      </w:r>
      <w:r w:rsidR="001E07F6">
        <w:rPr>
          <w:lang w:val="fr-FR"/>
        </w:rPr>
        <w:t> </w:t>
      </w:r>
      <w:r w:rsidRPr="005B3905">
        <w:rPr>
          <w:lang w:val="fr-FR"/>
        </w:rPr>
        <w:t>;</w:t>
      </w:r>
    </w:p>
    <w:p w:rsidR="00264BE0" w:rsidRPr="005B3905" w:rsidRDefault="00264BE0" w:rsidP="00264BE0">
      <w:pPr>
        <w:pStyle w:val="SingleTxtG"/>
        <w:ind w:left="2268"/>
        <w:rPr>
          <w:lang w:val="fr-FR"/>
        </w:rPr>
      </w:pPr>
      <w:r w:rsidRPr="00D96526">
        <w:rPr>
          <w:lang w:val="fr-FR"/>
        </w:rPr>
        <w:t>Complément 7 à la série 02 d’amendements : document ECE/TRANS/ WP.29/2015/5, adopté à la 165</w:t>
      </w:r>
      <w:r w:rsidR="001E07F6" w:rsidRPr="001E07F6">
        <w:rPr>
          <w:vertAlign w:val="superscript"/>
          <w:lang w:val="fr-FR"/>
        </w:rPr>
        <w:t>e</w:t>
      </w:r>
      <w:r w:rsidR="001E07F6">
        <w:rPr>
          <w:lang w:val="fr-FR"/>
        </w:rPr>
        <w:t> </w:t>
      </w:r>
      <w:r w:rsidRPr="00D96526">
        <w:rPr>
          <w:lang w:val="fr-FR"/>
        </w:rPr>
        <w:t>session du WP.29 (ECE/TRANS/</w:t>
      </w:r>
      <w:r w:rsidR="001E07F6">
        <w:rPr>
          <w:lang w:val="fr-FR"/>
        </w:rPr>
        <w:br/>
      </w:r>
      <w:r w:rsidRPr="00D96526">
        <w:rPr>
          <w:lang w:val="fr-FR"/>
        </w:rPr>
        <w:t>WP.29/1114</w:t>
      </w:r>
      <w:r w:rsidRPr="005B3905">
        <w:rPr>
          <w:lang w:val="fr-FR"/>
        </w:rPr>
        <w:t>)</w:t>
      </w:r>
      <w:r w:rsidR="001E07F6">
        <w:rPr>
          <w:lang w:val="fr-FR"/>
        </w:rPr>
        <w:t> </w:t>
      </w:r>
      <w:r w:rsidRPr="005B3905">
        <w:rPr>
          <w:lang w:val="fr-FR"/>
        </w:rPr>
        <w:t>;</w:t>
      </w:r>
    </w:p>
    <w:p w:rsidR="00264BE0" w:rsidRPr="005B3905" w:rsidRDefault="00264BE0" w:rsidP="00264BE0">
      <w:pPr>
        <w:pStyle w:val="SingleTxtG"/>
        <w:ind w:left="1701"/>
        <w:rPr>
          <w:lang w:val="fr-FR" w:eastAsia="ko-KR"/>
        </w:rPr>
      </w:pPr>
      <w:r w:rsidRPr="005B3905">
        <w:rPr>
          <w:lang w:val="fr-FR" w:eastAsia="ko-KR"/>
        </w:rPr>
        <w:t>x)</w:t>
      </w:r>
      <w:r w:rsidRPr="005B3905">
        <w:rPr>
          <w:lang w:val="fr-FR" w:eastAsia="ko-KR"/>
        </w:rPr>
        <w:tab/>
      </w:r>
      <w:r w:rsidRPr="00D96526">
        <w:rPr>
          <w:lang w:val="fr-FR" w:eastAsia="ko-KR"/>
        </w:rPr>
        <w:t>Ajout de nouvelles prescriptions relatives aux critères de qualification des pneumatiques pour une utilisation sur routes très fortement enneigées (nouvelle section 3.23</w:t>
      </w:r>
      <w:r w:rsidRPr="005B3905">
        <w:rPr>
          <w:lang w:val="fr-FR" w:eastAsia="ko-KR"/>
        </w:rPr>
        <w:t>)</w:t>
      </w:r>
      <w:r w:rsidR="001E07F6">
        <w:rPr>
          <w:lang w:val="fr-FR" w:eastAsia="ko-KR"/>
        </w:rPr>
        <w:t> </w:t>
      </w:r>
      <w:r w:rsidRPr="005B3905">
        <w:rPr>
          <w:lang w:val="fr-FR" w:eastAsia="ko-KR"/>
        </w:rPr>
        <w:t>:</w:t>
      </w:r>
    </w:p>
    <w:p w:rsidR="00264BE0" w:rsidRPr="005B3905" w:rsidRDefault="00264BE0" w:rsidP="00264BE0">
      <w:pPr>
        <w:pStyle w:val="SingleTxtG"/>
        <w:ind w:left="2268"/>
        <w:rPr>
          <w:b/>
          <w:lang w:val="fr-FR"/>
        </w:rPr>
      </w:pPr>
      <w:r w:rsidRPr="00D96526">
        <w:rPr>
          <w:b/>
          <w:lang w:val="fr-FR"/>
        </w:rPr>
        <w:t xml:space="preserve">Règlement </w:t>
      </w:r>
      <w:r w:rsidR="001E07F6" w:rsidRPr="001E07F6">
        <w:rPr>
          <w:rFonts w:eastAsia="MS Mincho"/>
          <w:b/>
          <w:spacing w:val="-2"/>
          <w:szCs w:val="22"/>
          <w:lang w:val="fr-FR"/>
        </w:rPr>
        <w:t>n</w:t>
      </w:r>
      <w:r w:rsidR="001E07F6" w:rsidRPr="001E07F6">
        <w:rPr>
          <w:rFonts w:eastAsia="MS Mincho"/>
          <w:b/>
          <w:spacing w:val="-2"/>
          <w:szCs w:val="22"/>
          <w:vertAlign w:val="superscript"/>
          <w:lang w:val="fr-FR"/>
        </w:rPr>
        <w:t>o</w:t>
      </w:r>
      <w:r w:rsidR="001E07F6" w:rsidRPr="001E07F6">
        <w:rPr>
          <w:b/>
          <w:spacing w:val="-2"/>
          <w:lang w:val="fr-FR"/>
        </w:rPr>
        <w:t> </w:t>
      </w:r>
      <w:r w:rsidRPr="00D96526">
        <w:rPr>
          <w:b/>
          <w:lang w:val="fr-FR"/>
        </w:rPr>
        <w:t>117</w:t>
      </w:r>
      <w:r w:rsidR="001E07F6">
        <w:rPr>
          <w:b/>
          <w:lang w:val="fr-FR"/>
        </w:rPr>
        <w:t> </w:t>
      </w:r>
      <w:r w:rsidRPr="005B3905">
        <w:rPr>
          <w:b/>
          <w:lang w:val="fr-FR"/>
        </w:rPr>
        <w:t>:</w:t>
      </w:r>
    </w:p>
    <w:p w:rsidR="00264BE0" w:rsidRPr="005B3905" w:rsidRDefault="00264BE0" w:rsidP="00264BE0">
      <w:pPr>
        <w:pStyle w:val="SingleTxtG"/>
        <w:ind w:left="2268"/>
        <w:rPr>
          <w:lang w:val="fr-FR"/>
        </w:rPr>
      </w:pPr>
      <w:r w:rsidRPr="00D96526">
        <w:rPr>
          <w:lang w:val="fr-FR"/>
        </w:rPr>
        <w:t>Complémen</w:t>
      </w:r>
      <w:r w:rsidR="001E07F6">
        <w:rPr>
          <w:lang w:val="fr-FR"/>
        </w:rPr>
        <w:t>t 1 à la série 02 d’amendements </w:t>
      </w:r>
      <w:r w:rsidRPr="00D96526">
        <w:rPr>
          <w:lang w:val="fr-FR"/>
        </w:rPr>
        <w:t>: document ECE/TRANS/ WP.29/2012/2, tel qu’amendé par le paragraphe 65 du rapport de la 156</w:t>
      </w:r>
      <w:r w:rsidR="001E07F6" w:rsidRPr="001E07F6">
        <w:rPr>
          <w:vertAlign w:val="superscript"/>
          <w:lang w:val="fr-FR"/>
        </w:rPr>
        <w:t>e</w:t>
      </w:r>
      <w:r w:rsidR="001E07F6">
        <w:rPr>
          <w:lang w:val="fr-FR"/>
        </w:rPr>
        <w:t> </w:t>
      </w:r>
      <w:r w:rsidRPr="00D96526">
        <w:rPr>
          <w:lang w:val="fr-FR"/>
        </w:rPr>
        <w:t>session du WP.29 (ECE/TRANS/WP.29/1095</w:t>
      </w:r>
      <w:r w:rsidRPr="005B3905">
        <w:rPr>
          <w:lang w:val="fr-FR"/>
        </w:rPr>
        <w:t>)</w:t>
      </w:r>
      <w:r w:rsidR="001E07F6">
        <w:rPr>
          <w:lang w:val="fr-FR"/>
        </w:rPr>
        <w:t> </w:t>
      </w:r>
      <w:r w:rsidRPr="005B3905">
        <w:rPr>
          <w:lang w:val="fr-FR"/>
        </w:rPr>
        <w:t>;</w:t>
      </w:r>
    </w:p>
    <w:p w:rsidR="00264BE0" w:rsidRPr="005B3905" w:rsidRDefault="00264BE0" w:rsidP="00264BE0">
      <w:pPr>
        <w:pStyle w:val="SingleTxtG"/>
        <w:ind w:left="2268"/>
        <w:rPr>
          <w:lang w:val="fr-FR"/>
        </w:rPr>
      </w:pPr>
      <w:r w:rsidRPr="00D96526">
        <w:rPr>
          <w:lang w:val="fr-FR"/>
        </w:rPr>
        <w:t>Complément 2 à la série 02 d’amendements</w:t>
      </w:r>
      <w:r w:rsidR="001E07F6">
        <w:rPr>
          <w:lang w:val="fr-FR"/>
        </w:rPr>
        <w:t> </w:t>
      </w:r>
      <w:r w:rsidRPr="00D96526">
        <w:rPr>
          <w:lang w:val="fr-FR"/>
        </w:rPr>
        <w:t>: document ECE/TRANS/ WP.29/2012/54, tel qu’amendé par le paragraphe 63 du rapport de la 158</w:t>
      </w:r>
      <w:r w:rsidR="001E07F6" w:rsidRPr="001E07F6">
        <w:rPr>
          <w:vertAlign w:val="superscript"/>
          <w:lang w:val="fr-FR"/>
        </w:rPr>
        <w:t>e</w:t>
      </w:r>
      <w:r w:rsidR="001E07F6">
        <w:rPr>
          <w:lang w:val="fr-FR"/>
        </w:rPr>
        <w:t> </w:t>
      </w:r>
      <w:r w:rsidRPr="00D96526">
        <w:rPr>
          <w:lang w:val="fr-FR"/>
        </w:rPr>
        <w:t>session du WP.29 (ECE/TRANS/WP.29/1099</w:t>
      </w:r>
      <w:r w:rsidRPr="005B3905">
        <w:rPr>
          <w:lang w:val="fr-FR"/>
        </w:rPr>
        <w:t>)</w:t>
      </w:r>
      <w:r w:rsidR="001E07F6">
        <w:rPr>
          <w:lang w:val="fr-FR"/>
        </w:rPr>
        <w:t> </w:t>
      </w:r>
      <w:r w:rsidRPr="005B3905">
        <w:rPr>
          <w:lang w:val="fr-FR"/>
        </w:rPr>
        <w:t>;</w:t>
      </w:r>
    </w:p>
    <w:p w:rsidR="00264BE0" w:rsidRPr="005B3905" w:rsidRDefault="00264BE0" w:rsidP="00264BE0">
      <w:pPr>
        <w:pStyle w:val="SingleTxtG"/>
        <w:ind w:left="2268"/>
        <w:rPr>
          <w:lang w:val="fr-FR"/>
        </w:rPr>
      </w:pPr>
      <w:r w:rsidRPr="00D96526">
        <w:rPr>
          <w:lang w:val="fr-FR"/>
        </w:rPr>
        <w:t>Complément 5 à la série 02 d’amendements : document ECE/TRANS/ WP.29/2013/59, adopté à la 161</w:t>
      </w:r>
      <w:r w:rsidR="001E07F6" w:rsidRPr="001E07F6">
        <w:rPr>
          <w:vertAlign w:val="superscript"/>
          <w:lang w:val="fr-FR"/>
        </w:rPr>
        <w:t>e</w:t>
      </w:r>
      <w:r w:rsidR="001E07F6">
        <w:rPr>
          <w:lang w:val="fr-FR"/>
        </w:rPr>
        <w:t> </w:t>
      </w:r>
      <w:r w:rsidRPr="00D96526">
        <w:rPr>
          <w:lang w:val="fr-FR"/>
        </w:rPr>
        <w:t>session du WP.29 (ECE/TRANS/</w:t>
      </w:r>
      <w:r w:rsidR="001E07F6">
        <w:rPr>
          <w:lang w:val="fr-FR"/>
        </w:rPr>
        <w:br/>
      </w:r>
      <w:r w:rsidRPr="00D96526">
        <w:rPr>
          <w:lang w:val="fr-FR"/>
        </w:rPr>
        <w:t>WP.29/1106</w:t>
      </w:r>
      <w:r w:rsidRPr="005B3905">
        <w:rPr>
          <w:lang w:val="fr-FR"/>
        </w:rPr>
        <w:t>)</w:t>
      </w:r>
      <w:r w:rsidR="001E07F6">
        <w:rPr>
          <w:lang w:val="fr-FR"/>
        </w:rPr>
        <w:t> </w:t>
      </w:r>
      <w:r w:rsidRPr="005B3905">
        <w:rPr>
          <w:lang w:val="fr-FR"/>
        </w:rPr>
        <w:t>;</w:t>
      </w:r>
    </w:p>
    <w:p w:rsidR="00264BE0" w:rsidRPr="005B3905" w:rsidRDefault="00264BE0" w:rsidP="00264BE0">
      <w:pPr>
        <w:pStyle w:val="SingleTxtG"/>
        <w:ind w:left="2268"/>
        <w:rPr>
          <w:lang w:val="fr-FR"/>
        </w:rPr>
      </w:pPr>
      <w:r w:rsidRPr="00D96526">
        <w:rPr>
          <w:lang w:val="fr-FR"/>
        </w:rPr>
        <w:t>Complément 7 à la série 02 d’amendements</w:t>
      </w:r>
      <w:r w:rsidR="001E07F6">
        <w:rPr>
          <w:lang w:val="fr-FR"/>
        </w:rPr>
        <w:t> </w:t>
      </w:r>
      <w:r w:rsidRPr="00D96526">
        <w:rPr>
          <w:lang w:val="fr-FR"/>
        </w:rPr>
        <w:t>: document ECE/TRANS/ WP.29/2015/5, adopté à la 165</w:t>
      </w:r>
      <w:r w:rsidR="001E07F6" w:rsidRPr="001E07F6">
        <w:rPr>
          <w:vertAlign w:val="superscript"/>
          <w:lang w:val="fr-FR"/>
        </w:rPr>
        <w:t>e</w:t>
      </w:r>
      <w:r w:rsidR="001E07F6">
        <w:rPr>
          <w:lang w:val="fr-FR"/>
        </w:rPr>
        <w:t> </w:t>
      </w:r>
      <w:r w:rsidRPr="00D96526">
        <w:rPr>
          <w:lang w:val="fr-FR"/>
        </w:rPr>
        <w:t>session du WP.29 (ECE/TRANS/</w:t>
      </w:r>
      <w:r w:rsidR="001E07F6">
        <w:rPr>
          <w:lang w:val="fr-FR"/>
        </w:rPr>
        <w:br/>
      </w:r>
      <w:r w:rsidRPr="00D96526">
        <w:rPr>
          <w:lang w:val="fr-FR"/>
        </w:rPr>
        <w:t>WP.29/1114</w:t>
      </w:r>
      <w:r w:rsidRPr="005B3905">
        <w:rPr>
          <w:lang w:val="fr-FR"/>
        </w:rPr>
        <w:t>)</w:t>
      </w:r>
      <w:r w:rsidR="001E07F6">
        <w:rPr>
          <w:lang w:val="fr-FR"/>
        </w:rPr>
        <w:t> </w:t>
      </w:r>
      <w:r w:rsidRPr="005B3905">
        <w:rPr>
          <w:lang w:val="fr-FR"/>
        </w:rPr>
        <w:t>;</w:t>
      </w:r>
    </w:p>
    <w:p w:rsidR="00264BE0" w:rsidRPr="005B3905" w:rsidRDefault="00264BE0" w:rsidP="001E07F6">
      <w:pPr>
        <w:pStyle w:val="SingleTxtG"/>
        <w:ind w:left="2268" w:hanging="567"/>
        <w:rPr>
          <w:noProof/>
          <w:lang w:val="fr-FR"/>
        </w:rPr>
      </w:pPr>
      <w:r w:rsidRPr="005B3905">
        <w:rPr>
          <w:noProof/>
          <w:lang w:val="fr-FR"/>
        </w:rPr>
        <w:t>xi)</w:t>
      </w:r>
      <w:r w:rsidRPr="005B3905">
        <w:rPr>
          <w:noProof/>
          <w:lang w:val="fr-FR"/>
        </w:rPr>
        <w:tab/>
        <w:t xml:space="preserve">Modifications </w:t>
      </w:r>
      <w:r>
        <w:rPr>
          <w:lang w:val="fr-FR" w:eastAsia="ko-KR"/>
        </w:rPr>
        <w:t>apportées aux</w:t>
      </w:r>
      <w:r w:rsidRPr="00D96526">
        <w:rPr>
          <w:lang w:val="fr-FR" w:eastAsia="ko-KR"/>
        </w:rPr>
        <w:t xml:space="preserve"> annexes</w:t>
      </w:r>
      <w:r w:rsidR="001E07F6">
        <w:rPr>
          <w:lang w:val="fr-FR" w:eastAsia="ko-KR"/>
        </w:rPr>
        <w:t> </w:t>
      </w:r>
      <w:r w:rsidRPr="005B3905">
        <w:rPr>
          <w:noProof/>
          <w:lang w:val="fr-FR"/>
        </w:rPr>
        <w:t>:</w:t>
      </w:r>
    </w:p>
    <w:p w:rsidR="00264BE0" w:rsidRPr="005B3905" w:rsidRDefault="00264BE0" w:rsidP="001E07F6">
      <w:pPr>
        <w:pStyle w:val="SingleTxtG"/>
        <w:ind w:left="2268"/>
        <w:rPr>
          <w:lang w:val="fr-FR"/>
        </w:rPr>
      </w:pPr>
      <w:r w:rsidRPr="00D96526">
        <w:rPr>
          <w:b/>
          <w:lang w:val="fr-FR"/>
        </w:rPr>
        <w:t>L’annexe</w:t>
      </w:r>
      <w:r w:rsidR="00967D2D">
        <w:rPr>
          <w:b/>
          <w:lang w:val="fr-FR"/>
        </w:rPr>
        <w:t> </w:t>
      </w:r>
      <w:r w:rsidRPr="00D96526">
        <w:rPr>
          <w:b/>
          <w:lang w:val="fr-FR"/>
        </w:rPr>
        <w:t xml:space="preserve">7 </w:t>
      </w:r>
      <w:r w:rsidRPr="00D96526">
        <w:rPr>
          <w:lang w:val="fr-FR"/>
        </w:rPr>
        <w:t>(Désignation et cotes d’encombrement des pneumatiques) est devenue l’annexe</w:t>
      </w:r>
      <w:r w:rsidR="00967D2D">
        <w:rPr>
          <w:lang w:val="fr-FR"/>
        </w:rPr>
        <w:t> </w:t>
      </w:r>
      <w:r w:rsidRPr="00D96526">
        <w:rPr>
          <w:lang w:val="fr-FR"/>
        </w:rPr>
        <w:t>6 par décision prise à la quatre-vingtième session du GRRF</w:t>
      </w:r>
      <w:r w:rsidR="00967D2D">
        <w:rPr>
          <w:lang w:val="fr-FR"/>
        </w:rPr>
        <w:t>.</w:t>
      </w:r>
    </w:p>
    <w:p w:rsidR="00264BE0" w:rsidRPr="005B3905" w:rsidRDefault="00264BE0" w:rsidP="00264BE0">
      <w:pPr>
        <w:pStyle w:val="SingleTxtG"/>
        <w:ind w:left="2268"/>
        <w:rPr>
          <w:lang w:val="fr-FR"/>
        </w:rPr>
      </w:pPr>
      <w:r w:rsidRPr="005B3905">
        <w:rPr>
          <w:b/>
          <w:lang w:val="fr-FR"/>
        </w:rPr>
        <w:t>Annex</w:t>
      </w:r>
      <w:r>
        <w:rPr>
          <w:b/>
          <w:lang w:val="fr-FR"/>
        </w:rPr>
        <w:t>e</w:t>
      </w:r>
      <w:r w:rsidR="001E07F6">
        <w:rPr>
          <w:b/>
          <w:lang w:val="fr-FR"/>
        </w:rPr>
        <w:t> </w:t>
      </w:r>
      <w:r w:rsidRPr="005B3905">
        <w:rPr>
          <w:b/>
          <w:lang w:val="fr-FR"/>
        </w:rPr>
        <w:t>6</w:t>
      </w:r>
      <w:r w:rsidRPr="005B3905">
        <w:rPr>
          <w:lang w:val="fr-FR"/>
        </w:rPr>
        <w:t xml:space="preserve"> </w:t>
      </w:r>
      <w:r>
        <w:rPr>
          <w:lang w:val="fr-FR"/>
        </w:rPr>
        <w:t>(</w:t>
      </w:r>
      <w:r w:rsidRPr="00D96526">
        <w:rPr>
          <w:lang w:val="fr-FR"/>
        </w:rPr>
        <w:t>Désignation et cotes d’encombrement des pneumatiques</w:t>
      </w:r>
      <w:r>
        <w:rPr>
          <w:lang w:val="fr-FR"/>
        </w:rPr>
        <w:t>)</w:t>
      </w:r>
      <w:r w:rsidR="00967D2D">
        <w:rPr>
          <w:lang w:val="fr-FR"/>
        </w:rPr>
        <w:t> :</w:t>
      </w:r>
    </w:p>
    <w:p w:rsidR="00264BE0" w:rsidRPr="005B3905" w:rsidRDefault="00264BE0" w:rsidP="00264BE0">
      <w:pPr>
        <w:pStyle w:val="SingleTxtG"/>
        <w:ind w:left="2268"/>
        <w:rPr>
          <w:lang w:val="fr-FR"/>
        </w:rPr>
      </w:pPr>
      <w:r w:rsidRPr="00D96526">
        <w:rPr>
          <w:lang w:val="fr-FR"/>
        </w:rPr>
        <w:t xml:space="preserve">Complément 20 à la série 00 d’amendements au Règlement </w:t>
      </w:r>
      <w:r w:rsidR="001E07F6" w:rsidRPr="001E07F6">
        <w:rPr>
          <w:rFonts w:eastAsia="MS Mincho"/>
          <w:spacing w:val="-2"/>
          <w:szCs w:val="22"/>
          <w:lang w:val="fr-FR"/>
        </w:rPr>
        <w:t>n</w:t>
      </w:r>
      <w:r w:rsidR="001E07F6" w:rsidRPr="001E07F6">
        <w:rPr>
          <w:rFonts w:eastAsia="MS Mincho"/>
          <w:spacing w:val="-2"/>
          <w:szCs w:val="22"/>
          <w:vertAlign w:val="superscript"/>
          <w:lang w:val="fr-FR"/>
        </w:rPr>
        <w:t>o</w:t>
      </w:r>
      <w:r w:rsidR="001E07F6">
        <w:rPr>
          <w:spacing w:val="-2"/>
          <w:lang w:val="fr-FR"/>
        </w:rPr>
        <w:t> </w:t>
      </w:r>
      <w:r w:rsidRPr="00D96526">
        <w:rPr>
          <w:lang w:val="fr-FR"/>
        </w:rPr>
        <w:t>54</w:t>
      </w:r>
      <w:r w:rsidR="001E07F6">
        <w:rPr>
          <w:lang w:val="fr-FR"/>
        </w:rPr>
        <w:t> </w:t>
      </w:r>
      <w:r w:rsidRPr="00D96526">
        <w:rPr>
          <w:lang w:val="fr-FR"/>
        </w:rPr>
        <w:t>: document ECE/TRANS/WP.29/2015/66, adopté à la 166</w:t>
      </w:r>
      <w:r w:rsidR="001E07F6" w:rsidRPr="001E07F6">
        <w:rPr>
          <w:vertAlign w:val="superscript"/>
          <w:lang w:val="fr-FR"/>
        </w:rPr>
        <w:t>e</w:t>
      </w:r>
      <w:r w:rsidR="001E07F6">
        <w:rPr>
          <w:lang w:val="fr-FR"/>
        </w:rPr>
        <w:t> </w:t>
      </w:r>
      <w:r w:rsidRPr="00D96526">
        <w:rPr>
          <w:lang w:val="fr-FR"/>
        </w:rPr>
        <w:t>session du WP.29 (ECE/TRANS/WP.29/1116</w:t>
      </w:r>
      <w:r w:rsidRPr="005B3905">
        <w:rPr>
          <w:lang w:val="fr-FR"/>
        </w:rPr>
        <w:t>)</w:t>
      </w:r>
      <w:r w:rsidR="001E07F6">
        <w:rPr>
          <w:lang w:val="fr-FR"/>
        </w:rPr>
        <w:t> </w:t>
      </w:r>
      <w:r w:rsidRPr="005B3905">
        <w:rPr>
          <w:lang w:val="fr-FR"/>
        </w:rPr>
        <w:t>;</w:t>
      </w:r>
    </w:p>
    <w:p w:rsidR="00264BE0" w:rsidRPr="005B3905" w:rsidRDefault="00264BE0" w:rsidP="00264BE0">
      <w:pPr>
        <w:pStyle w:val="SingleTxtG"/>
        <w:ind w:left="2268"/>
        <w:rPr>
          <w:lang w:val="fr-FR"/>
        </w:rPr>
      </w:pPr>
      <w:r w:rsidRPr="00D96526">
        <w:rPr>
          <w:b/>
          <w:lang w:val="fr-FR"/>
        </w:rPr>
        <w:t>L’annexe</w:t>
      </w:r>
      <w:r w:rsidR="00967D2D">
        <w:rPr>
          <w:b/>
          <w:lang w:val="fr-FR"/>
        </w:rPr>
        <w:t> </w:t>
      </w:r>
      <w:r w:rsidRPr="00D96526">
        <w:rPr>
          <w:b/>
          <w:lang w:val="fr-FR"/>
        </w:rPr>
        <w:t xml:space="preserve">10 </w:t>
      </w:r>
      <w:r w:rsidRPr="00D96526">
        <w:rPr>
          <w:lang w:val="fr-FR"/>
        </w:rPr>
        <w:t>(Organismes de normalisation des pneumatiques) est devenue l’annexe 7 par décision prise à la quatre-vingtième session du GRRF.</w:t>
      </w:r>
    </w:p>
    <w:p w:rsidR="00264BE0" w:rsidRPr="005B3905" w:rsidRDefault="00264BE0" w:rsidP="00264BE0">
      <w:pPr>
        <w:pStyle w:val="SingleTxtG"/>
        <w:ind w:left="2268"/>
        <w:rPr>
          <w:lang w:val="fr-FR"/>
        </w:rPr>
      </w:pPr>
      <w:r w:rsidRPr="00D96526">
        <w:rPr>
          <w:b/>
          <w:lang w:val="fr-FR"/>
        </w:rPr>
        <w:t>L’annexe</w:t>
      </w:r>
      <w:r w:rsidR="00967D2D">
        <w:rPr>
          <w:b/>
          <w:lang w:val="fr-FR"/>
        </w:rPr>
        <w:t> </w:t>
      </w:r>
      <w:r w:rsidRPr="00D96526">
        <w:rPr>
          <w:b/>
          <w:lang w:val="fr-FR"/>
        </w:rPr>
        <w:t xml:space="preserve">11 </w:t>
      </w:r>
      <w:r w:rsidRPr="00D96526">
        <w:rPr>
          <w:lang w:val="fr-FR"/>
        </w:rPr>
        <w:t>(Tolérances des équipements d’essai de la résistance au roulement) est devenue l’annexe 8 par décision prise à la quatre-vingtième session du GRRF.</w:t>
      </w:r>
    </w:p>
    <w:p w:rsidR="00264BE0" w:rsidRPr="005B3905" w:rsidRDefault="00264BE0" w:rsidP="00264BE0">
      <w:pPr>
        <w:pStyle w:val="SingleTxtG"/>
        <w:ind w:left="2268"/>
        <w:rPr>
          <w:lang w:val="fr-FR"/>
        </w:rPr>
      </w:pPr>
      <w:r w:rsidRPr="00D96526">
        <w:rPr>
          <w:b/>
          <w:lang w:val="fr-FR"/>
        </w:rPr>
        <w:t>Annexe</w:t>
      </w:r>
      <w:r w:rsidR="00967D2D">
        <w:rPr>
          <w:b/>
          <w:lang w:val="fr-FR"/>
        </w:rPr>
        <w:t> </w:t>
      </w:r>
      <w:r w:rsidRPr="00D96526">
        <w:rPr>
          <w:b/>
          <w:lang w:val="fr-FR"/>
        </w:rPr>
        <w:t xml:space="preserve">8 </w:t>
      </w:r>
      <w:r w:rsidRPr="00D96526">
        <w:rPr>
          <w:lang w:val="fr-FR"/>
        </w:rPr>
        <w:t>(Tolérances des équipements d’essai de la résistance au roulement)</w:t>
      </w:r>
      <w:r w:rsidR="00967D2D">
        <w:rPr>
          <w:lang w:val="fr-FR"/>
        </w:rPr>
        <w:t> :</w:t>
      </w:r>
    </w:p>
    <w:p w:rsidR="00264BE0" w:rsidRPr="005B3905" w:rsidRDefault="00264BE0" w:rsidP="00264BE0">
      <w:pPr>
        <w:pStyle w:val="SingleTxtG"/>
        <w:ind w:left="2268"/>
        <w:rPr>
          <w:lang w:val="fr-FR"/>
        </w:rPr>
      </w:pPr>
      <w:r w:rsidRPr="00D96526">
        <w:rPr>
          <w:lang w:val="fr-FR"/>
        </w:rPr>
        <w:t xml:space="preserve">Complément 1 à la série 02 d’amendements au Règlement </w:t>
      </w:r>
      <w:r w:rsidR="00967D2D" w:rsidRPr="001E07F6">
        <w:rPr>
          <w:rFonts w:eastAsia="MS Mincho"/>
          <w:spacing w:val="-2"/>
          <w:szCs w:val="22"/>
          <w:lang w:val="fr-FR"/>
        </w:rPr>
        <w:t>n</w:t>
      </w:r>
      <w:r w:rsidR="00967D2D" w:rsidRPr="001E07F6">
        <w:rPr>
          <w:rFonts w:eastAsia="MS Mincho"/>
          <w:spacing w:val="-2"/>
          <w:szCs w:val="22"/>
          <w:vertAlign w:val="superscript"/>
          <w:lang w:val="fr-FR"/>
        </w:rPr>
        <w:t>o</w:t>
      </w:r>
      <w:r w:rsidR="00967D2D">
        <w:rPr>
          <w:spacing w:val="-2"/>
          <w:lang w:val="fr-FR"/>
        </w:rPr>
        <w:t> </w:t>
      </w:r>
      <w:r w:rsidRPr="00D96526">
        <w:rPr>
          <w:lang w:val="fr-FR"/>
        </w:rPr>
        <w:t xml:space="preserve">117 (Pneumatiques </w:t>
      </w:r>
      <w:r w:rsidR="00967D2D">
        <w:rPr>
          <w:lang w:val="fr-FR"/>
        </w:rPr>
        <w:t>−</w:t>
      </w:r>
      <w:r w:rsidRPr="00D96526">
        <w:rPr>
          <w:lang w:val="fr-FR"/>
        </w:rPr>
        <w:t xml:space="preserve"> Résistance au roulement, bruit de roulement et adhérence)</w:t>
      </w:r>
      <w:r w:rsidR="00967D2D">
        <w:rPr>
          <w:lang w:val="fr-FR"/>
        </w:rPr>
        <w:t> </w:t>
      </w:r>
      <w:r w:rsidRPr="00D96526">
        <w:rPr>
          <w:lang w:val="fr-FR"/>
        </w:rPr>
        <w:t>: document ECE/TRANS/WP.29/2012/6, adopté à la 156</w:t>
      </w:r>
      <w:r w:rsidR="00967D2D" w:rsidRPr="00967D2D">
        <w:rPr>
          <w:vertAlign w:val="superscript"/>
          <w:lang w:val="fr-FR"/>
        </w:rPr>
        <w:t>e</w:t>
      </w:r>
      <w:r w:rsidR="00967D2D">
        <w:rPr>
          <w:lang w:val="fr-FR"/>
        </w:rPr>
        <w:t> </w:t>
      </w:r>
      <w:r w:rsidRPr="00D96526">
        <w:rPr>
          <w:lang w:val="fr-FR"/>
        </w:rPr>
        <w:t>session du WP.29 (ECE/TRANS/WP.29/1095</w:t>
      </w:r>
      <w:r w:rsidRPr="005B3905">
        <w:rPr>
          <w:lang w:val="fr-FR"/>
        </w:rPr>
        <w:t>)</w:t>
      </w:r>
      <w:r w:rsidR="00967D2D">
        <w:rPr>
          <w:lang w:val="fr-FR"/>
        </w:rPr>
        <w:t> </w:t>
      </w:r>
      <w:r w:rsidRPr="005B3905">
        <w:rPr>
          <w:lang w:val="fr-FR"/>
        </w:rPr>
        <w:t>;</w:t>
      </w:r>
    </w:p>
    <w:p w:rsidR="00264BE0" w:rsidRPr="005B3905" w:rsidRDefault="00264BE0" w:rsidP="00264BE0">
      <w:pPr>
        <w:pStyle w:val="SingleTxtG"/>
        <w:ind w:left="2268"/>
        <w:rPr>
          <w:lang w:val="fr-FR"/>
        </w:rPr>
      </w:pPr>
      <w:r w:rsidRPr="00D96526">
        <w:rPr>
          <w:lang w:val="fr-FR"/>
        </w:rPr>
        <w:t xml:space="preserve">Complément 2 à la série 02 d’amendements au Règlement </w:t>
      </w:r>
      <w:r w:rsidR="00967D2D" w:rsidRPr="001E07F6">
        <w:rPr>
          <w:rFonts w:eastAsia="MS Mincho"/>
          <w:spacing w:val="-2"/>
          <w:szCs w:val="22"/>
          <w:lang w:val="fr-FR"/>
        </w:rPr>
        <w:t>n</w:t>
      </w:r>
      <w:r w:rsidR="00967D2D" w:rsidRPr="001E07F6">
        <w:rPr>
          <w:rFonts w:eastAsia="MS Mincho"/>
          <w:spacing w:val="-2"/>
          <w:szCs w:val="22"/>
          <w:vertAlign w:val="superscript"/>
          <w:lang w:val="fr-FR"/>
        </w:rPr>
        <w:t>o</w:t>
      </w:r>
      <w:r w:rsidR="00967D2D">
        <w:rPr>
          <w:spacing w:val="-2"/>
          <w:lang w:val="fr-FR"/>
        </w:rPr>
        <w:t> </w:t>
      </w:r>
      <w:r w:rsidRPr="00D96526">
        <w:rPr>
          <w:lang w:val="fr-FR"/>
        </w:rPr>
        <w:t xml:space="preserve">117 (Pneumatiques </w:t>
      </w:r>
      <w:r w:rsidR="00D47D64">
        <w:rPr>
          <w:lang w:val="fr-FR"/>
        </w:rPr>
        <w:t>−</w:t>
      </w:r>
      <w:r w:rsidRPr="00D96526">
        <w:rPr>
          <w:lang w:val="fr-FR"/>
        </w:rPr>
        <w:t xml:space="preserve"> Résistance au roulement, bruit de roulement et adhérence) : document ECE/TRANS/WP.29/2012/55, adopté à la 158</w:t>
      </w:r>
      <w:r w:rsidR="00967D2D" w:rsidRPr="00967D2D">
        <w:rPr>
          <w:vertAlign w:val="superscript"/>
          <w:lang w:val="fr-FR"/>
        </w:rPr>
        <w:t>e</w:t>
      </w:r>
      <w:r w:rsidR="00967D2D">
        <w:rPr>
          <w:lang w:val="fr-FR"/>
        </w:rPr>
        <w:t> </w:t>
      </w:r>
      <w:r w:rsidRPr="00D96526">
        <w:rPr>
          <w:lang w:val="fr-FR"/>
        </w:rPr>
        <w:t>session du WP.29 (ECE/TRANS/WP.29/1099</w:t>
      </w:r>
      <w:r w:rsidRPr="005B3905">
        <w:rPr>
          <w:lang w:val="fr-FR"/>
        </w:rPr>
        <w:t>)</w:t>
      </w:r>
      <w:r w:rsidR="00967D2D">
        <w:rPr>
          <w:lang w:val="fr-FR"/>
        </w:rPr>
        <w:t> </w:t>
      </w:r>
      <w:r w:rsidRPr="005B3905">
        <w:rPr>
          <w:lang w:val="fr-FR"/>
        </w:rPr>
        <w:t>;</w:t>
      </w:r>
    </w:p>
    <w:p w:rsidR="00264BE0" w:rsidRPr="005B3905" w:rsidRDefault="00264BE0" w:rsidP="00264BE0">
      <w:pPr>
        <w:pStyle w:val="SingleTxtG"/>
        <w:ind w:left="2268"/>
        <w:rPr>
          <w:lang w:val="fr-FR"/>
        </w:rPr>
      </w:pPr>
      <w:r w:rsidRPr="00D96526">
        <w:rPr>
          <w:lang w:val="fr-FR"/>
        </w:rPr>
        <w:lastRenderedPageBreak/>
        <w:t xml:space="preserve">Complément 7 à la série 02 d’amendements au Règlement </w:t>
      </w:r>
      <w:r w:rsidR="00CB0919" w:rsidRPr="001E07F6">
        <w:rPr>
          <w:rFonts w:eastAsia="MS Mincho"/>
          <w:spacing w:val="-2"/>
          <w:szCs w:val="22"/>
          <w:lang w:val="fr-FR"/>
        </w:rPr>
        <w:t>n</w:t>
      </w:r>
      <w:r w:rsidR="00CB0919" w:rsidRPr="001E07F6">
        <w:rPr>
          <w:rFonts w:eastAsia="MS Mincho"/>
          <w:spacing w:val="-2"/>
          <w:szCs w:val="22"/>
          <w:vertAlign w:val="superscript"/>
          <w:lang w:val="fr-FR"/>
        </w:rPr>
        <w:t>o</w:t>
      </w:r>
      <w:r w:rsidR="00CB0919">
        <w:rPr>
          <w:spacing w:val="-2"/>
          <w:lang w:val="fr-FR"/>
        </w:rPr>
        <w:t> </w:t>
      </w:r>
      <w:r w:rsidRPr="00D96526">
        <w:rPr>
          <w:lang w:val="fr-FR"/>
        </w:rPr>
        <w:t>117 (Pneumatiques − Résistance au roulement, bruit de roulement et adhérence) : document ECE/TRANS/WP.29/2015/5, adopté à la 165</w:t>
      </w:r>
      <w:r w:rsidR="00CB0919" w:rsidRPr="00CB0919">
        <w:rPr>
          <w:vertAlign w:val="superscript"/>
          <w:lang w:val="fr-FR"/>
        </w:rPr>
        <w:t>e</w:t>
      </w:r>
      <w:r w:rsidR="00CB0919">
        <w:rPr>
          <w:lang w:val="fr-FR"/>
        </w:rPr>
        <w:t> </w:t>
      </w:r>
      <w:r w:rsidRPr="00D96526">
        <w:rPr>
          <w:lang w:val="fr-FR"/>
        </w:rPr>
        <w:t>session du WP.29 (ECE/TRANS/WP.29/1114</w:t>
      </w:r>
      <w:r w:rsidRPr="005B3905">
        <w:rPr>
          <w:lang w:val="fr-FR"/>
        </w:rPr>
        <w:t>)</w:t>
      </w:r>
      <w:r w:rsidR="00CB0919">
        <w:rPr>
          <w:lang w:val="fr-FR"/>
        </w:rPr>
        <w:t> </w:t>
      </w:r>
      <w:r w:rsidRPr="005B3905">
        <w:rPr>
          <w:lang w:val="fr-FR"/>
        </w:rPr>
        <w:t>;</w:t>
      </w:r>
    </w:p>
    <w:p w:rsidR="00264BE0" w:rsidRPr="005B3905" w:rsidRDefault="00264BE0" w:rsidP="00264BE0">
      <w:pPr>
        <w:pStyle w:val="SingleTxtG"/>
        <w:ind w:left="2268"/>
        <w:rPr>
          <w:lang w:val="fr-FR"/>
        </w:rPr>
      </w:pPr>
      <w:r w:rsidRPr="00D96526">
        <w:rPr>
          <w:lang w:val="fr-FR"/>
        </w:rPr>
        <w:t xml:space="preserve">Complément 8 à la série 02 d’amendements au Règlement </w:t>
      </w:r>
      <w:r w:rsidR="00CB0919" w:rsidRPr="001E07F6">
        <w:rPr>
          <w:rFonts w:eastAsia="MS Mincho"/>
          <w:spacing w:val="-2"/>
          <w:szCs w:val="22"/>
          <w:lang w:val="fr-FR"/>
        </w:rPr>
        <w:t>n</w:t>
      </w:r>
      <w:r w:rsidR="00CB0919" w:rsidRPr="001E07F6">
        <w:rPr>
          <w:rFonts w:eastAsia="MS Mincho"/>
          <w:spacing w:val="-2"/>
          <w:szCs w:val="22"/>
          <w:vertAlign w:val="superscript"/>
          <w:lang w:val="fr-FR"/>
        </w:rPr>
        <w:t>o</w:t>
      </w:r>
      <w:r w:rsidR="00CB0919">
        <w:rPr>
          <w:spacing w:val="-2"/>
          <w:lang w:val="fr-FR"/>
        </w:rPr>
        <w:t> </w:t>
      </w:r>
      <w:r w:rsidRPr="00D96526">
        <w:rPr>
          <w:lang w:val="fr-FR"/>
        </w:rPr>
        <w:t>117 (Pneumatiques − Résistance au roulement, bruit de roulement et adhérence)</w:t>
      </w:r>
      <w:r w:rsidR="00CB0919">
        <w:rPr>
          <w:lang w:val="fr-FR"/>
        </w:rPr>
        <w:t> </w:t>
      </w:r>
      <w:r w:rsidRPr="00D96526">
        <w:rPr>
          <w:lang w:val="fr-FR"/>
        </w:rPr>
        <w:t>: document ECE/TRANS/WP.29/2015/65, tel qu’amendé par le paragraphe 66 du rapport de la 166</w:t>
      </w:r>
      <w:r w:rsidR="00CB0919" w:rsidRPr="00CB0919">
        <w:rPr>
          <w:vertAlign w:val="superscript"/>
          <w:lang w:val="fr-FR"/>
        </w:rPr>
        <w:t>e</w:t>
      </w:r>
      <w:r w:rsidR="00CB0919">
        <w:rPr>
          <w:lang w:val="fr-FR"/>
        </w:rPr>
        <w:t> </w:t>
      </w:r>
      <w:r w:rsidRPr="00D96526">
        <w:rPr>
          <w:lang w:val="fr-FR"/>
        </w:rPr>
        <w:t>session du WP.29 (ECE/TRANS/WP.29/1116</w:t>
      </w:r>
      <w:r w:rsidRPr="005B3905">
        <w:rPr>
          <w:lang w:val="fr-FR"/>
        </w:rPr>
        <w:t>)</w:t>
      </w:r>
      <w:r w:rsidR="00CB0919">
        <w:rPr>
          <w:lang w:val="fr-FR"/>
        </w:rPr>
        <w:t> </w:t>
      </w:r>
      <w:r w:rsidRPr="005B3905">
        <w:rPr>
          <w:lang w:val="fr-FR"/>
        </w:rPr>
        <w:t>;</w:t>
      </w:r>
    </w:p>
    <w:p w:rsidR="00264BE0" w:rsidRPr="005B3905" w:rsidRDefault="00264BE0" w:rsidP="00264BE0">
      <w:pPr>
        <w:pStyle w:val="SingleTxtG"/>
        <w:ind w:left="2268"/>
        <w:rPr>
          <w:lang w:val="fr-FR"/>
        </w:rPr>
      </w:pPr>
      <w:r w:rsidRPr="00D96526">
        <w:rPr>
          <w:b/>
          <w:lang w:val="fr-FR"/>
        </w:rPr>
        <w:t>L’annexe</w:t>
      </w:r>
      <w:r w:rsidR="00CB0919">
        <w:rPr>
          <w:b/>
          <w:lang w:val="fr-FR"/>
        </w:rPr>
        <w:t> </w:t>
      </w:r>
      <w:r w:rsidRPr="00D96526">
        <w:rPr>
          <w:b/>
          <w:lang w:val="fr-FR"/>
        </w:rPr>
        <w:t xml:space="preserve">12 </w:t>
      </w:r>
      <w:r w:rsidRPr="00D96526">
        <w:rPr>
          <w:lang w:val="fr-FR"/>
        </w:rPr>
        <w:t>(Mesure de la largeur de la jante d’essai) est devenue l’annexe</w:t>
      </w:r>
      <w:r w:rsidR="00CB0919">
        <w:rPr>
          <w:lang w:val="fr-FR"/>
        </w:rPr>
        <w:t> </w:t>
      </w:r>
      <w:r w:rsidRPr="00D96526">
        <w:rPr>
          <w:lang w:val="fr-FR"/>
        </w:rPr>
        <w:t>9 par décision prise à la q</w:t>
      </w:r>
      <w:r w:rsidR="00D47D64">
        <w:rPr>
          <w:lang w:val="fr-FR"/>
        </w:rPr>
        <w:t>uatre-vingtième session du GRRF ;</w:t>
      </w:r>
    </w:p>
    <w:p w:rsidR="00264BE0" w:rsidRPr="005B3905" w:rsidRDefault="00264BE0" w:rsidP="00264BE0">
      <w:pPr>
        <w:pStyle w:val="SingleTxtG"/>
        <w:ind w:left="2268"/>
        <w:rPr>
          <w:lang w:val="fr-FR"/>
        </w:rPr>
      </w:pPr>
      <w:r w:rsidRPr="00D96526">
        <w:rPr>
          <w:b/>
          <w:lang w:val="fr-FR"/>
        </w:rPr>
        <w:t>Annexe</w:t>
      </w:r>
      <w:r w:rsidR="00CB0919">
        <w:rPr>
          <w:b/>
          <w:lang w:val="fr-FR"/>
        </w:rPr>
        <w:t> </w:t>
      </w:r>
      <w:r w:rsidRPr="00D96526">
        <w:rPr>
          <w:b/>
          <w:lang w:val="fr-FR"/>
        </w:rPr>
        <w:t xml:space="preserve">9 </w:t>
      </w:r>
      <w:r w:rsidRPr="00D96526">
        <w:rPr>
          <w:lang w:val="fr-FR"/>
        </w:rPr>
        <w:t>(Mesure de la largeur de la jante d’essai)</w:t>
      </w:r>
      <w:r w:rsidR="00CB0919">
        <w:rPr>
          <w:lang w:val="fr-FR"/>
        </w:rPr>
        <w:t> :</w:t>
      </w:r>
    </w:p>
    <w:p w:rsidR="00264BE0" w:rsidRPr="005B3905" w:rsidRDefault="00264BE0" w:rsidP="00264BE0">
      <w:pPr>
        <w:pStyle w:val="SingleTxtG"/>
        <w:ind w:left="2268"/>
        <w:rPr>
          <w:lang w:val="fr-FR"/>
        </w:rPr>
      </w:pPr>
      <w:r w:rsidRPr="00257801">
        <w:rPr>
          <w:lang w:val="fr-FR"/>
        </w:rPr>
        <w:t xml:space="preserve">Série 02 d’amendements au Règlement </w:t>
      </w:r>
      <w:r w:rsidR="00D47D64" w:rsidRPr="00D47D64">
        <w:rPr>
          <w:rFonts w:eastAsia="MS Mincho"/>
          <w:szCs w:val="22"/>
          <w:lang w:val="fr-FR"/>
        </w:rPr>
        <w:t>n</w:t>
      </w:r>
      <w:r w:rsidR="00D47D64" w:rsidRPr="00D47D64">
        <w:rPr>
          <w:rFonts w:eastAsia="MS Mincho"/>
          <w:szCs w:val="22"/>
          <w:vertAlign w:val="superscript"/>
          <w:lang w:val="fr-FR"/>
        </w:rPr>
        <w:t>o</w:t>
      </w:r>
      <w:r w:rsidR="00D47D64">
        <w:rPr>
          <w:lang w:val="fr-FR"/>
        </w:rPr>
        <w:t> </w:t>
      </w:r>
      <w:r w:rsidRPr="00257801">
        <w:rPr>
          <w:lang w:val="fr-FR"/>
        </w:rPr>
        <w:t xml:space="preserve">117 (Pneumatiques </w:t>
      </w:r>
      <w:r w:rsidR="00CB0919">
        <w:rPr>
          <w:lang w:val="fr-FR"/>
        </w:rPr>
        <w:t>−</w:t>
      </w:r>
      <w:r w:rsidRPr="00257801">
        <w:rPr>
          <w:lang w:val="fr-FR"/>
        </w:rPr>
        <w:t xml:space="preserve"> Résistance au roulement, bruit de roulement et adhérence)</w:t>
      </w:r>
      <w:r w:rsidR="00CB0919">
        <w:rPr>
          <w:lang w:val="fr-FR"/>
        </w:rPr>
        <w:t> </w:t>
      </w:r>
      <w:r w:rsidRPr="00257801">
        <w:rPr>
          <w:lang w:val="fr-FR"/>
        </w:rPr>
        <w:t>: document ECE/TRANS/WP.29/2010/63, tel qu’amendé par le paragraphe 45 du rapport de la 151</w:t>
      </w:r>
      <w:r w:rsidR="00CB0919" w:rsidRPr="00CB0919">
        <w:rPr>
          <w:vertAlign w:val="superscript"/>
          <w:lang w:val="fr-FR"/>
        </w:rPr>
        <w:t>e</w:t>
      </w:r>
      <w:r w:rsidR="00CB0919">
        <w:rPr>
          <w:lang w:val="fr-FR"/>
        </w:rPr>
        <w:t> </w:t>
      </w:r>
      <w:r w:rsidRPr="00257801">
        <w:rPr>
          <w:lang w:val="fr-FR"/>
        </w:rPr>
        <w:t>session du WP.29 (ECE/TRANS/WP.29/1085</w:t>
      </w:r>
      <w:r w:rsidRPr="005B3905">
        <w:rPr>
          <w:lang w:val="fr-FR"/>
        </w:rPr>
        <w:t>)</w:t>
      </w:r>
      <w:r w:rsidR="00CB0919">
        <w:rPr>
          <w:lang w:val="fr-FR"/>
        </w:rPr>
        <w:t> </w:t>
      </w:r>
      <w:r w:rsidRPr="005B3905">
        <w:rPr>
          <w:lang w:val="fr-FR"/>
        </w:rPr>
        <w:t>;</w:t>
      </w:r>
    </w:p>
    <w:p w:rsidR="00264BE0" w:rsidRPr="005B3905" w:rsidRDefault="00264BE0" w:rsidP="00264BE0">
      <w:pPr>
        <w:pStyle w:val="SingleTxtG"/>
        <w:ind w:left="2268"/>
        <w:rPr>
          <w:lang w:val="fr-FR"/>
        </w:rPr>
      </w:pPr>
      <w:r w:rsidRPr="00257801">
        <w:rPr>
          <w:b/>
          <w:lang w:val="fr-FR"/>
        </w:rPr>
        <w:t>L’annexe</w:t>
      </w:r>
      <w:r w:rsidR="00CB0919">
        <w:rPr>
          <w:b/>
          <w:lang w:val="fr-FR"/>
        </w:rPr>
        <w:t> </w:t>
      </w:r>
      <w:r w:rsidRPr="00257801">
        <w:rPr>
          <w:b/>
          <w:lang w:val="fr-FR"/>
        </w:rPr>
        <w:t xml:space="preserve">14 </w:t>
      </w:r>
      <w:r w:rsidRPr="00257801">
        <w:rPr>
          <w:lang w:val="fr-FR"/>
        </w:rPr>
        <w:t>(Méthode de la décélération : Mesures et traitement des données en vue d’obtenir la valeur de décélération sous la forme différentielle dω/dt) est devenue l’annexe</w:t>
      </w:r>
      <w:r w:rsidR="00CB0919">
        <w:rPr>
          <w:lang w:val="fr-FR"/>
        </w:rPr>
        <w:t> </w:t>
      </w:r>
      <w:r w:rsidRPr="00257801">
        <w:rPr>
          <w:lang w:val="fr-FR"/>
        </w:rPr>
        <w:t xml:space="preserve">10 par décision prise à la quatre-vingtième session </w:t>
      </w:r>
      <w:r w:rsidR="00D47D64">
        <w:rPr>
          <w:lang w:val="fr-FR"/>
        </w:rPr>
        <w:t>du GRRF ;</w:t>
      </w:r>
    </w:p>
    <w:p w:rsidR="00264BE0" w:rsidRPr="00257801" w:rsidRDefault="00264BE0" w:rsidP="00264BE0">
      <w:pPr>
        <w:pStyle w:val="SingleTxtG"/>
        <w:ind w:left="2268"/>
        <w:rPr>
          <w:lang w:val="fr-FR"/>
        </w:rPr>
      </w:pPr>
      <w:r w:rsidRPr="00257801">
        <w:rPr>
          <w:b/>
          <w:lang w:val="fr-FR"/>
        </w:rPr>
        <w:t>Annexe</w:t>
      </w:r>
      <w:r w:rsidR="00CB0919">
        <w:rPr>
          <w:b/>
          <w:lang w:val="fr-FR"/>
        </w:rPr>
        <w:t> </w:t>
      </w:r>
      <w:r w:rsidRPr="00257801">
        <w:rPr>
          <w:b/>
          <w:lang w:val="fr-FR"/>
        </w:rPr>
        <w:t xml:space="preserve">10 </w:t>
      </w:r>
      <w:r w:rsidRPr="00257801">
        <w:rPr>
          <w:lang w:val="fr-FR"/>
        </w:rPr>
        <w:t>(Méthode de la décélération : Mesures et traitement des données en vue d’obtenir la valeur de décélération sous la forme différentielle dω/dt)</w:t>
      </w:r>
      <w:r w:rsidR="00CB0919">
        <w:rPr>
          <w:lang w:val="fr-FR"/>
        </w:rPr>
        <w:t> :</w:t>
      </w:r>
    </w:p>
    <w:p w:rsidR="00264BE0" w:rsidRPr="005B3905" w:rsidRDefault="00264BE0" w:rsidP="00264BE0">
      <w:pPr>
        <w:pStyle w:val="SingleTxtG"/>
        <w:ind w:left="2268"/>
        <w:rPr>
          <w:lang w:val="fr-FR"/>
        </w:rPr>
      </w:pPr>
      <w:r w:rsidRPr="00257801">
        <w:rPr>
          <w:lang w:val="fr-FR"/>
        </w:rPr>
        <w:t xml:space="preserve">Complément 7 à la série 02 d’amendements au Règlement </w:t>
      </w:r>
      <w:r w:rsidR="00CB0919" w:rsidRPr="001E07F6">
        <w:rPr>
          <w:rFonts w:eastAsia="MS Mincho"/>
          <w:spacing w:val="-2"/>
          <w:szCs w:val="22"/>
          <w:lang w:val="fr-FR"/>
        </w:rPr>
        <w:t>n</w:t>
      </w:r>
      <w:r w:rsidR="00CB0919" w:rsidRPr="001E07F6">
        <w:rPr>
          <w:rFonts w:eastAsia="MS Mincho"/>
          <w:spacing w:val="-2"/>
          <w:szCs w:val="22"/>
          <w:vertAlign w:val="superscript"/>
          <w:lang w:val="fr-FR"/>
        </w:rPr>
        <w:t>o</w:t>
      </w:r>
      <w:r w:rsidR="00CB0919">
        <w:rPr>
          <w:spacing w:val="-2"/>
          <w:lang w:val="fr-FR"/>
        </w:rPr>
        <w:t> </w:t>
      </w:r>
      <w:r w:rsidRPr="00257801">
        <w:rPr>
          <w:lang w:val="fr-FR"/>
        </w:rPr>
        <w:t>117 (Pneumatiques − Résistance au roulement, bruit de roulement et adhérence) : document ECE/TRANS/WP.29/2015/5, adopté à la 165</w:t>
      </w:r>
      <w:r w:rsidR="00CB0919" w:rsidRPr="00CB0919">
        <w:rPr>
          <w:vertAlign w:val="superscript"/>
          <w:lang w:val="fr-FR"/>
        </w:rPr>
        <w:t>e</w:t>
      </w:r>
      <w:r w:rsidR="00CB0919">
        <w:rPr>
          <w:lang w:val="fr-FR"/>
        </w:rPr>
        <w:t> </w:t>
      </w:r>
      <w:r w:rsidRPr="00257801">
        <w:rPr>
          <w:lang w:val="fr-FR"/>
        </w:rPr>
        <w:t>session du WP.29 (ECE/TRANS/WP.29/1114</w:t>
      </w:r>
      <w:r w:rsidRPr="005B3905">
        <w:rPr>
          <w:lang w:val="fr-FR"/>
        </w:rPr>
        <w:t>)</w:t>
      </w:r>
      <w:r w:rsidR="00CB0919">
        <w:rPr>
          <w:lang w:val="fr-FR"/>
        </w:rPr>
        <w:t> </w:t>
      </w:r>
      <w:r w:rsidRPr="005B3905">
        <w:rPr>
          <w:lang w:val="fr-FR"/>
        </w:rPr>
        <w:t>;</w:t>
      </w:r>
    </w:p>
    <w:p w:rsidR="00264BE0" w:rsidRPr="005B3905" w:rsidRDefault="00264BE0" w:rsidP="00675912">
      <w:pPr>
        <w:pStyle w:val="SingleTxtG"/>
        <w:ind w:left="2268" w:hanging="567"/>
        <w:rPr>
          <w:lang w:val="fr-FR"/>
        </w:rPr>
      </w:pPr>
      <w:r w:rsidRPr="005B3905">
        <w:rPr>
          <w:lang w:val="fr-FR"/>
        </w:rPr>
        <w:t>xii)</w:t>
      </w:r>
      <w:r w:rsidRPr="005B3905">
        <w:rPr>
          <w:lang w:val="fr-FR"/>
        </w:rPr>
        <w:tab/>
      </w:r>
      <w:r w:rsidRPr="00257801">
        <w:rPr>
          <w:noProof/>
          <w:lang w:val="fr-FR"/>
        </w:rPr>
        <w:t>Suppression d’annexes</w:t>
      </w:r>
      <w:r w:rsidR="00337896">
        <w:rPr>
          <w:noProof/>
          <w:lang w:val="fr-FR"/>
        </w:rPr>
        <w:t> </w:t>
      </w:r>
      <w:r w:rsidRPr="005B3905">
        <w:rPr>
          <w:lang w:val="fr-FR"/>
        </w:rPr>
        <w:t>:</w:t>
      </w:r>
    </w:p>
    <w:p w:rsidR="00264BE0" w:rsidRPr="005B3905" w:rsidRDefault="00264BE0" w:rsidP="00675912">
      <w:pPr>
        <w:pStyle w:val="SingleTxtG"/>
        <w:ind w:left="2268"/>
        <w:rPr>
          <w:lang w:val="fr-FR"/>
        </w:rPr>
      </w:pPr>
      <w:r w:rsidRPr="00257801">
        <w:rPr>
          <w:b/>
          <w:lang w:val="fr-FR"/>
        </w:rPr>
        <w:t>L’annexe</w:t>
      </w:r>
      <w:r w:rsidR="00675912">
        <w:rPr>
          <w:b/>
          <w:lang w:val="fr-FR"/>
        </w:rPr>
        <w:t> </w:t>
      </w:r>
      <w:r w:rsidRPr="00257801">
        <w:rPr>
          <w:b/>
          <w:lang w:val="fr-FR"/>
        </w:rPr>
        <w:t xml:space="preserve">6 </w:t>
      </w:r>
      <w:r w:rsidRPr="00257801">
        <w:rPr>
          <w:lang w:val="fr-FR"/>
        </w:rPr>
        <w:t>(Caractéristiques du terrain d’essai pour la mesure du bruit de roulement) a été supprimée par décision prise à la q</w:t>
      </w:r>
      <w:r w:rsidR="00D47D64">
        <w:rPr>
          <w:lang w:val="fr-FR"/>
        </w:rPr>
        <w:t>uatre-vingtième session du GRRF ;</w:t>
      </w:r>
    </w:p>
    <w:p w:rsidR="00264BE0" w:rsidRPr="005B3905" w:rsidRDefault="00264BE0" w:rsidP="00675912">
      <w:pPr>
        <w:pStyle w:val="SingleTxtG"/>
        <w:ind w:left="2268"/>
        <w:rPr>
          <w:lang w:val="fr-FR"/>
        </w:rPr>
      </w:pPr>
      <w:r w:rsidRPr="00257801">
        <w:rPr>
          <w:b/>
          <w:lang w:val="fr-FR"/>
        </w:rPr>
        <w:t>L’annexe</w:t>
      </w:r>
      <w:r w:rsidR="00675912">
        <w:t> </w:t>
      </w:r>
      <w:r w:rsidRPr="00257801">
        <w:rPr>
          <w:b/>
          <w:lang w:val="fr-FR"/>
        </w:rPr>
        <w:t xml:space="preserve">8 </w:t>
      </w:r>
      <w:r w:rsidRPr="00257801">
        <w:rPr>
          <w:lang w:val="fr-FR"/>
        </w:rPr>
        <w:t xml:space="preserve">(Procès-verbal d’essai </w:t>
      </w:r>
      <w:r w:rsidR="00675912">
        <w:rPr>
          <w:lang w:val="fr-FR"/>
        </w:rPr>
        <w:t>−</w:t>
      </w:r>
      <w:r w:rsidRPr="00257801">
        <w:rPr>
          <w:lang w:val="fr-FR"/>
        </w:rPr>
        <w:t xml:space="preserve"> Mesure du bruit de roulement des pneumatiques) a été supprimée par décision prise à la quatre-vingtième session du GRRF</w:t>
      </w:r>
      <w:r w:rsidR="00D47D64">
        <w:rPr>
          <w:lang w:val="fr-FR"/>
        </w:rPr>
        <w:t> ;</w:t>
      </w:r>
    </w:p>
    <w:p w:rsidR="00264BE0" w:rsidRPr="005B3905" w:rsidRDefault="00264BE0" w:rsidP="00264BE0">
      <w:pPr>
        <w:pStyle w:val="SingleTxtG"/>
        <w:ind w:left="2268"/>
        <w:rPr>
          <w:lang w:val="fr-FR"/>
        </w:rPr>
      </w:pPr>
      <w:r w:rsidRPr="00257801">
        <w:rPr>
          <w:b/>
          <w:lang w:val="fr-FR"/>
        </w:rPr>
        <w:t>L’annexe</w:t>
      </w:r>
      <w:r w:rsidR="00675912">
        <w:rPr>
          <w:b/>
          <w:lang w:val="fr-FR"/>
        </w:rPr>
        <w:t> </w:t>
      </w:r>
      <w:r w:rsidRPr="00257801">
        <w:rPr>
          <w:b/>
          <w:lang w:val="fr-FR"/>
        </w:rPr>
        <w:t>9</w:t>
      </w:r>
      <w:r w:rsidRPr="00675912">
        <w:rPr>
          <w:lang w:val="fr-FR"/>
        </w:rPr>
        <w:t xml:space="preserve"> </w:t>
      </w:r>
      <w:r w:rsidRPr="00257801">
        <w:rPr>
          <w:lang w:val="fr-FR"/>
        </w:rPr>
        <w:t>(Procès-verbal d’essai − Mesure de l’adhérence sur sol mouillé) a été supprimée par décision prise à la quatre-vingtième session du GRRF.</w:t>
      </w:r>
    </w:p>
    <w:p w:rsidR="00264BE0" w:rsidRPr="005B3905" w:rsidRDefault="00264BE0" w:rsidP="00675912">
      <w:pPr>
        <w:pStyle w:val="HChG"/>
        <w:rPr>
          <w:lang w:val="fr-FR"/>
        </w:rPr>
      </w:pPr>
      <w:r w:rsidRPr="005B3905">
        <w:rPr>
          <w:lang w:val="fr-FR"/>
        </w:rPr>
        <w:tab/>
        <w:t>D.</w:t>
      </w:r>
      <w:r w:rsidRPr="005B3905">
        <w:rPr>
          <w:lang w:val="fr-FR"/>
        </w:rPr>
        <w:tab/>
      </w:r>
      <w:r w:rsidRPr="00675912">
        <w:t>Activités</w:t>
      </w:r>
      <w:r>
        <w:rPr>
          <w:lang w:val="fr-FR"/>
        </w:rPr>
        <w:t xml:space="preserve"> futures</w:t>
      </w:r>
    </w:p>
    <w:p w:rsidR="00264BE0" w:rsidRPr="00675912" w:rsidRDefault="00264BE0" w:rsidP="00675912">
      <w:pPr>
        <w:pStyle w:val="ListParagraph"/>
        <w:numPr>
          <w:ilvl w:val="0"/>
          <w:numId w:val="15"/>
        </w:numPr>
        <w:spacing w:after="80" w:line="240" w:lineRule="auto"/>
        <w:ind w:left="1134" w:right="1134" w:firstLine="0"/>
        <w:jc w:val="both"/>
        <w:rPr>
          <w:lang w:val="fr-FR"/>
        </w:rPr>
      </w:pPr>
      <w:r w:rsidRPr="00675912">
        <w:rPr>
          <w:lang w:val="fr-FR"/>
        </w:rPr>
        <w:t xml:space="preserve">Les travaux restant à effectuer concernent la mise au point d’essais harmonisés pour les pneumatiques des catégories LT/C, à savoir (phase 2 de l’élaboration du RTM </w:t>
      </w:r>
      <w:r w:rsidR="00675912" w:rsidRPr="001E07F6">
        <w:rPr>
          <w:rFonts w:eastAsia="MS Mincho"/>
          <w:spacing w:val="-2"/>
          <w:szCs w:val="22"/>
          <w:lang w:val="fr-FR"/>
        </w:rPr>
        <w:t>n</w:t>
      </w:r>
      <w:r w:rsidR="00675912" w:rsidRPr="001E07F6">
        <w:rPr>
          <w:rFonts w:eastAsia="MS Mincho"/>
          <w:spacing w:val="-2"/>
          <w:szCs w:val="22"/>
          <w:vertAlign w:val="superscript"/>
          <w:lang w:val="fr-FR"/>
        </w:rPr>
        <w:t>o</w:t>
      </w:r>
      <w:r w:rsidR="00675912">
        <w:rPr>
          <w:spacing w:val="-2"/>
          <w:lang w:val="fr-FR"/>
        </w:rPr>
        <w:t> </w:t>
      </w:r>
      <w:r w:rsidRPr="00675912">
        <w:rPr>
          <w:lang w:val="fr-FR"/>
        </w:rPr>
        <w:t>16</w:t>
      </w:r>
      <w:r w:rsidRPr="00675912">
        <w:rPr>
          <w:lang w:val="fr-FR" w:eastAsia="ko-KR"/>
        </w:rPr>
        <w:t>)</w:t>
      </w:r>
      <w:r w:rsidR="00675912">
        <w:rPr>
          <w:lang w:val="fr-FR" w:eastAsia="ko-KR"/>
        </w:rPr>
        <w:t> </w:t>
      </w:r>
      <w:r w:rsidRPr="00675912">
        <w:rPr>
          <w:lang w:val="fr-FR" w:eastAsia="ko-KR"/>
        </w:rPr>
        <w:t>:</w:t>
      </w:r>
    </w:p>
    <w:p w:rsidR="00264BE0" w:rsidRPr="005B3905" w:rsidRDefault="00264BE0" w:rsidP="00264BE0">
      <w:pPr>
        <w:pStyle w:val="SingleTxtG"/>
        <w:ind w:left="2268" w:hanging="567"/>
        <w:rPr>
          <w:lang w:val="fr-FR"/>
        </w:rPr>
      </w:pPr>
      <w:r w:rsidRPr="005B3905">
        <w:rPr>
          <w:lang w:val="fr-FR"/>
        </w:rPr>
        <w:t>a)</w:t>
      </w:r>
      <w:r w:rsidRPr="005B3905">
        <w:rPr>
          <w:lang w:val="fr-FR"/>
        </w:rPr>
        <w:tab/>
      </w:r>
      <w:r w:rsidRPr="00257801">
        <w:rPr>
          <w:lang w:val="fr-FR"/>
        </w:rPr>
        <w:t>Dimensions physiques</w:t>
      </w:r>
      <w:r w:rsidR="00675912">
        <w:rPr>
          <w:lang w:val="fr-FR"/>
        </w:rPr>
        <w:t> </w:t>
      </w:r>
      <w:r w:rsidRPr="005B3905">
        <w:rPr>
          <w:lang w:val="fr-FR"/>
        </w:rPr>
        <w:t>;</w:t>
      </w:r>
    </w:p>
    <w:p w:rsidR="00264BE0" w:rsidRPr="005B3905" w:rsidRDefault="00264BE0" w:rsidP="00264BE0">
      <w:pPr>
        <w:pStyle w:val="SingleTxtG"/>
        <w:ind w:left="2268" w:hanging="567"/>
        <w:rPr>
          <w:lang w:val="fr-FR"/>
        </w:rPr>
      </w:pPr>
      <w:r w:rsidRPr="005B3905">
        <w:rPr>
          <w:lang w:val="fr-FR"/>
        </w:rPr>
        <w:t>b)</w:t>
      </w:r>
      <w:r w:rsidRPr="005B3905">
        <w:rPr>
          <w:lang w:val="fr-FR"/>
        </w:rPr>
        <w:tab/>
      </w:r>
      <w:r w:rsidRPr="00257801">
        <w:rPr>
          <w:lang w:val="fr-FR"/>
        </w:rPr>
        <w:t>Marquages</w:t>
      </w:r>
      <w:r w:rsidR="00675912">
        <w:rPr>
          <w:lang w:val="fr-FR"/>
        </w:rPr>
        <w:t> </w:t>
      </w:r>
      <w:r w:rsidRPr="005B3905">
        <w:rPr>
          <w:lang w:val="fr-FR"/>
        </w:rPr>
        <w:t>;</w:t>
      </w:r>
    </w:p>
    <w:p w:rsidR="00264BE0" w:rsidRPr="005B3905" w:rsidRDefault="00264BE0" w:rsidP="00264BE0">
      <w:pPr>
        <w:pStyle w:val="SingleTxtG"/>
        <w:ind w:left="2268" w:hanging="567"/>
        <w:rPr>
          <w:lang w:val="fr-FR"/>
        </w:rPr>
      </w:pPr>
      <w:r w:rsidRPr="005B3905">
        <w:rPr>
          <w:lang w:val="fr-FR"/>
        </w:rPr>
        <w:t>c)</w:t>
      </w:r>
      <w:r w:rsidRPr="005B3905">
        <w:rPr>
          <w:lang w:val="fr-FR"/>
        </w:rPr>
        <w:tab/>
      </w:r>
      <w:r w:rsidRPr="00257801">
        <w:rPr>
          <w:lang w:val="fr-FR"/>
        </w:rPr>
        <w:t>Essai à grande vitesse</w:t>
      </w:r>
      <w:r w:rsidR="00675912">
        <w:rPr>
          <w:lang w:val="fr-FR"/>
        </w:rPr>
        <w:t> </w:t>
      </w:r>
      <w:r w:rsidRPr="005B3905">
        <w:rPr>
          <w:lang w:val="fr-FR"/>
        </w:rPr>
        <w:t>;</w:t>
      </w:r>
    </w:p>
    <w:p w:rsidR="00264BE0" w:rsidRPr="005B3905" w:rsidRDefault="00264BE0" w:rsidP="00264BE0">
      <w:pPr>
        <w:pStyle w:val="SingleTxtG"/>
        <w:ind w:left="2268" w:hanging="567"/>
        <w:rPr>
          <w:lang w:val="fr-FR"/>
        </w:rPr>
      </w:pPr>
      <w:r w:rsidRPr="005B3905">
        <w:rPr>
          <w:lang w:val="fr-FR"/>
        </w:rPr>
        <w:t>d)</w:t>
      </w:r>
      <w:r w:rsidRPr="005B3905">
        <w:rPr>
          <w:lang w:val="fr-FR"/>
        </w:rPr>
        <w:tab/>
      </w:r>
      <w:r w:rsidRPr="00257801">
        <w:rPr>
          <w:lang w:val="fr-FR"/>
        </w:rPr>
        <w:t>Essai d’endurance</w:t>
      </w:r>
      <w:r w:rsidRPr="005B3905">
        <w:rPr>
          <w:lang w:val="fr-FR"/>
        </w:rPr>
        <w:t>.</w:t>
      </w:r>
    </w:p>
    <w:p w:rsidR="00264BE0" w:rsidRPr="005B3905" w:rsidRDefault="00264BE0" w:rsidP="00935EFE">
      <w:pPr>
        <w:pStyle w:val="ListParagraph"/>
        <w:keepLines/>
        <w:numPr>
          <w:ilvl w:val="0"/>
          <w:numId w:val="15"/>
        </w:numPr>
        <w:spacing w:after="80" w:line="240" w:lineRule="auto"/>
        <w:ind w:left="1134" w:right="1134" w:firstLine="0"/>
        <w:jc w:val="both"/>
        <w:rPr>
          <w:lang w:val="fr-FR"/>
        </w:rPr>
      </w:pPr>
      <w:r w:rsidRPr="00257801">
        <w:rPr>
          <w:lang w:val="fr-FR"/>
        </w:rPr>
        <w:lastRenderedPageBreak/>
        <w:t>Au cours de la phase 2, la section 3.7 (Essai de résistance au détalonnage des pneumatiques sans chambre pour voitures particulières) devra également être modifiée selon les recommandations de la Rubber Manufacturers Association</w:t>
      </w:r>
      <w:r>
        <w:rPr>
          <w:lang w:val="fr-FR"/>
        </w:rPr>
        <w:t>,</w:t>
      </w:r>
      <w:r w:rsidRPr="00257801">
        <w:rPr>
          <w:lang w:val="fr-FR"/>
        </w:rPr>
        <w:t xml:space="preserve"> une fois que la norme F2663-15 de l’American Society for Testing and Materials aura été publiée dans un règlement de l’Administration nationale de la sécurité routière des États-Unis</w:t>
      </w:r>
      <w:r w:rsidRPr="005B3905">
        <w:rPr>
          <w:lang w:val="fr-FR"/>
        </w:rPr>
        <w:t>.</w:t>
      </w:r>
    </w:p>
    <w:p w:rsidR="00264BE0" w:rsidRPr="00675912" w:rsidRDefault="00264BE0" w:rsidP="00675912">
      <w:pPr>
        <w:pStyle w:val="SingleTxtG"/>
        <w:rPr>
          <w:lang w:val="fr-FR"/>
        </w:rPr>
      </w:pPr>
      <w:r w:rsidRPr="005B3905">
        <w:rPr>
          <w:lang w:val="fr-FR"/>
        </w:rPr>
        <w:t>19.</w:t>
      </w:r>
      <w:r w:rsidRPr="005B3905">
        <w:rPr>
          <w:lang w:val="fr-FR"/>
        </w:rPr>
        <w:tab/>
      </w:r>
      <w:r w:rsidRPr="00B02EDE">
        <w:rPr>
          <w:lang w:val="fr-FR"/>
        </w:rPr>
        <w:t xml:space="preserve">Les travaux sur l’amendement 2 au </w:t>
      </w:r>
      <w:r>
        <w:rPr>
          <w:lang w:val="fr-FR"/>
        </w:rPr>
        <w:t>RTM</w:t>
      </w:r>
      <w:r w:rsidRPr="00B02EDE">
        <w:rPr>
          <w:lang w:val="fr-FR"/>
        </w:rPr>
        <w:t xml:space="preserve"> </w:t>
      </w:r>
      <w:r w:rsidR="00675912" w:rsidRPr="001E07F6">
        <w:rPr>
          <w:rFonts w:eastAsia="MS Mincho"/>
          <w:spacing w:val="-2"/>
          <w:szCs w:val="22"/>
          <w:lang w:val="fr-FR"/>
        </w:rPr>
        <w:t>n</w:t>
      </w:r>
      <w:r w:rsidR="00675912" w:rsidRPr="001E07F6">
        <w:rPr>
          <w:rFonts w:eastAsia="MS Mincho"/>
          <w:spacing w:val="-2"/>
          <w:szCs w:val="22"/>
          <w:vertAlign w:val="superscript"/>
          <w:lang w:val="fr-FR"/>
        </w:rPr>
        <w:t>o</w:t>
      </w:r>
      <w:r w:rsidR="00675912">
        <w:rPr>
          <w:spacing w:val="-2"/>
          <w:lang w:val="fr-FR"/>
        </w:rPr>
        <w:t> </w:t>
      </w:r>
      <w:r w:rsidRPr="00B02EDE">
        <w:rPr>
          <w:lang w:val="fr-FR"/>
        </w:rPr>
        <w:t>16 de l’ONU, correspondant à la phase</w:t>
      </w:r>
      <w:r w:rsidR="00675912">
        <w:rPr>
          <w:lang w:val="fr-FR"/>
        </w:rPr>
        <w:t> </w:t>
      </w:r>
      <w:r w:rsidRPr="00B02EDE">
        <w:rPr>
          <w:lang w:val="fr-FR"/>
        </w:rPr>
        <w:t>2 de son é</w:t>
      </w:r>
      <w:r>
        <w:rPr>
          <w:lang w:val="fr-FR"/>
        </w:rPr>
        <w:t xml:space="preserve">laboration, pourront commencer </w:t>
      </w:r>
      <w:r w:rsidRPr="00B02EDE">
        <w:rPr>
          <w:lang w:val="fr-FR"/>
        </w:rPr>
        <w:t>après l’adoption de l’amendement 1</w:t>
      </w:r>
      <w:r w:rsidRPr="005B3905">
        <w:rPr>
          <w:lang w:val="fr-FR"/>
        </w:rPr>
        <w:t>.</w:t>
      </w:r>
    </w:p>
    <w:p w:rsidR="00264BE0" w:rsidRPr="005B3905" w:rsidRDefault="00264BE0" w:rsidP="00264BE0">
      <w:pPr>
        <w:pStyle w:val="HChG"/>
        <w:rPr>
          <w:lang w:val="fr-FR"/>
        </w:rPr>
      </w:pPr>
      <w:r w:rsidRPr="005B3905">
        <w:rPr>
          <w:lang w:val="fr-FR"/>
        </w:rPr>
        <w:tab/>
        <w:t>E.</w:t>
      </w:r>
      <w:r w:rsidRPr="005B3905">
        <w:rPr>
          <w:lang w:val="fr-FR"/>
        </w:rPr>
        <w:tab/>
        <w:t>Conclusion</w:t>
      </w:r>
    </w:p>
    <w:p w:rsidR="00264BE0" w:rsidRDefault="00264BE0" w:rsidP="00675912">
      <w:pPr>
        <w:pStyle w:val="ListParagraph"/>
        <w:numPr>
          <w:ilvl w:val="0"/>
          <w:numId w:val="15"/>
        </w:numPr>
        <w:spacing w:after="80" w:line="240" w:lineRule="auto"/>
        <w:ind w:left="1134" w:right="1134" w:firstLine="0"/>
        <w:jc w:val="both"/>
        <w:rPr>
          <w:lang w:val="fr-FR"/>
        </w:rPr>
      </w:pPr>
      <w:r w:rsidRPr="00B02EDE">
        <w:rPr>
          <w:lang w:val="fr-FR"/>
        </w:rPr>
        <w:t>Pour donner suite à l’adoption du projet d’amendement 1 au</w:t>
      </w:r>
      <w:r>
        <w:rPr>
          <w:lang w:val="fr-FR"/>
        </w:rPr>
        <w:t xml:space="preserve"> RTM </w:t>
      </w:r>
      <w:r w:rsidR="00675912" w:rsidRPr="001E07F6">
        <w:rPr>
          <w:rFonts w:eastAsia="MS Mincho"/>
          <w:spacing w:val="-2"/>
          <w:szCs w:val="22"/>
          <w:lang w:val="fr-FR"/>
        </w:rPr>
        <w:t>n</w:t>
      </w:r>
      <w:r w:rsidR="00675912" w:rsidRPr="001E07F6">
        <w:rPr>
          <w:rFonts w:eastAsia="MS Mincho"/>
          <w:spacing w:val="-2"/>
          <w:szCs w:val="22"/>
          <w:vertAlign w:val="superscript"/>
          <w:lang w:val="fr-FR"/>
        </w:rPr>
        <w:t>o</w:t>
      </w:r>
      <w:r w:rsidR="00675912">
        <w:rPr>
          <w:spacing w:val="-2"/>
          <w:lang w:val="fr-FR"/>
        </w:rPr>
        <w:t> </w:t>
      </w:r>
      <w:r>
        <w:rPr>
          <w:lang w:val="fr-FR"/>
        </w:rPr>
        <w:t>16 de l’ONU à sa quatre-vingt-unième</w:t>
      </w:r>
      <w:r w:rsidRPr="00B02EDE">
        <w:rPr>
          <w:lang w:val="fr-FR"/>
        </w:rPr>
        <w:t xml:space="preserve"> session, le GRRF prie l’AC.3 de voter l’inscription dudit amendement 1</w:t>
      </w:r>
      <w:r w:rsidRPr="005B3905">
        <w:rPr>
          <w:lang w:val="fr-FR"/>
        </w:rPr>
        <w:t xml:space="preserve"> (</w:t>
      </w:r>
      <w:r w:rsidRPr="00B02EDE">
        <w:rPr>
          <w:lang w:val="fr-FR"/>
        </w:rPr>
        <w:t>comme cela</w:t>
      </w:r>
      <w:r>
        <w:rPr>
          <w:lang w:val="fr-FR"/>
        </w:rPr>
        <w:t xml:space="preserve"> a été proposé dans le document</w:t>
      </w:r>
      <w:r w:rsidRPr="005B3905">
        <w:rPr>
          <w:lang w:val="fr-FR"/>
        </w:rPr>
        <w:t xml:space="preserve"> ECE/TRANS/WP.29/2016/70) </w:t>
      </w:r>
      <w:r w:rsidRPr="00B02EDE">
        <w:rPr>
          <w:lang w:val="fr-FR"/>
        </w:rPr>
        <w:t>au Registre mondial</w:t>
      </w:r>
      <w:r w:rsidRPr="005B3905">
        <w:rPr>
          <w:lang w:val="fr-FR"/>
        </w:rPr>
        <w:t>.</w:t>
      </w:r>
    </w:p>
    <w:p w:rsidR="00264BE0" w:rsidRPr="00264BE0" w:rsidRDefault="00264BE0" w:rsidP="00264BE0">
      <w:pPr>
        <w:pStyle w:val="SingleTxtG"/>
        <w:spacing w:before="240" w:after="0"/>
        <w:jc w:val="center"/>
        <w:rPr>
          <w:u w:val="single"/>
        </w:rPr>
      </w:pPr>
      <w:r>
        <w:rPr>
          <w:u w:val="single"/>
        </w:rPr>
        <w:tab/>
      </w:r>
      <w:r>
        <w:rPr>
          <w:u w:val="single"/>
        </w:rPr>
        <w:tab/>
      </w:r>
      <w:r>
        <w:rPr>
          <w:u w:val="single"/>
        </w:rPr>
        <w:tab/>
      </w:r>
    </w:p>
    <w:sectPr w:rsidR="00264BE0" w:rsidRPr="00264BE0" w:rsidSect="0021587E">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9B7" w:rsidRDefault="00A709B7" w:rsidP="00F95C08">
      <w:pPr>
        <w:spacing w:line="240" w:lineRule="auto"/>
      </w:pPr>
    </w:p>
  </w:endnote>
  <w:endnote w:type="continuationSeparator" w:id="0">
    <w:p w:rsidR="00A709B7" w:rsidRPr="00AC3823" w:rsidRDefault="00A709B7" w:rsidP="00AC3823">
      <w:pPr>
        <w:pStyle w:val="Footer"/>
      </w:pPr>
    </w:p>
  </w:endnote>
  <w:endnote w:type="continuationNotice" w:id="1">
    <w:p w:rsidR="00A709B7" w:rsidRDefault="00A709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9B7" w:rsidRPr="0021587E" w:rsidRDefault="00A709B7" w:rsidP="0021587E">
    <w:pPr>
      <w:pStyle w:val="Footer"/>
      <w:tabs>
        <w:tab w:val="right" w:pos="9638"/>
      </w:tabs>
    </w:pPr>
    <w:r w:rsidRPr="0021587E">
      <w:rPr>
        <w:b/>
        <w:sz w:val="18"/>
      </w:rPr>
      <w:fldChar w:fldCharType="begin"/>
    </w:r>
    <w:r w:rsidRPr="0021587E">
      <w:rPr>
        <w:b/>
        <w:sz w:val="18"/>
      </w:rPr>
      <w:instrText xml:space="preserve"> PAGE  \* MERGEFORMAT </w:instrText>
    </w:r>
    <w:r w:rsidRPr="0021587E">
      <w:rPr>
        <w:b/>
        <w:sz w:val="18"/>
      </w:rPr>
      <w:fldChar w:fldCharType="separate"/>
    </w:r>
    <w:r w:rsidR="00CF2D05">
      <w:rPr>
        <w:b/>
        <w:noProof/>
        <w:sz w:val="18"/>
      </w:rPr>
      <w:t>8</w:t>
    </w:r>
    <w:r w:rsidRPr="0021587E">
      <w:rPr>
        <w:b/>
        <w:sz w:val="18"/>
      </w:rPr>
      <w:fldChar w:fldCharType="end"/>
    </w:r>
    <w:r>
      <w:rPr>
        <w:b/>
        <w:sz w:val="18"/>
      </w:rPr>
      <w:tab/>
    </w:r>
    <w:r>
      <w:t>GE.16-05678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9B7" w:rsidRPr="0021587E" w:rsidRDefault="00A709B7" w:rsidP="0021587E">
    <w:pPr>
      <w:pStyle w:val="Footer"/>
      <w:tabs>
        <w:tab w:val="right" w:pos="9638"/>
      </w:tabs>
      <w:rPr>
        <w:b/>
        <w:sz w:val="18"/>
      </w:rPr>
    </w:pPr>
    <w:r>
      <w:t>GE.16-05678</w:t>
    </w:r>
    <w:r>
      <w:tab/>
    </w:r>
    <w:r w:rsidRPr="0021587E">
      <w:rPr>
        <w:b/>
        <w:sz w:val="18"/>
      </w:rPr>
      <w:fldChar w:fldCharType="begin"/>
    </w:r>
    <w:r w:rsidRPr="0021587E">
      <w:rPr>
        <w:b/>
        <w:sz w:val="18"/>
      </w:rPr>
      <w:instrText xml:space="preserve"> PAGE  \* MERGEFORMAT </w:instrText>
    </w:r>
    <w:r w:rsidRPr="0021587E">
      <w:rPr>
        <w:b/>
        <w:sz w:val="18"/>
      </w:rPr>
      <w:fldChar w:fldCharType="separate"/>
    </w:r>
    <w:r w:rsidR="00CF2D05">
      <w:rPr>
        <w:b/>
        <w:noProof/>
        <w:sz w:val="18"/>
      </w:rPr>
      <w:t>7</w:t>
    </w:r>
    <w:r w:rsidRPr="0021587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9B7" w:rsidRPr="0021587E" w:rsidRDefault="00A709B7" w:rsidP="0021587E">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20C3C801" wp14:editId="11DC8956">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16-05678  (F)    170516    180516</w:t>
    </w:r>
    <w:r>
      <w:rPr>
        <w:sz w:val="20"/>
      </w:rPr>
      <w:br/>
    </w:r>
    <w:r w:rsidRPr="0021587E">
      <w:rPr>
        <w:rFonts w:ascii="C39T30Lfz" w:hAnsi="C39T30Lfz"/>
        <w:sz w:val="56"/>
      </w:rPr>
      <w:t></w:t>
    </w:r>
    <w:r w:rsidRPr="0021587E">
      <w:rPr>
        <w:rFonts w:ascii="C39T30Lfz" w:hAnsi="C39T30Lfz"/>
        <w:sz w:val="56"/>
      </w:rPr>
      <w:t></w:t>
    </w:r>
    <w:r w:rsidRPr="0021587E">
      <w:rPr>
        <w:rFonts w:ascii="C39T30Lfz" w:hAnsi="C39T30Lfz"/>
        <w:sz w:val="56"/>
      </w:rPr>
      <w:t></w:t>
    </w:r>
    <w:r w:rsidRPr="0021587E">
      <w:rPr>
        <w:rFonts w:ascii="C39T30Lfz" w:hAnsi="C39T30Lfz"/>
        <w:sz w:val="56"/>
      </w:rPr>
      <w:t></w:t>
    </w:r>
    <w:r w:rsidRPr="0021587E">
      <w:rPr>
        <w:rFonts w:ascii="C39T30Lfz" w:hAnsi="C39T30Lfz"/>
        <w:sz w:val="56"/>
      </w:rPr>
      <w:t></w:t>
    </w:r>
    <w:r w:rsidRPr="0021587E">
      <w:rPr>
        <w:rFonts w:ascii="C39T30Lfz" w:hAnsi="C39T30Lfz"/>
        <w:sz w:val="56"/>
      </w:rPr>
      <w:t></w:t>
    </w:r>
    <w:r w:rsidRPr="0021587E">
      <w:rPr>
        <w:rFonts w:ascii="C39T30Lfz" w:hAnsi="C39T30Lfz"/>
        <w:sz w:val="56"/>
      </w:rPr>
      <w:t></w:t>
    </w:r>
    <w:r w:rsidRPr="0021587E">
      <w:rPr>
        <w:rFonts w:ascii="C39T30Lfz" w:hAnsi="C39T30Lfz"/>
        <w:sz w:val="56"/>
      </w:rPr>
      <w:t></w:t>
    </w:r>
    <w:r w:rsidRPr="0021587E">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548D59D8" wp14:editId="4DBC96C0">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6/7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7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9B7" w:rsidRPr="00AC3823" w:rsidRDefault="00A709B7" w:rsidP="00AC3823">
      <w:pPr>
        <w:pStyle w:val="Footer"/>
        <w:tabs>
          <w:tab w:val="right" w:pos="2155"/>
        </w:tabs>
        <w:spacing w:after="80" w:line="240" w:lineRule="atLeast"/>
        <w:ind w:left="680"/>
        <w:rPr>
          <w:u w:val="single"/>
        </w:rPr>
      </w:pPr>
      <w:r>
        <w:rPr>
          <w:u w:val="single"/>
        </w:rPr>
        <w:tab/>
      </w:r>
    </w:p>
  </w:footnote>
  <w:footnote w:type="continuationSeparator" w:id="0">
    <w:p w:rsidR="00A709B7" w:rsidRPr="00AC3823" w:rsidRDefault="00A709B7" w:rsidP="00AC3823">
      <w:pPr>
        <w:pStyle w:val="Footer"/>
        <w:tabs>
          <w:tab w:val="right" w:pos="2155"/>
        </w:tabs>
        <w:spacing w:after="80" w:line="240" w:lineRule="atLeast"/>
        <w:ind w:left="680"/>
        <w:rPr>
          <w:u w:val="single"/>
        </w:rPr>
      </w:pPr>
      <w:r>
        <w:rPr>
          <w:u w:val="single"/>
        </w:rPr>
        <w:tab/>
      </w:r>
    </w:p>
  </w:footnote>
  <w:footnote w:type="continuationNotice" w:id="1">
    <w:p w:rsidR="00A709B7" w:rsidRPr="00AC3823" w:rsidRDefault="00A709B7">
      <w:pPr>
        <w:spacing w:line="240" w:lineRule="auto"/>
        <w:rPr>
          <w:sz w:val="2"/>
          <w:szCs w:val="2"/>
        </w:rPr>
      </w:pPr>
    </w:p>
  </w:footnote>
  <w:footnote w:id="2">
    <w:p w:rsidR="00A709B7" w:rsidRPr="00F83290" w:rsidRDefault="00A709B7">
      <w:pPr>
        <w:pStyle w:val="FootnoteText"/>
      </w:pPr>
      <w:r>
        <w:rPr>
          <w:rStyle w:val="FootnoteReference"/>
        </w:rPr>
        <w:tab/>
      </w:r>
      <w:r w:rsidRPr="00F83290">
        <w:rPr>
          <w:rStyle w:val="FootnoteReference"/>
          <w:sz w:val="20"/>
          <w:vertAlign w:val="baseline"/>
        </w:rPr>
        <w:t>*</w:t>
      </w:r>
      <w:r>
        <w:rPr>
          <w:rStyle w:val="FootnoteReference"/>
          <w:sz w:val="20"/>
          <w:vertAlign w:val="baseline"/>
        </w:rPr>
        <w:tab/>
      </w:r>
      <w:r w:rsidRPr="00A748AD">
        <w:rPr>
          <w:szCs w:val="18"/>
          <w:lang w:val="fr-FR"/>
        </w:rPr>
        <w:t>Conformément au programme de travail du Comité des transports intérieurs pour la période 2016</w:t>
      </w:r>
      <w:r>
        <w:rPr>
          <w:szCs w:val="18"/>
          <w:lang w:val="fr-FR"/>
        </w:rPr>
        <w:t>-</w:t>
      </w:r>
      <w:r w:rsidRPr="00A748AD">
        <w:rPr>
          <w:szCs w:val="18"/>
          <w:lang w:val="fr-FR"/>
        </w:rPr>
        <w:t>2017 (ECE/TRANS/254, par.</w:t>
      </w:r>
      <w:r>
        <w:rPr>
          <w:szCs w:val="18"/>
          <w:lang w:val="fr-FR"/>
        </w:rPr>
        <w:t> </w:t>
      </w:r>
      <w:r w:rsidRPr="00A748AD">
        <w:rPr>
          <w:szCs w:val="18"/>
          <w:lang w:val="fr-FR"/>
        </w:rPr>
        <w:t xml:space="preserve">159 et ECE/TRANS/2016/28/Add.1, module 3.1), </w:t>
      </w:r>
      <w:r w:rsidRPr="00A748AD">
        <w:rPr>
          <w:lang w:val="fr-FR"/>
        </w:rPr>
        <w:t>le Forum mondial a</w:t>
      </w:r>
      <w:r>
        <w:rPr>
          <w:lang w:val="fr-FR"/>
        </w:rPr>
        <w:t> </w:t>
      </w:r>
      <w:r w:rsidRPr="00A748AD">
        <w:rPr>
          <w:lang w:val="fr-FR"/>
        </w:rPr>
        <w:t>pour mission d’élaborer, d’harmoniser et de mettre à jour les Règlements en vue d’améliorer les caractéristiques fonctionnelles des véhicules</w:t>
      </w:r>
      <w:r w:rsidRPr="00A748AD">
        <w:rPr>
          <w:szCs w:val="18"/>
          <w:lang w:val="fr-FR"/>
        </w:rPr>
        <w:t>. Le présent document est soumis dans le cadre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9B7" w:rsidRPr="0021587E" w:rsidRDefault="00A709B7">
    <w:pPr>
      <w:pStyle w:val="Header"/>
    </w:pPr>
    <w:r>
      <w:t>ECE/TRANS/WP.29/2016/71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9B7" w:rsidRPr="0021587E" w:rsidRDefault="00A709B7" w:rsidP="0021587E">
    <w:pPr>
      <w:pStyle w:val="Header"/>
      <w:jc w:val="right"/>
    </w:pPr>
    <w:r>
      <w:t>ECE/TRANS/WP.29/2016/71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nsid w:val="70314E00"/>
    <w:multiLevelType w:val="hybridMultilevel"/>
    <w:tmpl w:val="E0BC4CF0"/>
    <w:lvl w:ilvl="0" w:tplc="8634F0DC">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4">
    <w:nsid w:val="7A474628"/>
    <w:multiLevelType w:val="hybridMultilevel"/>
    <w:tmpl w:val="79843CCC"/>
    <w:lvl w:ilvl="0" w:tplc="8634F0DC">
      <w:start w:val="1"/>
      <w:numFmt w:val="decimal"/>
      <w:lvlText w:val="%1."/>
      <w:lvlJc w:val="left"/>
      <w:pPr>
        <w:ind w:left="2823" w:hanging="555"/>
      </w:pPr>
      <w:rPr>
        <w:rFonts w:hint="default"/>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5">
    <w:nsid w:val="7B1E73A3"/>
    <w:multiLevelType w:val="hybridMultilevel"/>
    <w:tmpl w:val="244E24C4"/>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06"/>
    <w:rsid w:val="00017F94"/>
    <w:rsid w:val="00023842"/>
    <w:rsid w:val="000334F9"/>
    <w:rsid w:val="0007796D"/>
    <w:rsid w:val="000B7790"/>
    <w:rsid w:val="00111F2F"/>
    <w:rsid w:val="00131D06"/>
    <w:rsid w:val="0014365E"/>
    <w:rsid w:val="00143C66"/>
    <w:rsid w:val="00176178"/>
    <w:rsid w:val="001E07F6"/>
    <w:rsid w:val="001F525A"/>
    <w:rsid w:val="0021587E"/>
    <w:rsid w:val="00223272"/>
    <w:rsid w:val="0024779E"/>
    <w:rsid w:val="00257168"/>
    <w:rsid w:val="00264BE0"/>
    <w:rsid w:val="002744B8"/>
    <w:rsid w:val="002832AC"/>
    <w:rsid w:val="002D7C93"/>
    <w:rsid w:val="002F1B3E"/>
    <w:rsid w:val="00305801"/>
    <w:rsid w:val="00337896"/>
    <w:rsid w:val="003916DE"/>
    <w:rsid w:val="00441C3B"/>
    <w:rsid w:val="00446FE5"/>
    <w:rsid w:val="00452396"/>
    <w:rsid w:val="00454015"/>
    <w:rsid w:val="004837D8"/>
    <w:rsid w:val="004E468C"/>
    <w:rsid w:val="005505B7"/>
    <w:rsid w:val="00573BE5"/>
    <w:rsid w:val="00586ED3"/>
    <w:rsid w:val="00596AA9"/>
    <w:rsid w:val="00615036"/>
    <w:rsid w:val="00675912"/>
    <w:rsid w:val="0071601D"/>
    <w:rsid w:val="007A62E6"/>
    <w:rsid w:val="007F20FA"/>
    <w:rsid w:val="0080684C"/>
    <w:rsid w:val="00831A94"/>
    <w:rsid w:val="00871C75"/>
    <w:rsid w:val="008776DC"/>
    <w:rsid w:val="00935EFE"/>
    <w:rsid w:val="009408AF"/>
    <w:rsid w:val="00967D2D"/>
    <w:rsid w:val="009705C8"/>
    <w:rsid w:val="009875ED"/>
    <w:rsid w:val="009C1CF4"/>
    <w:rsid w:val="009F6B74"/>
    <w:rsid w:val="00A30353"/>
    <w:rsid w:val="00A709B7"/>
    <w:rsid w:val="00A7792B"/>
    <w:rsid w:val="00A862CF"/>
    <w:rsid w:val="00AC3823"/>
    <w:rsid w:val="00AE323C"/>
    <w:rsid w:val="00AF0CB5"/>
    <w:rsid w:val="00B00181"/>
    <w:rsid w:val="00B00B0D"/>
    <w:rsid w:val="00B30E9C"/>
    <w:rsid w:val="00B765F7"/>
    <w:rsid w:val="00BA0CA9"/>
    <w:rsid w:val="00C02897"/>
    <w:rsid w:val="00C24A7E"/>
    <w:rsid w:val="00CB0919"/>
    <w:rsid w:val="00CF2D05"/>
    <w:rsid w:val="00D3439C"/>
    <w:rsid w:val="00D47D64"/>
    <w:rsid w:val="00DB1831"/>
    <w:rsid w:val="00DD3BFD"/>
    <w:rsid w:val="00DF6678"/>
    <w:rsid w:val="00E85C74"/>
    <w:rsid w:val="00EA6547"/>
    <w:rsid w:val="00EF2E22"/>
    <w:rsid w:val="00F35BAF"/>
    <w:rsid w:val="00F660DF"/>
    <w:rsid w:val="00F83290"/>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A7792B"/>
    <w:rPr>
      <w:rFonts w:ascii="Times New Roman" w:hAnsi="Times New Roman" w:cs="Times New Roman"/>
      <w:b/>
      <w:sz w:val="28"/>
      <w:szCs w:val="20"/>
      <w:lang w:eastAsia="en-US"/>
    </w:rPr>
  </w:style>
  <w:style w:type="character" w:customStyle="1" w:styleId="H1GChar">
    <w:name w:val="_ H_1_G Char"/>
    <w:link w:val="H1G"/>
    <w:rsid w:val="00A7792B"/>
    <w:rPr>
      <w:rFonts w:ascii="Times New Roman" w:hAnsi="Times New Roman" w:cs="Times New Roman"/>
      <w:b/>
      <w:sz w:val="24"/>
      <w:szCs w:val="20"/>
      <w:lang w:eastAsia="en-US"/>
    </w:rPr>
  </w:style>
  <w:style w:type="character" w:customStyle="1" w:styleId="SingleTxtGChar">
    <w:name w:val="_ Single Txt_G Char"/>
    <w:link w:val="SingleTxtG"/>
    <w:rsid w:val="00264BE0"/>
    <w:rPr>
      <w:rFonts w:ascii="Times New Roman" w:hAnsi="Times New Roman" w:cs="Times New Roman"/>
      <w:sz w:val="20"/>
      <w:szCs w:val="20"/>
      <w:lang w:eastAsia="en-US"/>
    </w:rPr>
  </w:style>
  <w:style w:type="paragraph" w:styleId="ListParagraph">
    <w:name w:val="List Paragraph"/>
    <w:basedOn w:val="Normal"/>
    <w:uiPriority w:val="34"/>
    <w:semiHidden/>
    <w:qFormat/>
    <w:rsid w:val="006759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A7792B"/>
    <w:rPr>
      <w:rFonts w:ascii="Times New Roman" w:hAnsi="Times New Roman" w:cs="Times New Roman"/>
      <w:b/>
      <w:sz w:val="28"/>
      <w:szCs w:val="20"/>
      <w:lang w:eastAsia="en-US"/>
    </w:rPr>
  </w:style>
  <w:style w:type="character" w:customStyle="1" w:styleId="H1GChar">
    <w:name w:val="_ H_1_G Char"/>
    <w:link w:val="H1G"/>
    <w:rsid w:val="00A7792B"/>
    <w:rPr>
      <w:rFonts w:ascii="Times New Roman" w:hAnsi="Times New Roman" w:cs="Times New Roman"/>
      <w:b/>
      <w:sz w:val="24"/>
      <w:szCs w:val="20"/>
      <w:lang w:eastAsia="en-US"/>
    </w:rPr>
  </w:style>
  <w:style w:type="character" w:customStyle="1" w:styleId="SingleTxtGChar">
    <w:name w:val="_ Single Txt_G Char"/>
    <w:link w:val="SingleTxtG"/>
    <w:rsid w:val="00264BE0"/>
    <w:rPr>
      <w:rFonts w:ascii="Times New Roman" w:hAnsi="Times New Roman" w:cs="Times New Roman"/>
      <w:sz w:val="20"/>
      <w:szCs w:val="20"/>
      <w:lang w:eastAsia="en-US"/>
    </w:rPr>
  </w:style>
  <w:style w:type="paragraph" w:styleId="ListParagraph">
    <w:name w:val="List Paragraph"/>
    <w:basedOn w:val="Normal"/>
    <w:uiPriority w:val="34"/>
    <w:semiHidden/>
    <w:qFormat/>
    <w:rsid w:val="00675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2641</Words>
  <Characters>15056</Characters>
  <Application>Microsoft Office Word</Application>
  <DocSecurity>4</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ECE/TRANS/WP.29/2016/71</vt:lpstr>
      <vt:lpstr>ECE/TRANS/WP.29/2016/71</vt:lpstr>
    </vt:vector>
  </TitlesOfParts>
  <Company>DCM</Company>
  <LinksUpToDate>false</LinksUpToDate>
  <CharactersWithSpaces>17662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ECE/TRANS/WP.29/2016/71</dc:title>
  <dc:creator>Robert Corinne</dc:creator>
  <cp:lastModifiedBy>Benedicte Boudol</cp:lastModifiedBy>
  <cp:revision>2</cp:revision>
  <cp:lastPrinted>2014-05-14T10:59:00Z</cp:lastPrinted>
  <dcterms:created xsi:type="dcterms:W3CDTF">2016-05-18T07:00:00Z</dcterms:created>
  <dcterms:modified xsi:type="dcterms:W3CDTF">2016-05-18T07:00:00Z</dcterms:modified>
</cp:coreProperties>
</file>