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6775F0">
                <w:t>TRANS/WP.29/2016/65</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707F56">
              <w:fldChar w:fldCharType="separate"/>
            </w:r>
            <w:r w:rsidRPr="00245892">
              <w:fldChar w:fldCharType="end"/>
            </w:r>
            <w:bookmarkEnd w:id="1"/>
          </w:p>
          <w:p w:rsidR="00A658DB" w:rsidRPr="00245892" w:rsidRDefault="00A658DB" w:rsidP="007B199D">
            <w:fldSimple w:instr=" FILLIN  &quot;Введите дату документа&quot; \* MERGEFORMAT ">
              <w:r w:rsidR="006775F0">
                <w:t>12 April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707F56">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6775F0" w:rsidRPr="006775F0" w:rsidRDefault="006775F0" w:rsidP="006775F0">
      <w:pPr>
        <w:spacing w:before="120" w:after="120" w:line="240" w:lineRule="auto"/>
        <w:rPr>
          <w:sz w:val="28"/>
          <w:szCs w:val="28"/>
          <w:lang w:val="en-US" w:bidi="ru-RU"/>
        </w:rPr>
      </w:pPr>
      <w:r w:rsidRPr="006775F0">
        <w:rPr>
          <w:sz w:val="28"/>
          <w:szCs w:val="28"/>
          <w:lang w:val="en-US" w:bidi="ru-RU"/>
        </w:rPr>
        <w:t>Комитет по внутреннему транспорту</w:t>
      </w:r>
    </w:p>
    <w:p w:rsidR="006775F0" w:rsidRPr="006775F0" w:rsidRDefault="006775F0" w:rsidP="006775F0">
      <w:pPr>
        <w:spacing w:after="120" w:line="240" w:lineRule="auto"/>
        <w:rPr>
          <w:b/>
          <w:sz w:val="24"/>
          <w:szCs w:val="24"/>
          <w:lang w:bidi="ru-RU"/>
        </w:rPr>
      </w:pPr>
      <w:r w:rsidRPr="006775F0">
        <w:rPr>
          <w:b/>
          <w:sz w:val="24"/>
          <w:szCs w:val="24"/>
          <w:lang w:bidi="ru-RU"/>
        </w:rPr>
        <w:t xml:space="preserve">Всемирный форум для согласования правил </w:t>
      </w:r>
      <w:r w:rsidRPr="006775F0">
        <w:rPr>
          <w:b/>
          <w:sz w:val="24"/>
          <w:szCs w:val="24"/>
          <w:lang w:bidi="ru-RU"/>
        </w:rPr>
        <w:br/>
        <w:t>в области транспортных средств</w:t>
      </w:r>
    </w:p>
    <w:p w:rsidR="006775F0" w:rsidRPr="006775F0" w:rsidRDefault="006775F0" w:rsidP="006775F0">
      <w:pPr>
        <w:spacing w:line="240" w:lineRule="auto"/>
        <w:rPr>
          <w:b/>
          <w:lang w:bidi="ru-RU"/>
        </w:rPr>
      </w:pPr>
      <w:r w:rsidRPr="006775F0">
        <w:rPr>
          <w:b/>
          <w:lang w:bidi="ru-RU"/>
        </w:rPr>
        <w:t>169-я сессия</w:t>
      </w:r>
    </w:p>
    <w:p w:rsidR="006775F0" w:rsidRPr="006775F0" w:rsidRDefault="006775F0" w:rsidP="006775F0">
      <w:pPr>
        <w:spacing w:line="240" w:lineRule="auto"/>
        <w:rPr>
          <w:lang w:bidi="ru-RU"/>
        </w:rPr>
      </w:pPr>
      <w:r w:rsidRPr="006775F0">
        <w:rPr>
          <w:lang w:bidi="ru-RU"/>
        </w:rPr>
        <w:t>Женева, 21</w:t>
      </w:r>
      <w:r w:rsidRPr="00DD0EA4">
        <w:rPr>
          <w:lang w:bidi="ru-RU"/>
        </w:rPr>
        <w:t>–</w:t>
      </w:r>
      <w:r w:rsidRPr="006775F0">
        <w:rPr>
          <w:lang w:bidi="ru-RU"/>
        </w:rPr>
        <w:t>24 июня 2016 года</w:t>
      </w:r>
    </w:p>
    <w:p w:rsidR="006775F0" w:rsidRPr="006775F0" w:rsidRDefault="006775F0" w:rsidP="006775F0">
      <w:pPr>
        <w:spacing w:line="240" w:lineRule="auto"/>
        <w:rPr>
          <w:lang w:bidi="ru-RU"/>
        </w:rPr>
      </w:pPr>
      <w:r w:rsidRPr="006775F0">
        <w:rPr>
          <w:lang w:bidi="ru-RU"/>
        </w:rPr>
        <w:t>Пункты 13 и 14 предварительной повестки дня</w:t>
      </w:r>
    </w:p>
    <w:p w:rsidR="00A658DB" w:rsidRPr="006775F0" w:rsidRDefault="006775F0" w:rsidP="006775F0">
      <w:pPr>
        <w:spacing w:line="240" w:lineRule="auto"/>
      </w:pPr>
      <w:r w:rsidRPr="006775F0">
        <w:rPr>
          <w:b/>
          <w:lang w:bidi="ru-RU"/>
        </w:rPr>
        <w:t xml:space="preserve">Рассмотрение </w:t>
      </w:r>
      <w:r w:rsidRPr="006775F0">
        <w:rPr>
          <w:b/>
          <w:lang w:val="en-US" w:bidi="ru-RU"/>
        </w:rPr>
        <w:t>AC</w:t>
      </w:r>
      <w:r w:rsidRPr="006775F0">
        <w:rPr>
          <w:b/>
          <w:lang w:bidi="ru-RU"/>
        </w:rPr>
        <w:t>.3 проектов глобальных технических</w:t>
      </w:r>
      <w:r w:rsidRPr="006775F0">
        <w:rPr>
          <w:b/>
          <w:lang w:bidi="ru-RU"/>
        </w:rPr>
        <w:br/>
        <w:t xml:space="preserve">правил ООН, проекта специальной резолюции </w:t>
      </w:r>
      <w:r w:rsidRPr="006775F0">
        <w:rPr>
          <w:b/>
          <w:lang w:bidi="ru-RU"/>
        </w:rPr>
        <w:br/>
        <w:t xml:space="preserve">и/или проектов поправок к введенным глобальным </w:t>
      </w:r>
      <w:r w:rsidRPr="006775F0">
        <w:rPr>
          <w:b/>
          <w:lang w:bidi="ru-RU"/>
        </w:rPr>
        <w:br/>
        <w:t xml:space="preserve">техническим правилам ООН и голосование по ним </w:t>
      </w:r>
      <w:r w:rsidR="00151F1B" w:rsidRPr="00151F1B">
        <w:rPr>
          <w:b/>
          <w:lang w:bidi="ru-RU"/>
        </w:rPr>
        <w:t>–</w:t>
      </w:r>
      <w:r w:rsidRPr="006775F0">
        <w:rPr>
          <w:b/>
          <w:lang w:bidi="ru-RU"/>
        </w:rPr>
        <w:t xml:space="preserve"> </w:t>
      </w:r>
      <w:r w:rsidRPr="006775F0">
        <w:rPr>
          <w:b/>
          <w:lang w:bidi="ru-RU"/>
        </w:rPr>
        <w:br/>
        <w:t xml:space="preserve">Предложение в отношении новой специальной </w:t>
      </w:r>
      <w:r w:rsidRPr="006775F0">
        <w:rPr>
          <w:b/>
          <w:lang w:bidi="ru-RU"/>
        </w:rPr>
        <w:br/>
        <w:t>резолюции № 2 (СпР.2)</w:t>
      </w:r>
    </w:p>
    <w:p w:rsidR="006775F0" w:rsidRPr="006775F0" w:rsidRDefault="006775F0" w:rsidP="006775F0">
      <w:pPr>
        <w:pStyle w:val="HChGR"/>
        <w:rPr>
          <w:lang w:bidi="ru-RU"/>
        </w:rPr>
      </w:pPr>
      <w:r w:rsidRPr="00151F1B">
        <w:rPr>
          <w:lang w:bidi="ru-RU"/>
        </w:rPr>
        <w:tab/>
      </w:r>
      <w:r w:rsidRPr="00151F1B">
        <w:rPr>
          <w:lang w:bidi="ru-RU"/>
        </w:rPr>
        <w:tab/>
      </w:r>
      <w:r w:rsidRPr="006775F0">
        <w:rPr>
          <w:lang w:bidi="ru-RU"/>
        </w:rPr>
        <w:t xml:space="preserve">Предложение в отношении новой специальной резолюции № 2 (СпР.2) </w:t>
      </w:r>
      <w:r w:rsidR="00151F1B" w:rsidRPr="00151F1B">
        <w:rPr>
          <w:lang w:bidi="ru-RU"/>
        </w:rPr>
        <w:t>–</w:t>
      </w:r>
      <w:r w:rsidRPr="006775F0">
        <w:rPr>
          <w:lang w:bidi="ru-RU"/>
        </w:rPr>
        <w:t xml:space="preserve"> Совершенствование процесса осуществления Глобального соглашения 1998 года</w:t>
      </w:r>
    </w:p>
    <w:p w:rsidR="006775F0" w:rsidRPr="006775F0" w:rsidRDefault="006775F0" w:rsidP="006775F0">
      <w:pPr>
        <w:pStyle w:val="H1GR"/>
        <w:rPr>
          <w:lang w:bidi="ru-RU"/>
        </w:rPr>
      </w:pPr>
      <w:r w:rsidRPr="00151F1B">
        <w:rPr>
          <w:lang w:bidi="ru-RU"/>
        </w:rPr>
        <w:tab/>
      </w:r>
      <w:r w:rsidRPr="00151F1B">
        <w:rPr>
          <w:lang w:bidi="ru-RU"/>
        </w:rPr>
        <w:tab/>
      </w:r>
      <w:r w:rsidRPr="006775F0">
        <w:rPr>
          <w:lang w:bidi="ru-RU"/>
        </w:rPr>
        <w:t>Передано представителями Европейского союза, Соединенных Штатов Америки и Японии</w:t>
      </w:r>
      <w:r w:rsidRPr="006775F0">
        <w:rPr>
          <w:b w:val="0"/>
          <w:sz w:val="20"/>
          <w:lang w:bidi="ru-RU"/>
        </w:rPr>
        <w:footnoteReference w:customMarkFollows="1" w:id="1"/>
        <w:t>*</w:t>
      </w:r>
    </w:p>
    <w:p w:rsidR="006775F0" w:rsidRPr="00DD0EA4" w:rsidRDefault="006775F0" w:rsidP="006775F0">
      <w:pPr>
        <w:pStyle w:val="SingleTxtGR"/>
        <w:rPr>
          <w:lang w:bidi="ru-RU"/>
        </w:rPr>
      </w:pPr>
      <w:r w:rsidRPr="00DD0EA4">
        <w:rPr>
          <w:lang w:bidi="ru-RU"/>
        </w:rPr>
        <w:tab/>
      </w:r>
      <w:r w:rsidRPr="006775F0">
        <w:rPr>
          <w:lang w:bidi="ru-RU"/>
        </w:rPr>
        <w:t xml:space="preserve">Воспроизведенный ниже текст был передан представителями </w:t>
      </w:r>
      <w:r w:rsidR="002C684D" w:rsidRPr="006775F0">
        <w:rPr>
          <w:lang w:bidi="ru-RU"/>
        </w:rPr>
        <w:t>Европе</w:t>
      </w:r>
      <w:r w:rsidR="002C684D" w:rsidRPr="006775F0">
        <w:rPr>
          <w:lang w:bidi="ru-RU"/>
        </w:rPr>
        <w:t>й</w:t>
      </w:r>
      <w:r w:rsidR="002C684D" w:rsidRPr="006775F0">
        <w:rPr>
          <w:lang w:bidi="ru-RU"/>
        </w:rPr>
        <w:t>ского союза</w:t>
      </w:r>
      <w:r w:rsidR="002C684D">
        <w:rPr>
          <w:lang w:bidi="ru-RU"/>
        </w:rPr>
        <w:t>,</w:t>
      </w:r>
      <w:r w:rsidR="002C684D" w:rsidRPr="006775F0">
        <w:rPr>
          <w:lang w:bidi="ru-RU"/>
        </w:rPr>
        <w:t xml:space="preserve"> </w:t>
      </w:r>
      <w:r w:rsidRPr="006775F0">
        <w:rPr>
          <w:lang w:bidi="ru-RU"/>
        </w:rPr>
        <w:t>Соединенных Штатов Америки</w:t>
      </w:r>
      <w:r w:rsidR="002C684D">
        <w:rPr>
          <w:lang w:bidi="ru-RU"/>
        </w:rPr>
        <w:t xml:space="preserve"> и</w:t>
      </w:r>
      <w:r w:rsidRPr="006775F0">
        <w:rPr>
          <w:lang w:bidi="ru-RU"/>
        </w:rPr>
        <w:t xml:space="preserve"> Японии. В его основу положен неофициальный документ WP.29-168-08, распространенный в ходе сорок ш</w:t>
      </w:r>
      <w:r w:rsidRPr="006775F0">
        <w:rPr>
          <w:lang w:bidi="ru-RU"/>
        </w:rPr>
        <w:t>е</w:t>
      </w:r>
      <w:r w:rsidRPr="006775F0">
        <w:rPr>
          <w:lang w:bidi="ru-RU"/>
        </w:rPr>
        <w:t>стой сессии Исполнительного комитета WP.29 (AC.3) (E</w:t>
      </w:r>
      <w:r w:rsidR="00151F1B">
        <w:rPr>
          <w:lang w:bidi="ru-RU"/>
        </w:rPr>
        <w:t>CE/TRANS/WP.29/1120, пункты 101</w:t>
      </w:r>
      <w:r w:rsidR="00151F1B" w:rsidRPr="00151F1B">
        <w:rPr>
          <w:lang w:bidi="ru-RU"/>
        </w:rPr>
        <w:t>–</w:t>
      </w:r>
      <w:r w:rsidRPr="006775F0">
        <w:rPr>
          <w:lang w:bidi="ru-RU"/>
        </w:rPr>
        <w:t>103). Цель предлагаемой специальной резолюции состоит в ус</w:t>
      </w:r>
      <w:r w:rsidRPr="006775F0">
        <w:rPr>
          <w:lang w:bidi="ru-RU"/>
        </w:rPr>
        <w:t>о</w:t>
      </w:r>
      <w:r w:rsidRPr="006775F0">
        <w:rPr>
          <w:lang w:bidi="ru-RU"/>
        </w:rPr>
        <w:t>вершенствовании процесса осуществления Соглашения 1998 года, а не во вн</w:t>
      </w:r>
      <w:r w:rsidRPr="006775F0">
        <w:rPr>
          <w:lang w:bidi="ru-RU"/>
        </w:rPr>
        <w:t>е</w:t>
      </w:r>
      <w:r w:rsidRPr="006775F0">
        <w:rPr>
          <w:lang w:bidi="ru-RU"/>
        </w:rPr>
        <w:t>сении в него поправок. Она представляется АС.3 для рассмотрения и голосов</w:t>
      </w:r>
      <w:r w:rsidRPr="006775F0">
        <w:rPr>
          <w:lang w:bidi="ru-RU"/>
        </w:rPr>
        <w:t>а</w:t>
      </w:r>
      <w:r w:rsidRPr="006775F0">
        <w:rPr>
          <w:lang w:bidi="ru-RU"/>
        </w:rPr>
        <w:t>ния на его сессии в июне 2016 года.</w:t>
      </w:r>
    </w:p>
    <w:p w:rsidR="006775F0" w:rsidRPr="00DD0EA4" w:rsidRDefault="009F2F6C" w:rsidP="009F2F6C">
      <w:pPr>
        <w:pStyle w:val="SingleTxtGR"/>
        <w:suppressAutoHyphens/>
        <w:ind w:left="0" w:right="0"/>
        <w:jc w:val="left"/>
        <w:rPr>
          <w:sz w:val="28"/>
        </w:rPr>
      </w:pPr>
      <w:r w:rsidRPr="00DD0EA4">
        <w:rPr>
          <w:sz w:val="28"/>
        </w:rPr>
        <w:lastRenderedPageBreak/>
        <w:t>Содержание</w:t>
      </w:r>
    </w:p>
    <w:p w:rsidR="009F2F6C" w:rsidRPr="00DD0EA4" w:rsidRDefault="009F2F6C" w:rsidP="009F2F6C">
      <w:pPr>
        <w:pStyle w:val="SingleTxtGR"/>
        <w:tabs>
          <w:tab w:val="clear" w:pos="1701"/>
          <w:tab w:val="clear" w:pos="2268"/>
          <w:tab w:val="clear" w:pos="2835"/>
          <w:tab w:val="clear" w:pos="3402"/>
          <w:tab w:val="clear" w:pos="3969"/>
          <w:tab w:val="right" w:pos="9638"/>
        </w:tabs>
        <w:suppressAutoHyphens/>
        <w:ind w:left="283" w:right="0"/>
        <w:jc w:val="left"/>
        <w:rPr>
          <w:sz w:val="18"/>
        </w:rPr>
      </w:pPr>
      <w:r w:rsidRPr="00DD0EA4">
        <w:rPr>
          <w:i/>
          <w:sz w:val="18"/>
        </w:rPr>
        <w:tab/>
        <w:t>Стр.</w:t>
      </w:r>
    </w:p>
    <w:p w:rsidR="009F2F6C" w:rsidRDefault="009F2F6C" w:rsidP="009F2F6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D0EA4">
        <w:tab/>
      </w:r>
      <w:r>
        <w:rPr>
          <w:lang w:val="en-US"/>
        </w:rPr>
        <w:t>I</w:t>
      </w:r>
      <w:r w:rsidRPr="00DD0EA4">
        <w:t>.</w:t>
      </w:r>
      <w:r w:rsidRPr="00DD0EA4">
        <w:tab/>
      </w:r>
      <w:r>
        <w:t>Преамбула</w:t>
      </w:r>
      <w:r>
        <w:tab/>
      </w:r>
      <w:r>
        <w:tab/>
        <w:t>3</w:t>
      </w:r>
    </w:p>
    <w:p w:rsidR="009F2F6C" w:rsidRDefault="009F2F6C" w:rsidP="009F2F6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lang w:bidi="ru-RU"/>
        </w:rPr>
      </w:pPr>
      <w:r>
        <w:tab/>
      </w:r>
      <w:r w:rsidRPr="009F2F6C">
        <w:rPr>
          <w:lang w:bidi="ru-RU"/>
        </w:rPr>
        <w:t>II.</w:t>
      </w:r>
      <w:r w:rsidRPr="009F2F6C">
        <w:rPr>
          <w:lang w:bidi="ru-RU"/>
        </w:rPr>
        <w:tab/>
        <w:t xml:space="preserve">Специальная резолюция № 2 (СпР.2) </w:t>
      </w:r>
      <w:r>
        <w:rPr>
          <w:lang w:bidi="ru-RU"/>
        </w:rPr>
        <w:t>–</w:t>
      </w:r>
      <w:r w:rsidRPr="009F2F6C">
        <w:rPr>
          <w:lang w:bidi="ru-RU"/>
        </w:rPr>
        <w:t xml:space="preserve"> Совершенствование процесса </w:t>
      </w:r>
      <w:r>
        <w:rPr>
          <w:lang w:bidi="ru-RU"/>
        </w:rPr>
        <w:br/>
      </w:r>
      <w:r w:rsidRPr="009F2F6C">
        <w:rPr>
          <w:lang w:bidi="ru-RU"/>
        </w:rPr>
        <w:t>осуществления Глобального соглашения 1998 года</w:t>
      </w:r>
      <w:r>
        <w:rPr>
          <w:lang w:bidi="ru-RU"/>
        </w:rPr>
        <w:tab/>
      </w:r>
      <w:r>
        <w:rPr>
          <w:lang w:bidi="ru-RU"/>
        </w:rPr>
        <w:tab/>
      </w:r>
      <w:r w:rsidR="002C684D">
        <w:rPr>
          <w:lang w:bidi="ru-RU"/>
        </w:rPr>
        <w:t>4</w:t>
      </w:r>
    </w:p>
    <w:p w:rsidR="009F2F6C" w:rsidRDefault="009F2F6C" w:rsidP="009F2F6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lang w:bidi="ru-RU"/>
        </w:rPr>
      </w:pPr>
      <w:r>
        <w:rPr>
          <w:lang w:bidi="ru-RU"/>
        </w:rPr>
        <w:tab/>
      </w:r>
      <w:r>
        <w:rPr>
          <w:lang w:bidi="ru-RU"/>
        </w:rPr>
        <w:tab/>
        <w:t>А.</w:t>
      </w:r>
      <w:r>
        <w:rPr>
          <w:lang w:bidi="ru-RU"/>
        </w:rPr>
        <w:tab/>
      </w:r>
      <w:r w:rsidRPr="009F2F6C">
        <w:rPr>
          <w:lang w:bidi="ru-RU"/>
        </w:rPr>
        <w:t>Введение</w:t>
      </w:r>
      <w:r w:rsidR="00DD0EA4">
        <w:rPr>
          <w:lang w:bidi="ru-RU"/>
        </w:rPr>
        <w:t xml:space="preserve"> и</w:t>
      </w:r>
      <w:r w:rsidRPr="009F2F6C">
        <w:rPr>
          <w:lang w:bidi="ru-RU"/>
        </w:rPr>
        <w:t xml:space="preserve"> резюме</w:t>
      </w:r>
      <w:r>
        <w:rPr>
          <w:lang w:bidi="ru-RU"/>
        </w:rPr>
        <w:tab/>
      </w:r>
      <w:r>
        <w:rPr>
          <w:lang w:bidi="ru-RU"/>
        </w:rPr>
        <w:tab/>
      </w:r>
      <w:r w:rsidR="002C684D">
        <w:rPr>
          <w:lang w:bidi="ru-RU"/>
        </w:rPr>
        <w:t>4</w:t>
      </w:r>
    </w:p>
    <w:p w:rsidR="009F2F6C" w:rsidRPr="009F2F6C" w:rsidRDefault="009F2F6C" w:rsidP="00416BE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lang w:bidi="ru-RU"/>
        </w:rPr>
      </w:pPr>
      <w:r>
        <w:rPr>
          <w:lang w:bidi="ru-RU"/>
        </w:rPr>
        <w:tab/>
      </w:r>
      <w:r w:rsidR="00416BE6">
        <w:rPr>
          <w:lang w:val="en-US" w:bidi="ru-RU"/>
        </w:rPr>
        <w:tab/>
      </w:r>
      <w:r>
        <w:rPr>
          <w:lang w:bidi="ru-RU"/>
        </w:rPr>
        <w:t>В.</w:t>
      </w:r>
      <w:r>
        <w:rPr>
          <w:lang w:bidi="ru-RU"/>
        </w:rPr>
        <w:tab/>
      </w:r>
      <w:r w:rsidRPr="009F2F6C">
        <w:rPr>
          <w:lang w:bidi="ru-RU"/>
        </w:rPr>
        <w:t>Справочная информация</w:t>
      </w:r>
      <w:r w:rsidR="00416BE6">
        <w:rPr>
          <w:lang w:bidi="ru-RU"/>
        </w:rPr>
        <w:tab/>
      </w:r>
      <w:r>
        <w:rPr>
          <w:lang w:bidi="ru-RU"/>
        </w:rPr>
        <w:tab/>
      </w:r>
      <w:r w:rsidR="002C684D">
        <w:rPr>
          <w:lang w:bidi="ru-RU"/>
        </w:rPr>
        <w:t>4</w:t>
      </w:r>
    </w:p>
    <w:p w:rsidR="009F2F6C" w:rsidRPr="009F2F6C" w:rsidRDefault="009F2F6C" w:rsidP="00416BE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lang w:bidi="ru-RU"/>
        </w:rPr>
      </w:pPr>
      <w:r w:rsidRPr="009F2F6C">
        <w:rPr>
          <w:lang w:bidi="ru-RU"/>
        </w:rPr>
        <w:tab/>
      </w:r>
      <w:r w:rsidR="00416BE6">
        <w:rPr>
          <w:lang w:val="en-US" w:bidi="ru-RU"/>
        </w:rPr>
        <w:tab/>
      </w:r>
      <w:r w:rsidRPr="009F2F6C">
        <w:rPr>
          <w:lang w:bidi="ru-RU"/>
        </w:rPr>
        <w:t>C.</w:t>
      </w:r>
      <w:r w:rsidRPr="009F2F6C">
        <w:rPr>
          <w:lang w:bidi="ru-RU"/>
        </w:rPr>
        <w:tab/>
        <w:t>Выдержки из Соглашения 1998 года</w:t>
      </w:r>
      <w:r>
        <w:rPr>
          <w:lang w:bidi="ru-RU"/>
        </w:rPr>
        <w:tab/>
      </w:r>
      <w:r>
        <w:rPr>
          <w:lang w:bidi="ru-RU"/>
        </w:rPr>
        <w:tab/>
      </w:r>
      <w:r w:rsidR="002C684D">
        <w:rPr>
          <w:lang w:bidi="ru-RU"/>
        </w:rPr>
        <w:t>4</w:t>
      </w:r>
    </w:p>
    <w:p w:rsidR="009F2F6C" w:rsidRPr="009F2F6C" w:rsidRDefault="009F2F6C" w:rsidP="009F2F6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rPr>
          <w:lang w:bidi="ru-RU"/>
        </w:rPr>
        <w:tab/>
      </w:r>
      <w:r>
        <w:rPr>
          <w:lang w:bidi="ru-RU"/>
        </w:rPr>
        <w:tab/>
        <w:t>D.</w:t>
      </w:r>
      <w:r>
        <w:rPr>
          <w:lang w:bidi="ru-RU"/>
        </w:rPr>
        <w:tab/>
      </w:r>
      <w:r w:rsidRPr="009F2F6C">
        <w:rPr>
          <w:lang w:bidi="ru-RU"/>
        </w:rPr>
        <w:t>Совершенствование процесса осуществления Соглашения 1998 года</w:t>
      </w:r>
      <w:r>
        <w:rPr>
          <w:lang w:bidi="ru-RU"/>
        </w:rPr>
        <w:tab/>
      </w:r>
      <w:r>
        <w:rPr>
          <w:lang w:bidi="ru-RU"/>
        </w:rPr>
        <w:tab/>
      </w:r>
      <w:r w:rsidR="002C684D">
        <w:rPr>
          <w:lang w:bidi="ru-RU"/>
        </w:rPr>
        <w:t>8</w:t>
      </w:r>
    </w:p>
    <w:p w:rsidR="009F2F6C" w:rsidRDefault="009F2F6C">
      <w:pPr>
        <w:spacing w:line="240" w:lineRule="auto"/>
      </w:pPr>
      <w:r>
        <w:br w:type="page"/>
      </w:r>
    </w:p>
    <w:p w:rsidR="009F2F6C" w:rsidRPr="009F2F6C" w:rsidRDefault="00151F1B" w:rsidP="00151F1B">
      <w:pPr>
        <w:pStyle w:val="HChGR"/>
        <w:rPr>
          <w:lang w:bidi="ru-RU"/>
        </w:rPr>
      </w:pPr>
      <w:r w:rsidRPr="002C684D">
        <w:rPr>
          <w:lang w:bidi="ru-RU"/>
        </w:rPr>
        <w:lastRenderedPageBreak/>
        <w:tab/>
      </w:r>
      <w:r>
        <w:rPr>
          <w:lang w:bidi="ru-RU"/>
        </w:rPr>
        <w:t>I.</w:t>
      </w:r>
      <w:r w:rsidRPr="00151F1B">
        <w:rPr>
          <w:lang w:bidi="ru-RU"/>
        </w:rPr>
        <w:tab/>
      </w:r>
      <w:r w:rsidR="009F2F6C" w:rsidRPr="009F2F6C">
        <w:rPr>
          <w:lang w:bidi="ru-RU"/>
        </w:rPr>
        <w:t>Преамбула</w:t>
      </w:r>
    </w:p>
    <w:p w:rsidR="009F2F6C" w:rsidRPr="009F2F6C" w:rsidRDefault="009F2F6C" w:rsidP="009F2F6C">
      <w:pPr>
        <w:pStyle w:val="SingleTxtGR"/>
        <w:rPr>
          <w:lang w:bidi="ru-RU"/>
        </w:rPr>
      </w:pPr>
      <w:r w:rsidRPr="009F2F6C">
        <w:rPr>
          <w:lang w:bidi="ru-RU"/>
        </w:rPr>
        <w:t>1.</w:t>
      </w:r>
      <w:r w:rsidRPr="009F2F6C">
        <w:rPr>
          <w:lang w:bidi="ru-RU"/>
        </w:rPr>
        <w:tab/>
        <w:t>Исполнительный комитет Соглашения 1998 года (АС.3),</w:t>
      </w:r>
    </w:p>
    <w:p w:rsidR="009F2F6C" w:rsidRPr="009F2F6C" w:rsidRDefault="009F2F6C" w:rsidP="009F2F6C">
      <w:pPr>
        <w:pStyle w:val="SingleTxtGR"/>
        <w:rPr>
          <w:lang w:bidi="ru-RU"/>
        </w:rPr>
      </w:pPr>
      <w:r w:rsidRPr="009F2F6C">
        <w:rPr>
          <w:lang w:bidi="ru-RU"/>
        </w:rPr>
        <w:t>2.</w:t>
      </w:r>
      <w:r w:rsidRPr="009F2F6C">
        <w:rPr>
          <w:lang w:bidi="ru-RU"/>
        </w:rPr>
        <w:tab/>
        <w:t>ЖЕЛАЯ ввести глобальные технические правила, обеспечивающие выс</w:t>
      </w:r>
      <w:r w:rsidRPr="009F2F6C">
        <w:rPr>
          <w:lang w:bidi="ru-RU"/>
        </w:rPr>
        <w:t>о</w:t>
      </w:r>
      <w:r w:rsidRPr="009F2F6C">
        <w:rPr>
          <w:lang w:bidi="ru-RU"/>
        </w:rPr>
        <w:t>кие уровни рабочих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безопасности, охраны окруж</w:t>
      </w:r>
      <w:r w:rsidRPr="009F2F6C">
        <w:rPr>
          <w:lang w:bidi="ru-RU"/>
        </w:rPr>
        <w:t>а</w:t>
      </w:r>
      <w:r w:rsidRPr="009F2F6C">
        <w:rPr>
          <w:lang w:bidi="ru-RU"/>
        </w:rPr>
        <w:t>ющей среды, эффективности использования энергии и защиты от угона,</w:t>
      </w:r>
    </w:p>
    <w:p w:rsidR="009F2F6C" w:rsidRPr="009F2F6C" w:rsidRDefault="009F2F6C" w:rsidP="009F2F6C">
      <w:pPr>
        <w:pStyle w:val="SingleTxtGR"/>
        <w:rPr>
          <w:lang w:bidi="ru-RU"/>
        </w:rPr>
      </w:pPr>
      <w:r w:rsidRPr="009F2F6C">
        <w:rPr>
          <w:lang w:bidi="ru-RU"/>
        </w:rPr>
        <w:t>3.</w:t>
      </w:r>
      <w:r w:rsidRPr="009F2F6C">
        <w:rPr>
          <w:lang w:bidi="ru-RU"/>
        </w:rPr>
        <w:tab/>
        <w:t>ПРИНИМАЯ ВО ВНИМАНИЕ, что Соглашение 1998 года о введении глобальных технических правил для колесных транспортных средств, предм</w:t>
      </w:r>
      <w:r w:rsidRPr="009F2F6C">
        <w:rPr>
          <w:lang w:bidi="ru-RU"/>
        </w:rPr>
        <w:t>е</w:t>
      </w:r>
      <w:r w:rsidRPr="009F2F6C">
        <w:rPr>
          <w:lang w:bidi="ru-RU"/>
        </w:rPr>
        <w:t>тов оборудования и частей, которые могут быть установлены и/или использов</w:t>
      </w:r>
      <w:r w:rsidRPr="009F2F6C">
        <w:rPr>
          <w:lang w:bidi="ru-RU"/>
        </w:rPr>
        <w:t>а</w:t>
      </w:r>
      <w:r w:rsidRPr="009F2F6C">
        <w:rPr>
          <w:lang w:bidi="ru-RU"/>
        </w:rPr>
        <w:t>ны на колесных транспортных средствах, было открыто для подписания в Ж</w:t>
      </w:r>
      <w:r w:rsidRPr="009F2F6C">
        <w:rPr>
          <w:lang w:bidi="ru-RU"/>
        </w:rPr>
        <w:t>е</w:t>
      </w:r>
      <w:r w:rsidRPr="009F2F6C">
        <w:rPr>
          <w:lang w:bidi="ru-RU"/>
        </w:rPr>
        <w:t>неве 25 июня 1998 года,</w:t>
      </w:r>
    </w:p>
    <w:p w:rsidR="009F2F6C" w:rsidRPr="009F2F6C" w:rsidRDefault="009F2F6C" w:rsidP="009F2F6C">
      <w:pPr>
        <w:pStyle w:val="SingleTxtGR"/>
        <w:rPr>
          <w:lang w:bidi="ru-RU"/>
        </w:rPr>
      </w:pPr>
      <w:r w:rsidRPr="009F2F6C">
        <w:rPr>
          <w:lang w:bidi="ru-RU"/>
        </w:rPr>
        <w:t>4.</w:t>
      </w:r>
      <w:r w:rsidRPr="009F2F6C">
        <w:rPr>
          <w:lang w:bidi="ru-RU"/>
        </w:rPr>
        <w:tab/>
        <w:t>ПРИНИМАЯ ВО ВНИМАНИЕ, что Соглашение способствует облегч</w:t>
      </w:r>
      <w:r w:rsidRPr="009F2F6C">
        <w:rPr>
          <w:lang w:bidi="ru-RU"/>
        </w:rPr>
        <w:t>е</w:t>
      </w:r>
      <w:r w:rsidRPr="009F2F6C">
        <w:rPr>
          <w:lang w:bidi="ru-RU"/>
        </w:rPr>
        <w:t>нию торговли между Договаривающимися сторонами колесными транспортн</w:t>
      </w:r>
      <w:r w:rsidRPr="009F2F6C">
        <w:rPr>
          <w:lang w:bidi="ru-RU"/>
        </w:rPr>
        <w:t>ы</w:t>
      </w:r>
      <w:r w:rsidRPr="009F2F6C">
        <w:rPr>
          <w:lang w:bidi="ru-RU"/>
        </w:rPr>
        <w:t>ми средствами, предметами оборудования и частями, отвечающими высоким уровням безопасности и охраны окружающей среды,</w:t>
      </w:r>
    </w:p>
    <w:p w:rsidR="009F2F6C" w:rsidRPr="00151F1B" w:rsidRDefault="009F2F6C" w:rsidP="009F2F6C">
      <w:pPr>
        <w:pStyle w:val="SingleTxtGR"/>
        <w:rPr>
          <w:lang w:bidi="ru-RU"/>
        </w:rPr>
      </w:pPr>
      <w:r w:rsidRPr="009F2F6C">
        <w:rPr>
          <w:lang w:bidi="ru-RU"/>
        </w:rPr>
        <w:t>5.</w:t>
      </w:r>
      <w:r w:rsidRPr="009F2F6C">
        <w:rPr>
          <w:lang w:bidi="ru-RU"/>
        </w:rPr>
        <w:tab/>
        <w:t>ПРИНИМАЯ ВО ВНИМАНИЕ решение, принятое на его [сорок седьмой] сессии, обеспечить в этой специальной резолюции № 2 (СпР.2) рамки, в кот</w:t>
      </w:r>
      <w:r w:rsidRPr="009F2F6C">
        <w:rPr>
          <w:lang w:bidi="ru-RU"/>
        </w:rPr>
        <w:t>о</w:t>
      </w:r>
      <w:r w:rsidRPr="009F2F6C">
        <w:rPr>
          <w:lang w:bidi="ru-RU"/>
        </w:rPr>
        <w:t>рых представители Всемирного форума для согласования правил в области транспортных средств (WP.29) и другие заинтересованные стороны могли бы изучить опыт, накопленный в контексте Глобального соглашения 1998 года, и достичь договоренности относительно принципов и стратегий усовершенств</w:t>
      </w:r>
      <w:r w:rsidRPr="009F2F6C">
        <w:rPr>
          <w:lang w:bidi="ru-RU"/>
        </w:rPr>
        <w:t>о</w:t>
      </w:r>
      <w:r w:rsidRPr="009F2F6C">
        <w:rPr>
          <w:lang w:bidi="ru-RU"/>
        </w:rPr>
        <w:t>вания процесса его осуществления</w:t>
      </w:r>
      <w:r w:rsidR="00151F1B">
        <w:rPr>
          <w:lang w:bidi="ru-RU"/>
        </w:rPr>
        <w:t>,</w:t>
      </w:r>
    </w:p>
    <w:p w:rsidR="009F2F6C" w:rsidRPr="009F2F6C" w:rsidRDefault="009F2F6C" w:rsidP="009F2F6C">
      <w:pPr>
        <w:pStyle w:val="SingleTxtGR"/>
        <w:rPr>
          <w:lang w:bidi="ru-RU"/>
        </w:rPr>
      </w:pPr>
      <w:r w:rsidRPr="009F2F6C">
        <w:rPr>
          <w:lang w:bidi="ru-RU"/>
        </w:rPr>
        <w:t>6.</w:t>
      </w:r>
      <w:r w:rsidRPr="009F2F6C">
        <w:rPr>
          <w:lang w:bidi="ru-RU"/>
        </w:rPr>
        <w:tab/>
        <w:t>ПРИНИМАЯ ВО ВНИМАНИЕ то, что цель предлагаемой специальной резолюции состоит в усовершенствовании процесса осуществления Соглаш</w:t>
      </w:r>
      <w:r w:rsidRPr="009F2F6C">
        <w:rPr>
          <w:lang w:bidi="ru-RU"/>
        </w:rPr>
        <w:t>е</w:t>
      </w:r>
      <w:r w:rsidRPr="009F2F6C">
        <w:rPr>
          <w:lang w:bidi="ru-RU"/>
        </w:rPr>
        <w:t>ния 1998 года, а не во внесении в него поправок</w:t>
      </w:r>
      <w:r w:rsidR="00151F1B">
        <w:rPr>
          <w:lang w:bidi="ru-RU"/>
        </w:rPr>
        <w:t>,</w:t>
      </w:r>
    </w:p>
    <w:p w:rsidR="009F2F6C" w:rsidRPr="009F2F6C" w:rsidRDefault="009F2F6C" w:rsidP="009F2F6C">
      <w:pPr>
        <w:pStyle w:val="SingleTxtGR"/>
        <w:rPr>
          <w:lang w:bidi="ru-RU"/>
        </w:rPr>
      </w:pPr>
      <w:r w:rsidRPr="009F2F6C">
        <w:rPr>
          <w:lang w:bidi="ru-RU"/>
        </w:rPr>
        <w:t>7.</w:t>
      </w:r>
      <w:r w:rsidRPr="009F2F6C">
        <w:rPr>
          <w:lang w:bidi="ru-RU"/>
        </w:rPr>
        <w:tab/>
        <w:t>ПРИНИМАЯ ВО ВНИМАНИЕ, что настоящая специальная резолюция не изменяет правила Договаривающихся сторон, если она не будет принята Дог</w:t>
      </w:r>
      <w:r w:rsidRPr="009F2F6C">
        <w:rPr>
          <w:lang w:bidi="ru-RU"/>
        </w:rPr>
        <w:t>о</w:t>
      </w:r>
      <w:r w:rsidRPr="009F2F6C">
        <w:rPr>
          <w:lang w:bidi="ru-RU"/>
        </w:rPr>
        <w:t>варивающимися сторонами с этой целью</w:t>
      </w:r>
      <w:r w:rsidR="00151F1B">
        <w:rPr>
          <w:lang w:bidi="ru-RU"/>
        </w:rPr>
        <w:t>,</w:t>
      </w:r>
    </w:p>
    <w:p w:rsidR="009F2F6C" w:rsidRPr="009F2F6C" w:rsidRDefault="009F2F6C" w:rsidP="009F2F6C">
      <w:pPr>
        <w:pStyle w:val="SingleTxtGR"/>
        <w:rPr>
          <w:bCs/>
          <w:lang w:bidi="ru-RU"/>
        </w:rPr>
      </w:pPr>
      <w:r w:rsidRPr="009F2F6C">
        <w:rPr>
          <w:lang w:bidi="ru-RU"/>
        </w:rPr>
        <w:t>8.</w:t>
      </w:r>
      <w:r w:rsidRPr="009F2F6C">
        <w:rPr>
          <w:lang w:bidi="ru-RU"/>
        </w:rPr>
        <w:tab/>
        <w:t>ПРИНИМАЯ ВО ВНИМАНИЕ, что настоящая специальная резолюция не имеет нормативного статуса в Договаривающихся сторонах</w:t>
      </w:r>
      <w:r w:rsidR="00151F1B">
        <w:rPr>
          <w:lang w:bidi="ru-RU"/>
        </w:rPr>
        <w:t>,</w:t>
      </w:r>
    </w:p>
    <w:p w:rsidR="006775F0" w:rsidRDefault="009F2F6C" w:rsidP="009F2F6C">
      <w:pPr>
        <w:pStyle w:val="SingleTxtGR"/>
      </w:pPr>
      <w:r w:rsidRPr="009F2F6C">
        <w:rPr>
          <w:lang w:bidi="ru-RU"/>
        </w:rPr>
        <w:t>9.</w:t>
      </w:r>
      <w:r w:rsidRPr="009F2F6C">
        <w:rPr>
          <w:lang w:bidi="ru-RU"/>
        </w:rPr>
        <w:tab/>
        <w:t>РЕКОМЕНДУЕТ Договаривающимся сторонам и заинтересованным ст</w:t>
      </w:r>
      <w:r w:rsidRPr="009F2F6C">
        <w:rPr>
          <w:lang w:bidi="ru-RU"/>
        </w:rPr>
        <w:t>о</w:t>
      </w:r>
      <w:r w:rsidRPr="009F2F6C">
        <w:rPr>
          <w:lang w:bidi="ru-RU"/>
        </w:rPr>
        <w:t>ронам ссылаться на настоящую резолюцию в своей работе по совершенствов</w:t>
      </w:r>
      <w:r w:rsidRPr="009F2F6C">
        <w:rPr>
          <w:lang w:bidi="ru-RU"/>
        </w:rPr>
        <w:t>а</w:t>
      </w:r>
      <w:r w:rsidRPr="009F2F6C">
        <w:rPr>
          <w:lang w:bidi="ru-RU"/>
        </w:rPr>
        <w:t>нию процесса осуществления Согла</w:t>
      </w:r>
      <w:r w:rsidR="002C684D">
        <w:rPr>
          <w:lang w:bidi="ru-RU"/>
        </w:rPr>
        <w:t>шения 1998 года посредством: 1. </w:t>
      </w:r>
      <w:r w:rsidRPr="009F2F6C">
        <w:rPr>
          <w:lang w:bidi="ru-RU"/>
        </w:rPr>
        <w:t>совершенствования стратегии отбора проектов для в</w:t>
      </w:r>
      <w:r w:rsidR="00151F1B">
        <w:rPr>
          <w:lang w:bidi="ru-RU"/>
        </w:rPr>
        <w:t>ключения в программу работы; 2. </w:t>
      </w:r>
      <w:r w:rsidRPr="009F2F6C">
        <w:rPr>
          <w:lang w:bidi="ru-RU"/>
        </w:rPr>
        <w:t>совершенствования механизма управления п</w:t>
      </w:r>
      <w:r w:rsidR="002C684D">
        <w:rPr>
          <w:lang w:bidi="ru-RU"/>
        </w:rPr>
        <w:t>роцессом разработки ГТП ООН; 3. </w:t>
      </w:r>
      <w:r w:rsidRPr="009F2F6C">
        <w:rPr>
          <w:lang w:bidi="ru-RU"/>
        </w:rPr>
        <w:t>совершенствования процесса принятия ГТП ООН на национал</w:t>
      </w:r>
      <w:r w:rsidRPr="009F2F6C">
        <w:rPr>
          <w:lang w:bidi="ru-RU"/>
        </w:rPr>
        <w:t>ь</w:t>
      </w:r>
      <w:r w:rsidRPr="009F2F6C">
        <w:rPr>
          <w:lang w:bidi="ru-RU"/>
        </w:rPr>
        <w:t>ном/региональном уровне.</w:t>
      </w:r>
    </w:p>
    <w:p w:rsidR="009F2F6C" w:rsidRDefault="009F2F6C">
      <w:pPr>
        <w:spacing w:line="240" w:lineRule="auto"/>
      </w:pPr>
      <w:r>
        <w:br w:type="page"/>
      </w:r>
    </w:p>
    <w:p w:rsidR="009F2F6C" w:rsidRPr="009F2F6C" w:rsidRDefault="00151F1B" w:rsidP="00151F1B">
      <w:pPr>
        <w:pStyle w:val="HChGR"/>
        <w:rPr>
          <w:lang w:bidi="ru-RU"/>
        </w:rPr>
      </w:pPr>
      <w:r>
        <w:rPr>
          <w:lang w:bidi="ru-RU"/>
        </w:rPr>
        <w:lastRenderedPageBreak/>
        <w:tab/>
      </w:r>
      <w:r w:rsidR="009F2F6C" w:rsidRPr="009F2F6C">
        <w:rPr>
          <w:lang w:bidi="ru-RU"/>
        </w:rPr>
        <w:t>II.</w:t>
      </w:r>
      <w:r w:rsidR="009F2F6C" w:rsidRPr="009F2F6C">
        <w:rPr>
          <w:lang w:bidi="ru-RU"/>
        </w:rPr>
        <w:tab/>
        <w:t xml:space="preserve">Специальная резолюция № 2 (СпР.2) </w:t>
      </w:r>
      <w:r>
        <w:rPr>
          <w:lang w:bidi="ru-RU"/>
        </w:rPr>
        <w:t>–</w:t>
      </w:r>
      <w:r w:rsidR="009F2F6C" w:rsidRPr="009F2F6C">
        <w:rPr>
          <w:lang w:bidi="ru-RU"/>
        </w:rPr>
        <w:t xml:space="preserve"> Совершенствование процесса осуществления Глобального соглашения 1998 года</w:t>
      </w:r>
    </w:p>
    <w:p w:rsidR="009F2F6C" w:rsidRPr="009F2F6C" w:rsidRDefault="00151F1B" w:rsidP="00151F1B">
      <w:pPr>
        <w:pStyle w:val="H1GR"/>
        <w:rPr>
          <w:lang w:bidi="ru-RU"/>
        </w:rPr>
      </w:pPr>
      <w:r>
        <w:rPr>
          <w:lang w:bidi="ru-RU"/>
        </w:rPr>
        <w:tab/>
        <w:t>A.</w:t>
      </w:r>
      <w:r>
        <w:rPr>
          <w:lang w:bidi="ru-RU"/>
        </w:rPr>
        <w:tab/>
      </w:r>
      <w:r w:rsidR="009F2F6C" w:rsidRPr="009F2F6C">
        <w:rPr>
          <w:lang w:bidi="ru-RU"/>
        </w:rPr>
        <w:t>Введение и резюме</w:t>
      </w:r>
    </w:p>
    <w:p w:rsidR="009F2F6C" w:rsidRPr="009F2F6C" w:rsidRDefault="009F2F6C" w:rsidP="009F2F6C">
      <w:pPr>
        <w:pStyle w:val="SingleTxtGR"/>
        <w:rPr>
          <w:lang w:bidi="ru-RU"/>
        </w:rPr>
      </w:pPr>
      <w:r w:rsidRPr="009F2F6C">
        <w:rPr>
          <w:lang w:bidi="ru-RU"/>
        </w:rPr>
        <w:t>1.</w:t>
      </w:r>
      <w:r w:rsidRPr="009F2F6C">
        <w:rPr>
          <w:lang w:bidi="ru-RU"/>
        </w:rPr>
        <w:tab/>
        <w:t>Целью этой специальной резолюции является создание основы, с пом</w:t>
      </w:r>
      <w:r w:rsidRPr="009F2F6C">
        <w:rPr>
          <w:lang w:bidi="ru-RU"/>
        </w:rPr>
        <w:t>о</w:t>
      </w:r>
      <w:r w:rsidRPr="009F2F6C">
        <w:rPr>
          <w:lang w:bidi="ru-RU"/>
        </w:rPr>
        <w:t>щью которой представители Всемирного форума для согласования правил в о</w:t>
      </w:r>
      <w:r w:rsidRPr="009F2F6C">
        <w:rPr>
          <w:lang w:bidi="ru-RU"/>
        </w:rPr>
        <w:t>б</w:t>
      </w:r>
      <w:r w:rsidRPr="009F2F6C">
        <w:rPr>
          <w:lang w:bidi="ru-RU"/>
        </w:rPr>
        <w:t>ласти транспортных средств (WP.29) и другие заинтересованные стороны могут работать с целью усовершенствовать процесс осуществления Глобального с</w:t>
      </w:r>
      <w:r w:rsidRPr="009F2F6C">
        <w:rPr>
          <w:lang w:bidi="ru-RU"/>
        </w:rPr>
        <w:t>о</w:t>
      </w:r>
      <w:r w:rsidRPr="009F2F6C">
        <w:rPr>
          <w:lang w:bidi="ru-RU"/>
        </w:rPr>
        <w:t xml:space="preserve">глашения 1998 года. </w:t>
      </w:r>
    </w:p>
    <w:p w:rsidR="009F2F6C" w:rsidRPr="009F2F6C" w:rsidRDefault="009F2F6C" w:rsidP="009F2F6C">
      <w:pPr>
        <w:pStyle w:val="SingleTxtGR"/>
        <w:rPr>
          <w:lang w:bidi="ru-RU"/>
        </w:rPr>
      </w:pPr>
      <w:r w:rsidRPr="009F2F6C">
        <w:rPr>
          <w:lang w:bidi="ru-RU"/>
        </w:rPr>
        <w:t>2.</w:t>
      </w:r>
      <w:r w:rsidRPr="009F2F6C">
        <w:rPr>
          <w:lang w:bidi="ru-RU"/>
        </w:rPr>
        <w:tab/>
        <w:t>Данная специальная резолюция была представлена в качестве неофиц</w:t>
      </w:r>
      <w:r w:rsidRPr="009F2F6C">
        <w:rPr>
          <w:lang w:bidi="ru-RU"/>
        </w:rPr>
        <w:t>и</w:t>
      </w:r>
      <w:r w:rsidRPr="009F2F6C">
        <w:rPr>
          <w:lang w:bidi="ru-RU"/>
        </w:rPr>
        <w:t xml:space="preserve">ального документа на сессии WP.29 в июне 2015 года (первоначально под названием </w:t>
      </w:r>
      <w:r w:rsidR="00151F1B">
        <w:rPr>
          <w:lang w:bidi="ru-RU"/>
        </w:rPr>
        <w:t>«</w:t>
      </w:r>
      <w:r w:rsidR="00DD0EA4" w:rsidRPr="009F2F6C">
        <w:rPr>
          <w:lang w:bidi="ru-RU"/>
        </w:rPr>
        <w:t xml:space="preserve">Трехсторонняя </w:t>
      </w:r>
      <w:r w:rsidRPr="009F2F6C">
        <w:rPr>
          <w:lang w:bidi="ru-RU"/>
        </w:rPr>
        <w:t>Белая книга</w:t>
      </w:r>
      <w:r w:rsidR="00151F1B">
        <w:rPr>
          <w:lang w:bidi="ru-RU"/>
        </w:rPr>
        <w:t>»</w:t>
      </w:r>
      <w:r w:rsidRPr="009F2F6C">
        <w:rPr>
          <w:lang w:bidi="ru-RU"/>
        </w:rPr>
        <w:t>). С учетом итогов обсуждений и зам</w:t>
      </w:r>
      <w:r w:rsidRPr="009F2F6C">
        <w:rPr>
          <w:lang w:bidi="ru-RU"/>
        </w:rPr>
        <w:t>е</w:t>
      </w:r>
      <w:r w:rsidRPr="009F2F6C">
        <w:rPr>
          <w:lang w:bidi="ru-RU"/>
        </w:rPr>
        <w:t>чаний, представленных большим числом заинтересованных сторон, Админ</w:t>
      </w:r>
      <w:r w:rsidRPr="009F2F6C">
        <w:rPr>
          <w:lang w:bidi="ru-RU"/>
        </w:rPr>
        <w:t>и</w:t>
      </w:r>
      <w:r w:rsidRPr="009F2F6C">
        <w:rPr>
          <w:lang w:bidi="ru-RU"/>
        </w:rPr>
        <w:t>стративный комитет по координации работы (АС.2) и Исполнительный комитет Соглашения 1998 года (АС.3) одобрили согласованные рекомендации.</w:t>
      </w:r>
    </w:p>
    <w:p w:rsidR="009F2F6C" w:rsidRPr="009F2F6C" w:rsidRDefault="009F2F6C" w:rsidP="00151F1B">
      <w:pPr>
        <w:pStyle w:val="H1GR"/>
        <w:rPr>
          <w:lang w:bidi="ru-RU"/>
        </w:rPr>
      </w:pPr>
      <w:r w:rsidRPr="009F2F6C">
        <w:rPr>
          <w:lang w:bidi="ru-RU"/>
        </w:rPr>
        <w:tab/>
        <w:t>B.</w:t>
      </w:r>
      <w:r w:rsidRPr="009F2F6C">
        <w:rPr>
          <w:lang w:bidi="ru-RU"/>
        </w:rPr>
        <w:tab/>
        <w:t>Справочная информация</w:t>
      </w:r>
    </w:p>
    <w:p w:rsidR="009F2F6C" w:rsidRPr="009F2F6C" w:rsidRDefault="009F2F6C" w:rsidP="009F2F6C">
      <w:pPr>
        <w:pStyle w:val="SingleTxtGR"/>
        <w:rPr>
          <w:lang w:bidi="ru-RU"/>
        </w:rPr>
      </w:pPr>
      <w:r w:rsidRPr="009F2F6C">
        <w:rPr>
          <w:lang w:bidi="ru-RU"/>
        </w:rPr>
        <w:t>4.</w:t>
      </w:r>
      <w:r w:rsidRPr="009F2F6C">
        <w:rPr>
          <w:lang w:bidi="ru-RU"/>
        </w:rPr>
        <w:tab/>
        <w:t>Глобальное соглашение 1998 года, относящееся к ведению Всемирного форума для согласования правил в области транспортных средств (WP.29), пр</w:t>
      </w:r>
      <w:r w:rsidRPr="009F2F6C">
        <w:rPr>
          <w:lang w:bidi="ru-RU"/>
        </w:rPr>
        <w:t>и</w:t>
      </w:r>
      <w:r w:rsidRPr="009F2F6C">
        <w:rPr>
          <w:lang w:bidi="ru-RU"/>
        </w:rPr>
        <w:t>звано служить двум основным целям. Как указано в преамбуле Соглашения, первая состоит в содействии разработке и введению глобальных технических правил ООН (ГТП ООН), которые способны стать основой для установления согласованных национальных правил, обеспечивающих высокие уровни в обл</w:t>
      </w:r>
      <w:r w:rsidRPr="009F2F6C">
        <w:rPr>
          <w:lang w:bidi="ru-RU"/>
        </w:rPr>
        <w:t>а</w:t>
      </w:r>
      <w:r w:rsidRPr="009F2F6C">
        <w:rPr>
          <w:lang w:bidi="ru-RU"/>
        </w:rPr>
        <w:t>сти безопасности транспортных средств, защиты от угона, охраны окружающей среды и эффективного использования энергии. Второй целью является стим</w:t>
      </w:r>
      <w:r w:rsidRPr="009F2F6C">
        <w:rPr>
          <w:lang w:bidi="ru-RU"/>
        </w:rPr>
        <w:t>у</w:t>
      </w:r>
      <w:r w:rsidRPr="009F2F6C">
        <w:rPr>
          <w:lang w:bidi="ru-RU"/>
        </w:rPr>
        <w:t>лирование согласования существующих технических правил. Помимо обесп</w:t>
      </w:r>
      <w:r w:rsidRPr="009F2F6C">
        <w:rPr>
          <w:lang w:bidi="ru-RU"/>
        </w:rPr>
        <w:t>е</w:t>
      </w:r>
      <w:r w:rsidRPr="009F2F6C">
        <w:rPr>
          <w:lang w:bidi="ru-RU"/>
        </w:rPr>
        <w:t>чения и даже усиления защиты интересов потребителей, согласование в рамках Соглашения сулит также экономические выгоды за счет сокращения связанных с соблюдением нормативных требований издержек и излишне обременительных процедур сертификации.</w:t>
      </w:r>
    </w:p>
    <w:p w:rsidR="009F2F6C" w:rsidRPr="009F2F6C" w:rsidRDefault="00151F1B" w:rsidP="00151F1B">
      <w:pPr>
        <w:pStyle w:val="H1GR"/>
        <w:rPr>
          <w:lang w:bidi="ru-RU"/>
        </w:rPr>
      </w:pPr>
      <w:r>
        <w:rPr>
          <w:lang w:bidi="ru-RU"/>
        </w:rPr>
        <w:tab/>
        <w:t>C.</w:t>
      </w:r>
      <w:r>
        <w:rPr>
          <w:lang w:bidi="ru-RU"/>
        </w:rPr>
        <w:tab/>
      </w:r>
      <w:r w:rsidR="009F2F6C" w:rsidRPr="009F2F6C">
        <w:rPr>
          <w:lang w:bidi="ru-RU"/>
        </w:rPr>
        <w:t>Выдержки из Соглашения 1998 года</w:t>
      </w:r>
    </w:p>
    <w:p w:rsidR="009F2F6C" w:rsidRPr="009F2F6C" w:rsidRDefault="00151F1B" w:rsidP="00151F1B">
      <w:pPr>
        <w:pStyle w:val="SingleTxtGR"/>
        <w:ind w:left="1701" w:hanging="567"/>
        <w:rPr>
          <w:i/>
          <w:lang w:bidi="ru-RU"/>
        </w:rPr>
      </w:pPr>
      <w:r>
        <w:rPr>
          <w:i/>
          <w:lang w:bidi="ru-RU"/>
        </w:rPr>
        <w:tab/>
      </w:r>
      <w:r w:rsidR="009F2F6C" w:rsidRPr="002C684D">
        <w:rPr>
          <w:lang w:bidi="ru-RU"/>
        </w:rPr>
        <w:t>«</w:t>
      </w:r>
      <w:r w:rsidR="009F2F6C" w:rsidRPr="009F2F6C">
        <w:rPr>
          <w:i/>
          <w:lang w:bidi="ru-RU"/>
        </w:rPr>
        <w:t>Преамбула</w:t>
      </w:r>
    </w:p>
    <w:p w:rsidR="009F2F6C" w:rsidRPr="009F2F6C" w:rsidRDefault="00151F1B" w:rsidP="009F2F6C">
      <w:pPr>
        <w:pStyle w:val="SingleTxtGR"/>
        <w:rPr>
          <w:lang w:bidi="ru-RU"/>
        </w:rPr>
      </w:pPr>
      <w:r>
        <w:rPr>
          <w:lang w:bidi="ru-RU"/>
        </w:rPr>
        <w:tab/>
      </w:r>
      <w:r w:rsidR="009F2F6C" w:rsidRPr="009F2F6C">
        <w:rPr>
          <w:lang w:bidi="ru-RU"/>
        </w:rPr>
        <w:t>Договаривающиеся стороны,</w:t>
      </w:r>
    </w:p>
    <w:p w:rsidR="009F2F6C" w:rsidRPr="009F2F6C" w:rsidRDefault="00151F1B" w:rsidP="00151F1B">
      <w:pPr>
        <w:pStyle w:val="SingleTxtGR"/>
        <w:ind w:left="1701" w:hanging="567"/>
        <w:rPr>
          <w:lang w:bidi="ru-RU"/>
        </w:rPr>
      </w:pPr>
      <w:r>
        <w:rPr>
          <w:lang w:bidi="ru-RU"/>
        </w:rPr>
        <w:tab/>
      </w:r>
      <w:r w:rsidR="00526F6C" w:rsidRPr="009F2F6C">
        <w:rPr>
          <w:lang w:bidi="ru-RU"/>
        </w:rPr>
        <w:t xml:space="preserve">решив </w:t>
      </w:r>
      <w:r w:rsidR="009F2F6C" w:rsidRPr="009F2F6C">
        <w:rPr>
          <w:lang w:bidi="ru-RU"/>
        </w:rPr>
        <w:t>принять Соглашение с целью инициировать процесс стимулиров</w:t>
      </w:r>
      <w:r w:rsidR="009F2F6C" w:rsidRPr="009F2F6C">
        <w:rPr>
          <w:lang w:bidi="ru-RU"/>
        </w:rPr>
        <w:t>а</w:t>
      </w:r>
      <w:r w:rsidR="009F2F6C" w:rsidRPr="009F2F6C">
        <w:rPr>
          <w:lang w:bidi="ru-RU"/>
        </w:rPr>
        <w:t>ния разработки глобальных технических правил, обеспечивающих выс</w:t>
      </w:r>
      <w:r w:rsidR="009F2F6C" w:rsidRPr="009F2F6C">
        <w:rPr>
          <w:lang w:bidi="ru-RU"/>
        </w:rPr>
        <w:t>о</w:t>
      </w:r>
      <w:r w:rsidR="009F2F6C" w:rsidRPr="009F2F6C">
        <w:rPr>
          <w:lang w:bidi="ru-RU"/>
        </w:rPr>
        <w:t>кие уровни рабочих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w:t>
      </w:r>
      <w:r w:rsidR="009F2F6C" w:rsidRPr="009F2F6C">
        <w:rPr>
          <w:lang w:bidi="ru-RU"/>
        </w:rPr>
        <w:t>з</w:t>
      </w:r>
      <w:r w:rsidR="009F2F6C" w:rsidRPr="009F2F6C">
        <w:rPr>
          <w:lang w:bidi="ru-RU"/>
        </w:rPr>
        <w:t>опасности, охраны окружающей среды, эффективного использования энергии и защиты от угона;</w:t>
      </w:r>
    </w:p>
    <w:p w:rsidR="009F2F6C" w:rsidRPr="009F2F6C" w:rsidRDefault="00526F6C" w:rsidP="00151F1B">
      <w:pPr>
        <w:pStyle w:val="SingleTxtGR"/>
        <w:ind w:left="1701" w:hanging="567"/>
        <w:rPr>
          <w:lang w:bidi="ru-RU"/>
        </w:rPr>
      </w:pPr>
      <w:r>
        <w:rPr>
          <w:lang w:bidi="ru-RU"/>
        </w:rPr>
        <w:tab/>
      </w:r>
      <w:r w:rsidRPr="009F2F6C">
        <w:rPr>
          <w:lang w:bidi="ru-RU"/>
        </w:rPr>
        <w:t>решив</w:t>
      </w:r>
      <w:r w:rsidR="009F2F6C" w:rsidRPr="009F2F6C">
        <w:rPr>
          <w:lang w:bidi="ru-RU"/>
        </w:rPr>
        <w:t xml:space="preserve">, что такой процесс должен также способствовать согласованию существующих технических правил, признавая право наднациональных, национальных и региональных органов власти принимать и обновлять </w:t>
      </w:r>
      <w:r w:rsidR="009F2F6C" w:rsidRPr="009F2F6C">
        <w:rPr>
          <w:lang w:bidi="ru-RU"/>
        </w:rPr>
        <w:lastRenderedPageBreak/>
        <w:t>технические правила в области охраны здоровья, безопасности, окруж</w:t>
      </w:r>
      <w:r w:rsidR="009F2F6C" w:rsidRPr="009F2F6C">
        <w:rPr>
          <w:lang w:bidi="ru-RU"/>
        </w:rPr>
        <w:t>а</w:t>
      </w:r>
      <w:r w:rsidR="009F2F6C" w:rsidRPr="009F2F6C">
        <w:rPr>
          <w:lang w:bidi="ru-RU"/>
        </w:rPr>
        <w:t>ющей среды, эффективного использования энергии и защиты от угона, которые имеют более жесткий характер, чем правила, введенные на гл</w:t>
      </w:r>
      <w:r w:rsidR="009F2F6C" w:rsidRPr="009F2F6C">
        <w:rPr>
          <w:lang w:bidi="ru-RU"/>
        </w:rPr>
        <w:t>о</w:t>
      </w:r>
      <w:r w:rsidR="009F2F6C" w:rsidRPr="009F2F6C">
        <w:rPr>
          <w:lang w:bidi="ru-RU"/>
        </w:rPr>
        <w:t>бальном уровне;</w:t>
      </w:r>
    </w:p>
    <w:p w:rsidR="009F2F6C" w:rsidRPr="009F2F6C" w:rsidRDefault="00526F6C" w:rsidP="009F2F6C">
      <w:pPr>
        <w:pStyle w:val="SingleTxtGR"/>
        <w:rPr>
          <w:lang w:bidi="ru-RU"/>
        </w:rPr>
      </w:pPr>
      <w:r>
        <w:rPr>
          <w:lang w:bidi="ru-RU"/>
        </w:rPr>
        <w:tab/>
      </w:r>
      <w:r w:rsidR="009F2F6C" w:rsidRPr="009F2F6C">
        <w:rPr>
          <w:lang w:bidi="ru-RU"/>
        </w:rPr>
        <w:t>…</w:t>
      </w:r>
    </w:p>
    <w:p w:rsidR="009F2F6C" w:rsidRPr="009F2F6C" w:rsidRDefault="00526F6C" w:rsidP="009F2F6C">
      <w:pPr>
        <w:pStyle w:val="SingleTxtGR"/>
        <w:rPr>
          <w:i/>
          <w:lang w:bidi="ru-RU"/>
        </w:rPr>
      </w:pPr>
      <w:r>
        <w:rPr>
          <w:i/>
          <w:lang w:bidi="ru-RU"/>
        </w:rPr>
        <w:tab/>
      </w:r>
      <w:r w:rsidR="009F2F6C" w:rsidRPr="009F2F6C">
        <w:rPr>
          <w:i/>
          <w:lang w:bidi="ru-RU"/>
        </w:rPr>
        <w:t>Статья 1. Цель испытания</w:t>
      </w:r>
    </w:p>
    <w:p w:rsidR="009F2F6C" w:rsidRPr="009F2F6C" w:rsidRDefault="00526F6C" w:rsidP="00526F6C">
      <w:pPr>
        <w:pStyle w:val="SingleTxtGR"/>
        <w:ind w:left="1701" w:hanging="567"/>
        <w:rPr>
          <w:lang w:bidi="ru-RU"/>
        </w:rPr>
      </w:pPr>
      <w:r>
        <w:rPr>
          <w:lang w:bidi="ru-RU"/>
        </w:rPr>
        <w:tab/>
        <w:t>1.1</w:t>
      </w:r>
      <w:r>
        <w:rPr>
          <w:lang w:bidi="ru-RU"/>
        </w:rPr>
        <w:tab/>
      </w:r>
      <w:r w:rsidR="009F2F6C" w:rsidRPr="009F2F6C">
        <w:rPr>
          <w:lang w:bidi="ru-RU"/>
        </w:rPr>
        <w:t>Цель настоящего Соглашения состоит в:</w:t>
      </w:r>
    </w:p>
    <w:p w:rsidR="009F2F6C" w:rsidRPr="009F2F6C" w:rsidRDefault="00526F6C" w:rsidP="00526F6C">
      <w:pPr>
        <w:pStyle w:val="SingleTxtGR"/>
        <w:ind w:left="1701" w:hanging="567"/>
        <w:rPr>
          <w:lang w:bidi="ru-RU"/>
        </w:rPr>
      </w:pPr>
      <w:r>
        <w:rPr>
          <w:lang w:bidi="ru-RU"/>
        </w:rPr>
        <w:tab/>
      </w:r>
      <w:r w:rsidR="009F2F6C" w:rsidRPr="009F2F6C">
        <w:rPr>
          <w:lang w:bidi="ru-RU"/>
        </w:rPr>
        <w:t>1.1.1</w:t>
      </w:r>
      <w:r w:rsidR="009F2F6C" w:rsidRPr="009F2F6C">
        <w:rPr>
          <w:lang w:bidi="ru-RU"/>
        </w:rPr>
        <w:tab/>
        <w:t>обеспечении глобального процесса, в рамках которого Договар</w:t>
      </w:r>
      <w:r w:rsidR="009F2F6C" w:rsidRPr="009F2F6C">
        <w:rPr>
          <w:lang w:bidi="ru-RU"/>
        </w:rPr>
        <w:t>и</w:t>
      </w:r>
      <w:r w:rsidR="009F2F6C" w:rsidRPr="009F2F6C">
        <w:rPr>
          <w:lang w:bidi="ru-RU"/>
        </w:rPr>
        <w:t>вающиеся стороны из всех регионов мира могли бы совместно разраб</w:t>
      </w:r>
      <w:r w:rsidR="009F2F6C" w:rsidRPr="009F2F6C">
        <w:rPr>
          <w:lang w:bidi="ru-RU"/>
        </w:rPr>
        <w:t>а</w:t>
      </w:r>
      <w:r w:rsidR="009F2F6C" w:rsidRPr="009F2F6C">
        <w:rPr>
          <w:lang w:bidi="ru-RU"/>
        </w:rPr>
        <w:t>тывать глобальные технические правила, касающиеся рабочих характер</w:t>
      </w:r>
      <w:r w:rsidR="009F2F6C" w:rsidRPr="009F2F6C">
        <w:rPr>
          <w:lang w:bidi="ru-RU"/>
        </w:rPr>
        <w:t>и</w:t>
      </w:r>
      <w:r w:rsidR="009F2F6C" w:rsidRPr="009F2F6C">
        <w:rPr>
          <w:lang w:bidi="ru-RU"/>
        </w:rPr>
        <w:t>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безопасности, охраны окружающей среды, эффективного использования энергии и защиты от угона;</w:t>
      </w:r>
    </w:p>
    <w:p w:rsidR="009F2F6C" w:rsidRPr="009F2F6C" w:rsidRDefault="00526F6C" w:rsidP="00526F6C">
      <w:pPr>
        <w:pStyle w:val="SingleTxtGR"/>
        <w:ind w:left="1701" w:hanging="567"/>
        <w:rPr>
          <w:lang w:bidi="ru-RU"/>
        </w:rPr>
      </w:pPr>
      <w:r>
        <w:rPr>
          <w:lang w:bidi="ru-RU"/>
        </w:rPr>
        <w:tab/>
      </w:r>
      <w:r w:rsidR="009F2F6C" w:rsidRPr="009F2F6C">
        <w:rPr>
          <w:lang w:bidi="ru-RU"/>
        </w:rPr>
        <w:t>1.1.2</w:t>
      </w:r>
      <w:r w:rsidR="009F2F6C" w:rsidRPr="009F2F6C">
        <w:rPr>
          <w:lang w:bidi="ru-RU"/>
        </w:rPr>
        <w:tab/>
        <w:t>обеспечении при разработке глобальных технических правил надлежащего и объективного учета существующих технических правил, применяемых Договаривающимися сторонами, а также правил ЕЭК ООН;</w:t>
      </w:r>
    </w:p>
    <w:p w:rsidR="009F2F6C" w:rsidRPr="009F2F6C" w:rsidRDefault="00526F6C" w:rsidP="00526F6C">
      <w:pPr>
        <w:pStyle w:val="SingleTxtGR"/>
        <w:ind w:left="1701" w:hanging="567"/>
        <w:rPr>
          <w:lang w:bidi="ru-RU"/>
        </w:rPr>
      </w:pPr>
      <w:r>
        <w:rPr>
          <w:lang w:bidi="ru-RU"/>
        </w:rPr>
        <w:tab/>
      </w:r>
      <w:r w:rsidR="009F2F6C" w:rsidRPr="009F2F6C">
        <w:rPr>
          <w:lang w:bidi="ru-RU"/>
        </w:rPr>
        <w:t>1.1.3</w:t>
      </w:r>
      <w:r w:rsidR="009F2F6C" w:rsidRPr="009F2F6C">
        <w:rPr>
          <w:lang w:bidi="ru-RU"/>
        </w:rPr>
        <w:tab/>
        <w:t>обеспечении, в соответствующих случаях, при разработке глобал</w:t>
      </w:r>
      <w:r w:rsidR="009F2F6C" w:rsidRPr="009F2F6C">
        <w:rPr>
          <w:lang w:bidi="ru-RU"/>
        </w:rPr>
        <w:t>ь</w:t>
      </w:r>
      <w:r w:rsidR="009F2F6C" w:rsidRPr="009F2F6C">
        <w:rPr>
          <w:lang w:bidi="ru-RU"/>
        </w:rPr>
        <w:t>ных технических правил объективного учета оценки наилучшей име</w:t>
      </w:r>
      <w:r w:rsidR="009F2F6C" w:rsidRPr="009F2F6C">
        <w:rPr>
          <w:lang w:bidi="ru-RU"/>
        </w:rPr>
        <w:t>ю</w:t>
      </w:r>
      <w:r w:rsidR="009F2F6C" w:rsidRPr="009F2F6C">
        <w:rPr>
          <w:lang w:bidi="ru-RU"/>
        </w:rPr>
        <w:t>щейся технологии, относительных преимуществ и эффективности затрат;</w:t>
      </w:r>
    </w:p>
    <w:p w:rsidR="009F2F6C" w:rsidRPr="009F2F6C" w:rsidRDefault="00526F6C" w:rsidP="00526F6C">
      <w:pPr>
        <w:pStyle w:val="SingleTxtGR"/>
        <w:ind w:left="1701" w:hanging="567"/>
        <w:rPr>
          <w:lang w:bidi="ru-RU"/>
        </w:rPr>
      </w:pPr>
      <w:r>
        <w:rPr>
          <w:lang w:bidi="ru-RU"/>
        </w:rPr>
        <w:tab/>
      </w:r>
      <w:r w:rsidR="009F2F6C" w:rsidRPr="009F2F6C">
        <w:rPr>
          <w:lang w:bidi="ru-RU"/>
        </w:rPr>
        <w:t>1.1.4</w:t>
      </w:r>
      <w:r w:rsidR="009F2F6C" w:rsidRPr="009F2F6C">
        <w:rPr>
          <w:lang w:bidi="ru-RU"/>
        </w:rPr>
        <w:tab/>
        <w:t>обеспечении транспарентности процедур, используемых при ра</w:t>
      </w:r>
      <w:r w:rsidR="009F2F6C" w:rsidRPr="009F2F6C">
        <w:rPr>
          <w:lang w:bidi="ru-RU"/>
        </w:rPr>
        <w:t>з</w:t>
      </w:r>
      <w:r w:rsidR="009F2F6C" w:rsidRPr="009F2F6C">
        <w:rPr>
          <w:lang w:bidi="ru-RU"/>
        </w:rPr>
        <w:t>работке глобальных технических правил;</w:t>
      </w:r>
    </w:p>
    <w:p w:rsidR="009F2F6C" w:rsidRPr="009F2F6C" w:rsidRDefault="00526F6C" w:rsidP="00526F6C">
      <w:pPr>
        <w:pStyle w:val="SingleTxtGR"/>
        <w:ind w:left="1701" w:hanging="567"/>
        <w:rPr>
          <w:lang w:bidi="ru-RU"/>
        </w:rPr>
      </w:pPr>
      <w:r>
        <w:rPr>
          <w:lang w:bidi="ru-RU"/>
        </w:rPr>
        <w:tab/>
      </w:r>
      <w:r w:rsidR="009F2F6C" w:rsidRPr="009F2F6C">
        <w:rPr>
          <w:lang w:bidi="ru-RU"/>
        </w:rPr>
        <w:t>1.1.5</w:t>
      </w:r>
      <w:r w:rsidR="009F2F6C" w:rsidRPr="009F2F6C">
        <w:rPr>
          <w:lang w:bidi="ru-RU"/>
        </w:rPr>
        <w:tab/>
        <w:t>достижении высоких уровней рабочих характеристик в области безопасности, охраны окружающей среды, эффективного использования энергии и защиты от угона в рамках мирового сообщества и обеспечении того, чтобы меры, принимаемые в соответствии с настоящим Соглашен</w:t>
      </w:r>
      <w:r w:rsidR="009F2F6C" w:rsidRPr="009F2F6C">
        <w:rPr>
          <w:lang w:bidi="ru-RU"/>
        </w:rPr>
        <w:t>и</w:t>
      </w:r>
      <w:r w:rsidR="009F2F6C" w:rsidRPr="009F2F6C">
        <w:rPr>
          <w:lang w:bidi="ru-RU"/>
        </w:rPr>
        <w:t>ем, не стимулировали либо не влекли за собой снижения этих уровней в рамках юрис</w:t>
      </w:r>
      <w:r w:rsidR="009F2F6C" w:rsidRPr="009F2F6C">
        <w:rPr>
          <w:lang w:bidi="ru-RU"/>
        </w:rPr>
        <w:softHyphen/>
        <w:t>дикции Договаривающихся сторон, в том числе на наднац</w:t>
      </w:r>
      <w:r w:rsidR="009F2F6C" w:rsidRPr="009F2F6C">
        <w:rPr>
          <w:lang w:bidi="ru-RU"/>
        </w:rPr>
        <w:t>и</w:t>
      </w:r>
      <w:r w:rsidR="009F2F6C" w:rsidRPr="009F2F6C">
        <w:rPr>
          <w:lang w:bidi="ru-RU"/>
        </w:rPr>
        <w:t>ональном уровне;</w:t>
      </w:r>
    </w:p>
    <w:p w:rsidR="009F2F6C" w:rsidRPr="009F2F6C" w:rsidRDefault="00526F6C" w:rsidP="00526F6C">
      <w:pPr>
        <w:pStyle w:val="SingleTxtGR"/>
        <w:ind w:left="1701" w:hanging="567"/>
        <w:rPr>
          <w:lang w:bidi="ru-RU"/>
        </w:rPr>
      </w:pPr>
      <w:r>
        <w:rPr>
          <w:lang w:bidi="ru-RU"/>
        </w:rPr>
        <w:tab/>
      </w:r>
      <w:r w:rsidR="009F2F6C" w:rsidRPr="009F2F6C">
        <w:rPr>
          <w:lang w:bidi="ru-RU"/>
        </w:rPr>
        <w:t>1.1.6</w:t>
      </w:r>
      <w:r w:rsidR="009F2F6C" w:rsidRPr="009F2F6C">
        <w:rPr>
          <w:lang w:bidi="ru-RU"/>
        </w:rPr>
        <w:tab/>
        <w:t>снижении технических барьеров в международной торговле п</w:t>
      </w:r>
      <w:r w:rsidR="009F2F6C" w:rsidRPr="009F2F6C">
        <w:rPr>
          <w:lang w:bidi="ru-RU"/>
        </w:rPr>
        <w:t>о</w:t>
      </w:r>
      <w:r w:rsidR="009F2F6C" w:rsidRPr="009F2F6C">
        <w:rPr>
          <w:lang w:bidi="ru-RU"/>
        </w:rPr>
        <w:t>средством согласования существующих технических правил, применя</w:t>
      </w:r>
      <w:r w:rsidR="009F2F6C" w:rsidRPr="009F2F6C">
        <w:rPr>
          <w:lang w:bidi="ru-RU"/>
        </w:rPr>
        <w:t>е</w:t>
      </w:r>
      <w:r w:rsidR="009F2F6C" w:rsidRPr="009F2F6C">
        <w:rPr>
          <w:lang w:bidi="ru-RU"/>
        </w:rPr>
        <w:t>мых Договаривающимися сторонами, и правил ЕЭК ООН и разработки новых глобальных технических правил, регулирующих рабочие характ</w:t>
      </w:r>
      <w:r w:rsidR="009F2F6C" w:rsidRPr="009F2F6C">
        <w:rPr>
          <w:lang w:bidi="ru-RU"/>
        </w:rPr>
        <w:t>е</w:t>
      </w:r>
      <w:r w:rsidR="009F2F6C" w:rsidRPr="009F2F6C">
        <w:rPr>
          <w:lang w:bidi="ru-RU"/>
        </w:rPr>
        <w:t>ристики колесных транспортных средств, предметов оборудования и ч</w:t>
      </w:r>
      <w:r w:rsidR="009F2F6C" w:rsidRPr="009F2F6C">
        <w:rPr>
          <w:lang w:bidi="ru-RU"/>
        </w:rPr>
        <w:t>а</w:t>
      </w:r>
      <w:r w:rsidR="009F2F6C" w:rsidRPr="009F2F6C">
        <w:rPr>
          <w:lang w:bidi="ru-RU"/>
        </w:rPr>
        <w:t>стей, которые могут быть установлены и/или использованы на колесных транспортных средствах, в области безопасности, охраны окружающей среды, эффектив</w:t>
      </w:r>
      <w:r w:rsidR="009F2F6C" w:rsidRPr="009F2F6C">
        <w:rPr>
          <w:lang w:bidi="ru-RU"/>
        </w:rPr>
        <w:softHyphen/>
        <w:t>ного использования энергии и защиты от угона и отв</w:t>
      </w:r>
      <w:r w:rsidR="009F2F6C" w:rsidRPr="009F2F6C">
        <w:rPr>
          <w:lang w:bidi="ru-RU"/>
        </w:rPr>
        <w:t>е</w:t>
      </w:r>
      <w:r w:rsidR="009F2F6C" w:rsidRPr="009F2F6C">
        <w:rPr>
          <w:lang w:bidi="ru-RU"/>
        </w:rPr>
        <w:t>чающих целям достижения высоких уровней безопасности и охраны окружающей среды, а также другим перечисленным выше целям; и</w:t>
      </w:r>
    </w:p>
    <w:p w:rsidR="009F2F6C" w:rsidRPr="009F2F6C" w:rsidRDefault="00526F6C" w:rsidP="00526F6C">
      <w:pPr>
        <w:pStyle w:val="SingleTxtGR"/>
        <w:ind w:left="1701" w:hanging="567"/>
        <w:rPr>
          <w:lang w:bidi="ru-RU"/>
        </w:rPr>
      </w:pPr>
      <w:r>
        <w:rPr>
          <w:lang w:bidi="ru-RU"/>
        </w:rPr>
        <w:tab/>
      </w:r>
      <w:r w:rsidR="009F2F6C" w:rsidRPr="009F2F6C">
        <w:rPr>
          <w:lang w:bidi="ru-RU"/>
        </w:rPr>
        <w:t>1.1.7</w:t>
      </w:r>
      <w:r w:rsidR="009F2F6C" w:rsidRPr="009F2F6C">
        <w:rPr>
          <w:lang w:bidi="ru-RU"/>
        </w:rPr>
        <w:tab/>
        <w:t>обеспечении в тех случаях, когда для облегчения нормативной де</w:t>
      </w:r>
      <w:r w:rsidR="009F2F6C" w:rsidRPr="009F2F6C">
        <w:rPr>
          <w:lang w:bidi="ru-RU"/>
        </w:rPr>
        <w:t>я</w:t>
      </w:r>
      <w:r w:rsidR="009F2F6C" w:rsidRPr="009F2F6C">
        <w:rPr>
          <w:lang w:bidi="ru-RU"/>
        </w:rPr>
        <w:t>тельности некоторых стран необходимы альтернативные уровни обяз</w:t>
      </w:r>
      <w:r w:rsidR="009F2F6C" w:rsidRPr="009F2F6C">
        <w:rPr>
          <w:lang w:bidi="ru-RU"/>
        </w:rPr>
        <w:t>а</w:t>
      </w:r>
      <w:r w:rsidR="009F2F6C" w:rsidRPr="009F2F6C">
        <w:rPr>
          <w:lang w:bidi="ru-RU"/>
        </w:rPr>
        <w:t>тельных требований, учета таких потребностей при разработке и введ</w:t>
      </w:r>
      <w:r w:rsidR="009F2F6C" w:rsidRPr="009F2F6C">
        <w:rPr>
          <w:lang w:bidi="ru-RU"/>
        </w:rPr>
        <w:t>е</w:t>
      </w:r>
      <w:r w:rsidR="009F2F6C" w:rsidRPr="009F2F6C">
        <w:rPr>
          <w:lang w:bidi="ru-RU"/>
        </w:rPr>
        <w:t>нии глобальных технических правил».</w:t>
      </w:r>
    </w:p>
    <w:p w:rsidR="009F2F6C" w:rsidRPr="009F2F6C" w:rsidRDefault="009F2F6C" w:rsidP="009F2F6C">
      <w:pPr>
        <w:pStyle w:val="SingleTxtGR"/>
        <w:rPr>
          <w:lang w:bidi="ru-RU"/>
        </w:rPr>
      </w:pPr>
      <w:r w:rsidRPr="009F2F6C">
        <w:rPr>
          <w:lang w:bidi="ru-RU"/>
        </w:rPr>
        <w:t>5.</w:t>
      </w:r>
      <w:r w:rsidRPr="009F2F6C">
        <w:rPr>
          <w:lang w:bidi="ru-RU"/>
        </w:rPr>
        <w:tab/>
        <w:t>Вскоре после вступления Соглашения в силу Исполнительный комитет Соглашения 1998 года (АС.3) утвердил первоначальную программу работы (ПР), охватывающую существующие национальные правила, добиться соглас</w:t>
      </w:r>
      <w:r w:rsidRPr="009F2F6C">
        <w:rPr>
          <w:lang w:bidi="ru-RU"/>
        </w:rPr>
        <w:t>о</w:t>
      </w:r>
      <w:r w:rsidRPr="009F2F6C">
        <w:rPr>
          <w:lang w:bidi="ru-RU"/>
        </w:rPr>
        <w:t xml:space="preserve">вания которых представлялось несложным. К их числу относятся, например, правила по безопасности транспортных средств, касающиеся дверных замков, </w:t>
      </w:r>
      <w:r w:rsidRPr="009F2F6C">
        <w:rPr>
          <w:lang w:bidi="ru-RU"/>
        </w:rPr>
        <w:lastRenderedPageBreak/>
        <w:t>освещения, стекловых материалов и торможения. Выбор этих правил был пр</w:t>
      </w:r>
      <w:r w:rsidRPr="009F2F6C">
        <w:rPr>
          <w:lang w:bidi="ru-RU"/>
        </w:rPr>
        <w:t>о</w:t>
      </w:r>
      <w:r w:rsidRPr="009F2F6C">
        <w:rPr>
          <w:lang w:bidi="ru-RU"/>
        </w:rPr>
        <w:t>диктован главным образом стремлением предоставить Договаривающимся ст</w:t>
      </w:r>
      <w:r w:rsidRPr="009F2F6C">
        <w:rPr>
          <w:lang w:bidi="ru-RU"/>
        </w:rPr>
        <w:t>о</w:t>
      </w:r>
      <w:r w:rsidRPr="009F2F6C">
        <w:rPr>
          <w:lang w:bidi="ru-RU"/>
        </w:rPr>
        <w:t>ронам (ДС) возможность накопить определенный практический опыт заде</w:t>
      </w:r>
      <w:r w:rsidRPr="009F2F6C">
        <w:rPr>
          <w:lang w:bidi="ru-RU"/>
        </w:rPr>
        <w:t>й</w:t>
      </w:r>
      <w:r w:rsidRPr="009F2F6C">
        <w:rPr>
          <w:lang w:bidi="ru-RU"/>
        </w:rPr>
        <w:t xml:space="preserve">ствования процедур в рамках нового Соглашения, диктующего необходимость использования – при разработке и введении правил – подхода на базе процесса, основанного на полученных данных и подкрепленного результатами анализа. </w:t>
      </w:r>
    </w:p>
    <w:p w:rsidR="009F2F6C" w:rsidRPr="009F2F6C" w:rsidRDefault="009F2F6C" w:rsidP="009F2F6C">
      <w:pPr>
        <w:pStyle w:val="SingleTxtGR"/>
        <w:rPr>
          <w:lang w:bidi="ru-RU"/>
        </w:rPr>
      </w:pPr>
      <w:r w:rsidRPr="009F2F6C">
        <w:rPr>
          <w:lang w:bidi="ru-RU"/>
        </w:rPr>
        <w:t>6.</w:t>
      </w:r>
      <w:r w:rsidRPr="009F2F6C">
        <w:rPr>
          <w:lang w:bidi="ru-RU"/>
        </w:rPr>
        <w:tab/>
        <w:t>К 2014 году многие из этих правил были успешно согласованы. Однако со временем возник ряд непредвиденных затруднений. В основе многих пре</w:t>
      </w:r>
      <w:r w:rsidRPr="009F2F6C">
        <w:rPr>
          <w:lang w:bidi="ru-RU"/>
        </w:rPr>
        <w:t>д</w:t>
      </w:r>
      <w:r w:rsidRPr="009F2F6C">
        <w:rPr>
          <w:lang w:bidi="ru-RU"/>
        </w:rPr>
        <w:t>ложений, фигурировавших в первоначальной ПР, лежали уже давно действу</w:t>
      </w:r>
      <w:r w:rsidRPr="009F2F6C">
        <w:rPr>
          <w:lang w:bidi="ru-RU"/>
        </w:rPr>
        <w:t>ю</w:t>
      </w:r>
      <w:r w:rsidRPr="009F2F6C">
        <w:rPr>
          <w:lang w:bidi="ru-RU"/>
        </w:rPr>
        <w:t>щие национальные правила, предписания которых и предусматриваемые проц</w:t>
      </w:r>
      <w:r w:rsidRPr="009F2F6C">
        <w:rPr>
          <w:lang w:bidi="ru-RU"/>
        </w:rPr>
        <w:t>е</w:t>
      </w:r>
      <w:r w:rsidRPr="009F2F6C">
        <w:rPr>
          <w:lang w:bidi="ru-RU"/>
        </w:rPr>
        <w:t>дуры испытаний было трудно изменить затратоэффективным образом. В других же случаях соответствующие предложения не были сочтены актуальными или особо значимыми в плане их приоритетности для ДС, а посему они не встрет</w:t>
      </w:r>
      <w:r w:rsidRPr="009F2F6C">
        <w:rPr>
          <w:lang w:bidi="ru-RU"/>
        </w:rPr>
        <w:t>и</w:t>
      </w:r>
      <w:r w:rsidRPr="009F2F6C">
        <w:rPr>
          <w:lang w:bidi="ru-RU"/>
        </w:rPr>
        <w:t>ли надлежащей поддержки и на их проработку не было выделено достаточных ресурсов. По указанным причинам некоторые из пунктов были либо изъяты, либо на завершение процесса их согласования понадобилось намного больше лет, чем это планировалось изначально. Ниже приводится соответствующий п</w:t>
      </w:r>
      <w:r w:rsidRPr="009F2F6C">
        <w:rPr>
          <w:lang w:bidi="ru-RU"/>
        </w:rPr>
        <w:t>е</w:t>
      </w:r>
      <w:r w:rsidRPr="009F2F6C">
        <w:rPr>
          <w:lang w:bidi="ru-RU"/>
        </w:rPr>
        <w:t>речень.</w:t>
      </w:r>
    </w:p>
    <w:p w:rsidR="009F2F6C" w:rsidRPr="009F2F6C" w:rsidRDefault="009F2F6C" w:rsidP="009F2F6C">
      <w:pPr>
        <w:pStyle w:val="SingleTxtGR"/>
        <w:rPr>
          <w:b/>
          <w:lang w:bidi="ru-RU"/>
        </w:rPr>
      </w:pPr>
      <w:r w:rsidRPr="009F2F6C">
        <w:rPr>
          <w:b/>
          <w:lang w:bidi="ru-RU"/>
        </w:rPr>
        <w:t>Рабочая группа по вопросам освещения и световой сигнализации (GRE)</w:t>
      </w:r>
    </w:p>
    <w:p w:rsidR="009F2F6C" w:rsidRPr="009F2F6C" w:rsidRDefault="009F2F6C" w:rsidP="009F2F6C">
      <w:pPr>
        <w:pStyle w:val="SingleTxtGR"/>
        <w:rPr>
          <w:lang w:bidi="ru-RU"/>
        </w:rPr>
      </w:pPr>
      <w:r w:rsidRPr="009F2F6C">
        <w:rPr>
          <w:lang w:bidi="ru-RU"/>
        </w:rPr>
        <w:t>Установка устройств освещения и световой сигнализации – (изъят из ПР)</w:t>
      </w:r>
    </w:p>
    <w:p w:rsidR="009F2F6C" w:rsidRPr="009F2F6C" w:rsidRDefault="009F2F6C" w:rsidP="009F2F6C">
      <w:pPr>
        <w:pStyle w:val="SingleTxtGR"/>
        <w:rPr>
          <w:b/>
          <w:lang w:bidi="ru-RU"/>
        </w:rPr>
      </w:pPr>
      <w:r w:rsidRPr="009F2F6C">
        <w:rPr>
          <w:b/>
          <w:lang w:bidi="ru-RU"/>
        </w:rPr>
        <w:t>Рабочая группа по вопросам торможения и ходовой части (GRRF)</w:t>
      </w:r>
    </w:p>
    <w:p w:rsidR="009F2F6C" w:rsidRPr="009F2F6C" w:rsidRDefault="009F2F6C" w:rsidP="009F2F6C">
      <w:pPr>
        <w:pStyle w:val="SingleTxtGR"/>
        <w:rPr>
          <w:lang w:bidi="ru-RU"/>
        </w:rPr>
      </w:pPr>
      <w:r w:rsidRPr="009F2F6C">
        <w:rPr>
          <w:lang w:bidi="ru-RU"/>
        </w:rPr>
        <w:t>Тормозные системы мотоциклов – согласование завершено в ноябре 2006 года</w:t>
      </w:r>
    </w:p>
    <w:p w:rsidR="009F2F6C" w:rsidRPr="009F2F6C" w:rsidRDefault="009F2F6C" w:rsidP="009F2F6C">
      <w:pPr>
        <w:pStyle w:val="SingleTxtGR"/>
        <w:rPr>
          <w:lang w:bidi="ru-RU"/>
        </w:rPr>
      </w:pPr>
      <w:r w:rsidRPr="009F2F6C">
        <w:rPr>
          <w:lang w:bidi="ru-RU"/>
        </w:rPr>
        <w:t>Тормозные системы пассажирских транспортных средств – (изъят из ПР)</w:t>
      </w:r>
    </w:p>
    <w:p w:rsidR="009F2F6C" w:rsidRPr="009F2F6C" w:rsidRDefault="009F2F6C" w:rsidP="009F2F6C">
      <w:pPr>
        <w:pStyle w:val="SingleTxtGR"/>
        <w:rPr>
          <w:b/>
          <w:lang w:bidi="ru-RU"/>
        </w:rPr>
      </w:pPr>
      <w:r w:rsidRPr="009F2F6C">
        <w:rPr>
          <w:b/>
          <w:lang w:bidi="ru-RU"/>
        </w:rPr>
        <w:t>Рабочая группа по пассивной безопасности (GRSG)</w:t>
      </w:r>
    </w:p>
    <w:p w:rsidR="009F2F6C" w:rsidRPr="009F2F6C" w:rsidRDefault="009F2F6C" w:rsidP="009F2F6C">
      <w:pPr>
        <w:pStyle w:val="SingleTxtGR"/>
        <w:rPr>
          <w:lang w:bidi="ru-RU"/>
        </w:rPr>
      </w:pPr>
      <w:r w:rsidRPr="009F2F6C">
        <w:rPr>
          <w:lang w:bidi="ru-RU"/>
        </w:rPr>
        <w:t>Безопасные стекловые материалы – март 2008 года</w:t>
      </w:r>
    </w:p>
    <w:p w:rsidR="009F2F6C" w:rsidRPr="009F2F6C" w:rsidRDefault="009F2F6C" w:rsidP="009F2F6C">
      <w:pPr>
        <w:pStyle w:val="SingleTxtGR"/>
        <w:rPr>
          <w:lang w:bidi="ru-RU"/>
        </w:rPr>
      </w:pPr>
      <w:r w:rsidRPr="009F2F6C">
        <w:rPr>
          <w:lang w:bidi="ru-RU"/>
        </w:rPr>
        <w:t>Органы управления и индикаторы – (изъят из ПР)</w:t>
      </w:r>
    </w:p>
    <w:p w:rsidR="009F2F6C" w:rsidRPr="009F2F6C" w:rsidRDefault="009F2F6C" w:rsidP="009F2F6C">
      <w:pPr>
        <w:pStyle w:val="SingleTxtGR"/>
        <w:rPr>
          <w:lang w:bidi="ru-RU"/>
        </w:rPr>
      </w:pPr>
      <w:r w:rsidRPr="009F2F6C">
        <w:rPr>
          <w:lang w:bidi="ru-RU"/>
        </w:rPr>
        <w:t>Классификация транспортных средств, массы и размеры – июнь 2005 года</w:t>
      </w:r>
    </w:p>
    <w:p w:rsidR="009F2F6C" w:rsidRPr="009F2F6C" w:rsidRDefault="009F2F6C" w:rsidP="009F2F6C">
      <w:pPr>
        <w:pStyle w:val="SingleTxtGR"/>
        <w:rPr>
          <w:b/>
          <w:lang w:bidi="ru-RU"/>
        </w:rPr>
      </w:pPr>
      <w:r w:rsidRPr="009F2F6C">
        <w:rPr>
          <w:b/>
          <w:lang w:bidi="ru-RU"/>
        </w:rPr>
        <w:t>Рабочая группа по пассивной безопасности (GRSP)</w:t>
      </w:r>
    </w:p>
    <w:p w:rsidR="009F2F6C" w:rsidRPr="009F2F6C" w:rsidRDefault="009F2F6C" w:rsidP="009F2F6C">
      <w:pPr>
        <w:pStyle w:val="SingleTxtGR"/>
        <w:rPr>
          <w:lang w:bidi="ru-RU"/>
        </w:rPr>
      </w:pPr>
      <w:r w:rsidRPr="009F2F6C">
        <w:rPr>
          <w:lang w:bidi="ru-RU"/>
        </w:rPr>
        <w:t>Безопасность пешеходов – ноябрь 2008 года</w:t>
      </w:r>
    </w:p>
    <w:p w:rsidR="009F2F6C" w:rsidRPr="009F2F6C" w:rsidRDefault="009F2F6C" w:rsidP="009F2F6C">
      <w:pPr>
        <w:pStyle w:val="SingleTxtGR"/>
        <w:rPr>
          <w:lang w:bidi="ru-RU"/>
        </w:rPr>
      </w:pPr>
      <w:r w:rsidRPr="009F2F6C">
        <w:rPr>
          <w:lang w:bidi="ru-RU"/>
        </w:rPr>
        <w:t>Нижние крепления и ремни для детских удерживающих сидений – (изъят из ПР)</w:t>
      </w:r>
    </w:p>
    <w:p w:rsidR="009F2F6C" w:rsidRPr="009F2F6C" w:rsidRDefault="009F2F6C" w:rsidP="009F2F6C">
      <w:pPr>
        <w:pStyle w:val="SingleTxtGR"/>
        <w:rPr>
          <w:lang w:bidi="ru-RU"/>
        </w:rPr>
      </w:pPr>
      <w:r w:rsidRPr="009F2F6C">
        <w:rPr>
          <w:lang w:bidi="ru-RU"/>
        </w:rPr>
        <w:t>Элементы крепления дверей – ноябрь 2004 года</w:t>
      </w:r>
    </w:p>
    <w:p w:rsidR="009F2F6C" w:rsidRPr="009F2F6C" w:rsidRDefault="009F2F6C" w:rsidP="009F2F6C">
      <w:pPr>
        <w:pStyle w:val="SingleTxtGR"/>
        <w:rPr>
          <w:lang w:bidi="ru-RU"/>
        </w:rPr>
      </w:pPr>
      <w:r w:rsidRPr="009F2F6C">
        <w:rPr>
          <w:lang w:bidi="ru-RU"/>
        </w:rPr>
        <w:t>Подголовники – март 2008 года</w:t>
      </w:r>
    </w:p>
    <w:p w:rsidR="009F2F6C" w:rsidRPr="009F2F6C" w:rsidRDefault="009F2F6C" w:rsidP="009F2F6C">
      <w:pPr>
        <w:pStyle w:val="SingleTxtGR"/>
        <w:rPr>
          <w:b/>
          <w:lang w:bidi="ru-RU"/>
        </w:rPr>
      </w:pPr>
      <w:r w:rsidRPr="009F2F6C">
        <w:rPr>
          <w:b/>
          <w:lang w:bidi="ru-RU"/>
        </w:rPr>
        <w:t>Рабочая группа по проблемам энергии и загрязнения окружающей среды (GRPE)</w:t>
      </w:r>
    </w:p>
    <w:p w:rsidR="009F2F6C" w:rsidRPr="009F2F6C" w:rsidRDefault="009F2F6C" w:rsidP="009F2F6C">
      <w:pPr>
        <w:pStyle w:val="SingleTxtGR"/>
        <w:rPr>
          <w:lang w:bidi="ru-RU"/>
        </w:rPr>
      </w:pPr>
      <w:r w:rsidRPr="009F2F6C">
        <w:rPr>
          <w:lang w:bidi="ru-RU"/>
        </w:rPr>
        <w:t>Всемирная процедура сертификации двигателей большой мощности (ВСДБ) – ноябрь 2006 года</w:t>
      </w:r>
    </w:p>
    <w:p w:rsidR="009F2F6C" w:rsidRPr="009F2F6C" w:rsidRDefault="009F2F6C" w:rsidP="009F2F6C">
      <w:pPr>
        <w:pStyle w:val="SingleTxtGR"/>
        <w:rPr>
          <w:lang w:bidi="ru-RU"/>
        </w:rPr>
      </w:pPr>
      <w:r w:rsidRPr="009F2F6C">
        <w:rPr>
          <w:lang w:bidi="ru-RU"/>
        </w:rPr>
        <w:t>Всемирный цикл испытаний мотоциклов на выбросы загрязняющих веществ (ВЦИМ) – июнь 2005 года</w:t>
      </w:r>
    </w:p>
    <w:p w:rsidR="009F2F6C" w:rsidRPr="009F2F6C" w:rsidRDefault="009F2F6C" w:rsidP="009F2F6C">
      <w:pPr>
        <w:pStyle w:val="SingleTxtGR"/>
        <w:rPr>
          <w:lang w:bidi="ru-RU"/>
        </w:rPr>
      </w:pPr>
      <w:r w:rsidRPr="009F2F6C">
        <w:rPr>
          <w:lang w:bidi="ru-RU"/>
        </w:rPr>
        <w:t>БД (двигатели большой мощности) – ноябрь 2006 года</w:t>
      </w:r>
    </w:p>
    <w:p w:rsidR="009F2F6C" w:rsidRPr="009F2F6C" w:rsidRDefault="009F2F6C" w:rsidP="009F2F6C">
      <w:pPr>
        <w:pStyle w:val="SingleTxtGR"/>
        <w:rPr>
          <w:lang w:bidi="ru-RU"/>
        </w:rPr>
      </w:pPr>
      <w:r w:rsidRPr="009F2F6C">
        <w:rPr>
          <w:lang w:bidi="ru-RU"/>
        </w:rPr>
        <w:t>Выбросы вне цикла испытаний – июнь 2009 года</w:t>
      </w:r>
    </w:p>
    <w:p w:rsidR="009F2F6C" w:rsidRPr="009F2F6C" w:rsidRDefault="009F2F6C" w:rsidP="009F2F6C">
      <w:pPr>
        <w:pStyle w:val="SingleTxtGR"/>
        <w:rPr>
          <w:lang w:bidi="ru-RU"/>
        </w:rPr>
      </w:pPr>
      <w:r w:rsidRPr="009F2F6C">
        <w:rPr>
          <w:lang w:bidi="ru-RU"/>
        </w:rPr>
        <w:t>Внедорожная подвижная техника (испытание на выбросы ТЧ) – ноябрь 2009 г</w:t>
      </w:r>
      <w:r w:rsidRPr="009F2F6C">
        <w:rPr>
          <w:lang w:bidi="ru-RU"/>
        </w:rPr>
        <w:t>о</w:t>
      </w:r>
      <w:r w:rsidRPr="009F2F6C">
        <w:rPr>
          <w:lang w:bidi="ru-RU"/>
        </w:rPr>
        <w:t>да</w:t>
      </w:r>
    </w:p>
    <w:p w:rsidR="009F2F6C" w:rsidRPr="009F2F6C" w:rsidRDefault="009F2F6C" w:rsidP="009F2F6C">
      <w:pPr>
        <w:pStyle w:val="SingleTxtGR"/>
        <w:rPr>
          <w:lang w:bidi="ru-RU"/>
        </w:rPr>
      </w:pPr>
      <w:r w:rsidRPr="009F2F6C">
        <w:rPr>
          <w:lang w:bidi="ru-RU"/>
        </w:rPr>
        <w:lastRenderedPageBreak/>
        <w:t>Примерно в 2007 году WP.29, опираясь на опыт рассмотрения пунктов, от</w:t>
      </w:r>
      <w:r w:rsidRPr="009F2F6C">
        <w:rPr>
          <w:lang w:bidi="ru-RU"/>
        </w:rPr>
        <w:t>о</w:t>
      </w:r>
      <w:r w:rsidRPr="009F2F6C">
        <w:rPr>
          <w:lang w:bidi="ru-RU"/>
        </w:rPr>
        <w:t>бранных для включения в первоначальную программу работы, и движимый стремлением избежать аналогичных трудностей и обеспечить более полный учет текущих приоритетов ДС в области нормативных положений, приступил к добавлению в ПР новых пунктов. Эти пункты перечислены ниже.</w:t>
      </w:r>
    </w:p>
    <w:p w:rsidR="009F2F6C" w:rsidRPr="009F2F6C" w:rsidRDefault="009F2F6C" w:rsidP="009F2F6C">
      <w:pPr>
        <w:pStyle w:val="SingleTxtGR"/>
        <w:rPr>
          <w:b/>
          <w:lang w:bidi="ru-RU"/>
        </w:rPr>
      </w:pPr>
      <w:r w:rsidRPr="009F2F6C">
        <w:rPr>
          <w:b/>
          <w:lang w:bidi="ru-RU"/>
        </w:rPr>
        <w:t>GRRF</w:t>
      </w:r>
    </w:p>
    <w:p w:rsidR="009F2F6C" w:rsidRPr="009F2F6C" w:rsidRDefault="009F2F6C" w:rsidP="009F2F6C">
      <w:pPr>
        <w:pStyle w:val="SingleTxtGR"/>
        <w:rPr>
          <w:lang w:bidi="ru-RU"/>
        </w:rPr>
      </w:pPr>
      <w:r w:rsidRPr="009F2F6C">
        <w:rPr>
          <w:lang w:bidi="ru-RU"/>
        </w:rPr>
        <w:t>Электронный контроль устойчивости – добавлен в 2007 году; утвержден в июне 2008 года</w:t>
      </w:r>
    </w:p>
    <w:p w:rsidR="009F2F6C" w:rsidRPr="009F2F6C" w:rsidRDefault="009F2F6C" w:rsidP="009F2F6C">
      <w:pPr>
        <w:pStyle w:val="SingleTxtGR"/>
        <w:rPr>
          <w:lang w:bidi="ru-RU"/>
        </w:rPr>
      </w:pPr>
      <w:r w:rsidRPr="009F2F6C">
        <w:rPr>
          <w:lang w:bidi="ru-RU"/>
        </w:rPr>
        <w:t>Органы управления и индикаторы для мотоциклов – добавлен в 2009 году; утвержден в ноябре 2011 года</w:t>
      </w:r>
    </w:p>
    <w:p w:rsidR="009F2F6C" w:rsidRPr="009F2F6C" w:rsidRDefault="009F2F6C" w:rsidP="009F2F6C">
      <w:pPr>
        <w:pStyle w:val="SingleTxtGR"/>
        <w:rPr>
          <w:b/>
          <w:lang w:bidi="ru-RU"/>
        </w:rPr>
      </w:pPr>
      <w:r w:rsidRPr="009F2F6C">
        <w:rPr>
          <w:b/>
          <w:lang w:bidi="ru-RU"/>
        </w:rPr>
        <w:t>GRSP</w:t>
      </w:r>
    </w:p>
    <w:p w:rsidR="009F2F6C" w:rsidRPr="009F2F6C" w:rsidRDefault="009F2F6C" w:rsidP="009F2F6C">
      <w:pPr>
        <w:pStyle w:val="SingleTxtGR"/>
        <w:rPr>
          <w:lang w:bidi="ru-RU"/>
        </w:rPr>
      </w:pPr>
      <w:r w:rsidRPr="009F2F6C">
        <w:rPr>
          <w:lang w:bidi="ru-RU"/>
        </w:rPr>
        <w:t>Водородные транспортные средства – добавлен в 2004 году; согласование з</w:t>
      </w:r>
      <w:r w:rsidRPr="009F2F6C">
        <w:rPr>
          <w:lang w:bidi="ru-RU"/>
        </w:rPr>
        <w:t>а</w:t>
      </w:r>
      <w:r w:rsidRPr="009F2F6C">
        <w:rPr>
          <w:lang w:bidi="ru-RU"/>
        </w:rPr>
        <w:t>вершено в июне 2013 года</w:t>
      </w:r>
    </w:p>
    <w:p w:rsidR="009F2F6C" w:rsidRPr="009F2F6C" w:rsidRDefault="009F2F6C" w:rsidP="009F2F6C">
      <w:pPr>
        <w:pStyle w:val="SingleTxtGR"/>
        <w:rPr>
          <w:lang w:bidi="ru-RU"/>
        </w:rPr>
      </w:pPr>
      <w:r w:rsidRPr="009F2F6C">
        <w:rPr>
          <w:lang w:bidi="ru-RU"/>
        </w:rPr>
        <w:t>Боковой удар о столб – добавлен в 2010 году; согласование завершено в ноябре 2013 года</w:t>
      </w:r>
    </w:p>
    <w:p w:rsidR="009F2F6C" w:rsidRPr="009F2F6C" w:rsidRDefault="009F2F6C" w:rsidP="009F2F6C">
      <w:pPr>
        <w:pStyle w:val="SingleTxtGR"/>
        <w:rPr>
          <w:lang w:bidi="ru-RU"/>
        </w:rPr>
      </w:pPr>
      <w:r w:rsidRPr="009F2F6C">
        <w:rPr>
          <w:lang w:bidi="ru-RU"/>
        </w:rPr>
        <w:t xml:space="preserve">Электромобили – добавлен в 2013 году; в настоящее время ведется работа </w:t>
      </w:r>
    </w:p>
    <w:p w:rsidR="009F2F6C" w:rsidRPr="009F2F6C" w:rsidRDefault="009F2F6C" w:rsidP="009F2F6C">
      <w:pPr>
        <w:pStyle w:val="SingleTxtGR"/>
        <w:rPr>
          <w:lang w:bidi="ru-RU"/>
        </w:rPr>
      </w:pPr>
      <w:r w:rsidRPr="009F2F6C">
        <w:rPr>
          <w:lang w:bidi="ru-RU"/>
        </w:rPr>
        <w:t>Подголовники, этап 2 – в настоящее время ведется работа</w:t>
      </w:r>
    </w:p>
    <w:p w:rsidR="009F2F6C" w:rsidRPr="009F2F6C" w:rsidRDefault="009F2F6C" w:rsidP="009F2F6C">
      <w:pPr>
        <w:pStyle w:val="SingleTxtGR"/>
        <w:rPr>
          <w:lang w:bidi="ru-RU"/>
        </w:rPr>
      </w:pPr>
      <w:r w:rsidRPr="009F2F6C">
        <w:rPr>
          <w:lang w:bidi="ru-RU"/>
        </w:rPr>
        <w:t>Безопасность пешеходов, этап 2 – в настоящее время ведется работа</w:t>
      </w:r>
    </w:p>
    <w:p w:rsidR="009F2F6C" w:rsidRPr="009F2F6C" w:rsidRDefault="009F2F6C" w:rsidP="009F2F6C">
      <w:pPr>
        <w:pStyle w:val="SingleTxtGR"/>
        <w:rPr>
          <w:b/>
          <w:lang w:bidi="ru-RU"/>
        </w:rPr>
      </w:pPr>
      <w:r w:rsidRPr="009F2F6C">
        <w:rPr>
          <w:b/>
          <w:lang w:bidi="ru-RU"/>
        </w:rPr>
        <w:t>GRPE</w:t>
      </w:r>
    </w:p>
    <w:p w:rsidR="009F2F6C" w:rsidRPr="009F2F6C" w:rsidRDefault="009F2F6C" w:rsidP="009F2F6C">
      <w:pPr>
        <w:pStyle w:val="SingleTxtGR"/>
        <w:rPr>
          <w:lang w:bidi="ru-RU"/>
        </w:rPr>
      </w:pPr>
      <w:r w:rsidRPr="009F2F6C">
        <w:rPr>
          <w:lang w:bidi="ru-RU"/>
        </w:rPr>
        <w:t>Всемирные согласованные процедуры испытания транспортных средств малой грузоподъемности – добавлен в 2007 году; согласование завершено в марте</w:t>
      </w:r>
      <w:r w:rsidR="002C684D">
        <w:rPr>
          <w:lang w:bidi="ru-RU"/>
        </w:rPr>
        <w:t xml:space="preserve"> </w:t>
      </w:r>
      <w:r w:rsidR="002C684D" w:rsidRPr="009F2F6C">
        <w:rPr>
          <w:lang w:bidi="ru-RU"/>
        </w:rPr>
        <w:t>2014 года</w:t>
      </w:r>
    </w:p>
    <w:p w:rsidR="009F2F6C" w:rsidRPr="009F2F6C" w:rsidRDefault="009F2F6C" w:rsidP="009F2F6C">
      <w:pPr>
        <w:pStyle w:val="SingleTxtGR"/>
        <w:rPr>
          <w:lang w:bidi="ru-RU"/>
        </w:rPr>
      </w:pPr>
      <w:r w:rsidRPr="009F2F6C">
        <w:rPr>
          <w:lang w:bidi="ru-RU"/>
        </w:rPr>
        <w:t>Электромобили (экологические факторы) – в настоящее время ведется работа</w:t>
      </w:r>
    </w:p>
    <w:p w:rsidR="009F2F6C" w:rsidRPr="009F2F6C" w:rsidRDefault="009F2F6C" w:rsidP="009F2F6C">
      <w:pPr>
        <w:pStyle w:val="SingleTxtGR"/>
        <w:rPr>
          <w:lang w:bidi="ru-RU"/>
        </w:rPr>
      </w:pPr>
      <w:r w:rsidRPr="009F2F6C">
        <w:rPr>
          <w:lang w:bidi="ru-RU"/>
        </w:rPr>
        <w:t>Три поправки к существующим ГТП, касающимся экологических аспектов – в</w:t>
      </w:r>
      <w:r w:rsidR="002C684D">
        <w:rPr>
          <w:lang w:bidi="ru-RU"/>
        </w:rPr>
        <w:t> </w:t>
      </w:r>
      <w:r w:rsidRPr="009F2F6C">
        <w:rPr>
          <w:lang w:bidi="ru-RU"/>
        </w:rPr>
        <w:t>настоящее время ведется работа</w:t>
      </w:r>
    </w:p>
    <w:p w:rsidR="009F2F6C" w:rsidRPr="009F2F6C" w:rsidRDefault="009F2F6C" w:rsidP="009F2F6C">
      <w:pPr>
        <w:pStyle w:val="SingleTxtGR"/>
        <w:rPr>
          <w:b/>
          <w:lang w:bidi="ru-RU"/>
        </w:rPr>
      </w:pPr>
      <w:r w:rsidRPr="009F2F6C">
        <w:rPr>
          <w:b/>
          <w:lang w:bidi="ru-RU"/>
        </w:rPr>
        <w:t>Рабочая группа по вопросам шума (GRB)</w:t>
      </w:r>
    </w:p>
    <w:p w:rsidR="009F2F6C" w:rsidRPr="009F2F6C" w:rsidRDefault="009F2F6C" w:rsidP="009F2F6C">
      <w:pPr>
        <w:pStyle w:val="SingleTxtGR"/>
        <w:rPr>
          <w:lang w:bidi="ru-RU"/>
        </w:rPr>
      </w:pPr>
      <w:r w:rsidRPr="009F2F6C">
        <w:rPr>
          <w:lang w:bidi="ru-RU"/>
        </w:rPr>
        <w:t>Бесшумные транспортные средства – добавлен в 2013 году; в настоящее время ведется работа</w:t>
      </w:r>
    </w:p>
    <w:p w:rsidR="009F2F6C" w:rsidRPr="009F2F6C" w:rsidRDefault="009F2F6C" w:rsidP="009F2F6C">
      <w:pPr>
        <w:pStyle w:val="SingleTxtGR"/>
        <w:rPr>
          <w:lang w:bidi="ru-RU"/>
        </w:rPr>
      </w:pPr>
      <w:r w:rsidRPr="009F2F6C">
        <w:rPr>
          <w:lang w:bidi="ru-RU"/>
        </w:rPr>
        <w:t>7.</w:t>
      </w:r>
      <w:r w:rsidRPr="009F2F6C">
        <w:rPr>
          <w:lang w:bidi="ru-RU"/>
        </w:rPr>
        <w:tab/>
        <w:t>Несмотря на ускорение – после добавления отобранных для включения в ПР новых пунктов – темпов разработки ГТП ООН, все же необходим дальне</w:t>
      </w:r>
      <w:r w:rsidRPr="009F2F6C">
        <w:rPr>
          <w:lang w:bidi="ru-RU"/>
        </w:rPr>
        <w:t>й</w:t>
      </w:r>
      <w:r w:rsidRPr="009F2F6C">
        <w:rPr>
          <w:lang w:bidi="ru-RU"/>
        </w:rPr>
        <w:t>ший прогресс. На сегодняшний день, спустя более 15 лет после принятия С</w:t>
      </w:r>
      <w:r w:rsidRPr="009F2F6C">
        <w:rPr>
          <w:lang w:bidi="ru-RU"/>
        </w:rPr>
        <w:t>о</w:t>
      </w:r>
      <w:r w:rsidRPr="009F2F6C">
        <w:rPr>
          <w:lang w:bidi="ru-RU"/>
        </w:rPr>
        <w:t>глашения 1998 года, были введены лишь 16 ГТП ООН. Кроме того, как было признано на сессии WP.29 в марте 2014 года, значительное большинство ДС Соглашения не выполняет своих обязательств по уведомлению о включении ГТП ООН в их национальное законодательство. Это свидетельствует о том, что фактически ГТП ООН, как правило, не включаются в национальное законод</w:t>
      </w:r>
      <w:r w:rsidRPr="009F2F6C">
        <w:rPr>
          <w:lang w:bidi="ru-RU"/>
        </w:rPr>
        <w:t>а</w:t>
      </w:r>
      <w:r w:rsidRPr="009F2F6C">
        <w:rPr>
          <w:lang w:bidi="ru-RU"/>
        </w:rPr>
        <w:t>тельство всех Договаривающихся сторон Соглашения.</w:t>
      </w:r>
    </w:p>
    <w:p w:rsidR="009F2F6C" w:rsidRPr="009F2F6C" w:rsidRDefault="009F2F6C" w:rsidP="009F2F6C">
      <w:pPr>
        <w:pStyle w:val="SingleTxtGR"/>
        <w:rPr>
          <w:lang w:bidi="ru-RU"/>
        </w:rPr>
      </w:pPr>
      <w:r w:rsidRPr="009F2F6C">
        <w:rPr>
          <w:lang w:bidi="ru-RU"/>
        </w:rPr>
        <w:t>8.</w:t>
      </w:r>
      <w:r w:rsidRPr="009F2F6C">
        <w:rPr>
          <w:lang w:bidi="ru-RU"/>
        </w:rPr>
        <w:tab/>
        <w:t>В настоящей специальной резолюции излагаются соображения</w:t>
      </w:r>
      <w:r w:rsidR="002C684D" w:rsidRPr="002C684D">
        <w:rPr>
          <w:lang w:bidi="ru-RU"/>
        </w:rPr>
        <w:t xml:space="preserve"> </w:t>
      </w:r>
      <w:r w:rsidR="002C684D" w:rsidRPr="009F2F6C">
        <w:rPr>
          <w:lang w:bidi="ru-RU"/>
        </w:rPr>
        <w:t>Европе</w:t>
      </w:r>
      <w:r w:rsidR="002C684D" w:rsidRPr="009F2F6C">
        <w:rPr>
          <w:lang w:bidi="ru-RU"/>
        </w:rPr>
        <w:t>й</w:t>
      </w:r>
      <w:r w:rsidR="002C684D" w:rsidRPr="009F2F6C">
        <w:rPr>
          <w:lang w:bidi="ru-RU"/>
        </w:rPr>
        <w:t>ского союза</w:t>
      </w:r>
      <w:r w:rsidR="002C684D">
        <w:rPr>
          <w:lang w:bidi="ru-RU"/>
        </w:rPr>
        <w:t>,</w:t>
      </w:r>
      <w:r w:rsidRPr="009F2F6C">
        <w:rPr>
          <w:lang w:bidi="ru-RU"/>
        </w:rPr>
        <w:t xml:space="preserve"> Соединенных Штатов Америки</w:t>
      </w:r>
      <w:r w:rsidR="002C684D">
        <w:rPr>
          <w:lang w:bidi="ru-RU"/>
        </w:rPr>
        <w:t xml:space="preserve"> и</w:t>
      </w:r>
      <w:r w:rsidRPr="009F2F6C">
        <w:rPr>
          <w:lang w:bidi="ru-RU"/>
        </w:rPr>
        <w:t xml:space="preserve"> Японии относительно стимул</w:t>
      </w:r>
      <w:r w:rsidRPr="009F2F6C">
        <w:rPr>
          <w:lang w:bidi="ru-RU"/>
        </w:rPr>
        <w:t>и</w:t>
      </w:r>
      <w:r w:rsidRPr="009F2F6C">
        <w:rPr>
          <w:lang w:bidi="ru-RU"/>
        </w:rPr>
        <w:t>рования обсуждения и истребования отдачи со стороны всех заинтересованных субъектов в порядке обеспечения реальных подвижек в деле осуществления Глобального соглашения 1998 года.</w:t>
      </w:r>
    </w:p>
    <w:p w:rsidR="009F2F6C" w:rsidRPr="009F2F6C" w:rsidRDefault="00526F6C" w:rsidP="00526F6C">
      <w:pPr>
        <w:pStyle w:val="H1GR"/>
        <w:rPr>
          <w:lang w:bidi="ru-RU"/>
        </w:rPr>
      </w:pPr>
      <w:r>
        <w:rPr>
          <w:lang w:bidi="ru-RU"/>
        </w:rPr>
        <w:lastRenderedPageBreak/>
        <w:tab/>
        <w:t>D.</w:t>
      </w:r>
      <w:r>
        <w:rPr>
          <w:lang w:bidi="ru-RU"/>
        </w:rPr>
        <w:tab/>
      </w:r>
      <w:r w:rsidR="009F2F6C" w:rsidRPr="009F2F6C">
        <w:rPr>
          <w:lang w:bidi="ru-RU"/>
        </w:rPr>
        <w:t>Совершенствование процесса осуществления Соглашения 1998</w:t>
      </w:r>
      <w:r>
        <w:rPr>
          <w:lang w:bidi="ru-RU"/>
        </w:rPr>
        <w:t> </w:t>
      </w:r>
      <w:r w:rsidR="009F2F6C" w:rsidRPr="009F2F6C">
        <w:rPr>
          <w:lang w:bidi="ru-RU"/>
        </w:rPr>
        <w:t>года</w:t>
      </w:r>
    </w:p>
    <w:p w:rsidR="009F2F6C" w:rsidRPr="009F2F6C" w:rsidRDefault="009F2F6C" w:rsidP="009F2F6C">
      <w:pPr>
        <w:pStyle w:val="SingleTxtGR"/>
        <w:rPr>
          <w:lang w:bidi="ru-RU"/>
        </w:rPr>
      </w:pPr>
      <w:r w:rsidRPr="009F2F6C">
        <w:rPr>
          <w:lang w:bidi="ru-RU"/>
        </w:rPr>
        <w:t>9.</w:t>
      </w:r>
      <w:r w:rsidRPr="009F2F6C">
        <w:rPr>
          <w:lang w:bidi="ru-RU"/>
        </w:rPr>
        <w:tab/>
        <w:t>Темпы разработки ГТП ООН являются удручающими, а отдельные ДС не в состоянии обеспечить быстрое принятие ГТП ООН на национальном уровне. Вместе с тем ДС сталкиваются с существенным дефицитом ресурсов в плане наличия персонала для работы над ГТП ООН и фондов путевых расходов, н</w:t>
      </w:r>
      <w:r w:rsidRPr="009F2F6C">
        <w:rPr>
          <w:lang w:bidi="ru-RU"/>
        </w:rPr>
        <w:t>е</w:t>
      </w:r>
      <w:r w:rsidRPr="009F2F6C">
        <w:rPr>
          <w:lang w:bidi="ru-RU"/>
        </w:rPr>
        <w:t>обходимых для обслуживания соответствующих поездок. Одним из ключевых аспектов, как представляется, является обеспечение увязки ПР WP.29 с приор</w:t>
      </w:r>
      <w:r w:rsidRPr="009F2F6C">
        <w:rPr>
          <w:lang w:bidi="ru-RU"/>
        </w:rPr>
        <w:t>и</w:t>
      </w:r>
      <w:r w:rsidRPr="009F2F6C">
        <w:rPr>
          <w:lang w:bidi="ru-RU"/>
        </w:rPr>
        <w:t>тетами ДС и испытываемым ими дефицитом ресурсов, а также более тесная смычка между национальным механизмом введения нормативных положений и процессом принятия ГТП ООН. В контексте работы по усовершенствованию важно напомнить, что Соглашение ориентировано на «достижение высоких уровней рабочих характеристик в области безопасности, охраны окружающей среды, эффективного использования энергии и защиты от угона в рамках мир</w:t>
      </w:r>
      <w:r w:rsidRPr="009F2F6C">
        <w:rPr>
          <w:lang w:bidi="ru-RU"/>
        </w:rPr>
        <w:t>о</w:t>
      </w:r>
      <w:r w:rsidRPr="009F2F6C">
        <w:rPr>
          <w:lang w:bidi="ru-RU"/>
        </w:rPr>
        <w:t>вого сообщества». Кроме того, необходимо признать, что условия, существу</w:t>
      </w:r>
      <w:r w:rsidRPr="009F2F6C">
        <w:rPr>
          <w:lang w:bidi="ru-RU"/>
        </w:rPr>
        <w:t>ю</w:t>
      </w:r>
      <w:r w:rsidRPr="009F2F6C">
        <w:rPr>
          <w:lang w:bidi="ru-RU"/>
        </w:rPr>
        <w:t>щие в некоторых ДС, вынуждают их отдавать приоритет тем ГТП ООН, кот</w:t>
      </w:r>
      <w:r w:rsidRPr="009F2F6C">
        <w:rPr>
          <w:lang w:bidi="ru-RU"/>
        </w:rPr>
        <w:t>о</w:t>
      </w:r>
      <w:r w:rsidRPr="009F2F6C">
        <w:rPr>
          <w:lang w:bidi="ru-RU"/>
        </w:rPr>
        <w:t>рые сулят ощутимые отечественные преимущества в плане безопасности и охраны окружающей среды, равно как потенциальные экономические выгоды от согласования. Обеспечение баланса между этими приоритетами и наличн</w:t>
      </w:r>
      <w:r w:rsidRPr="009F2F6C">
        <w:rPr>
          <w:lang w:bidi="ru-RU"/>
        </w:rPr>
        <w:t>ы</w:t>
      </w:r>
      <w:r w:rsidRPr="009F2F6C">
        <w:rPr>
          <w:lang w:bidi="ru-RU"/>
        </w:rPr>
        <w:t>ми ресурсами может потребовать достижения договоренности относительно сокращения ПР с исключением из нее ряда нынешних направлений деятельн</w:t>
      </w:r>
      <w:r w:rsidRPr="009F2F6C">
        <w:rPr>
          <w:lang w:bidi="ru-RU"/>
        </w:rPr>
        <w:t>о</w:t>
      </w:r>
      <w:r w:rsidRPr="009F2F6C">
        <w:rPr>
          <w:lang w:bidi="ru-RU"/>
        </w:rPr>
        <w:t>сти в ответ на усиление акцента на небольшом круге важных областей.</w:t>
      </w:r>
    </w:p>
    <w:p w:rsidR="009F2F6C" w:rsidRPr="009F2F6C" w:rsidRDefault="009F2F6C" w:rsidP="009F2F6C">
      <w:pPr>
        <w:pStyle w:val="SingleTxtGR"/>
        <w:rPr>
          <w:lang w:bidi="ru-RU"/>
        </w:rPr>
      </w:pPr>
      <w:r w:rsidRPr="009F2F6C">
        <w:rPr>
          <w:lang w:bidi="ru-RU"/>
        </w:rPr>
        <w:t>10.</w:t>
      </w:r>
      <w:r w:rsidRPr="009F2F6C">
        <w:rPr>
          <w:lang w:bidi="ru-RU"/>
        </w:rPr>
        <w:tab/>
        <w:t>Были выявлены три области, необходимость усовершенствования в кот</w:t>
      </w:r>
      <w:r w:rsidRPr="009F2F6C">
        <w:rPr>
          <w:lang w:bidi="ru-RU"/>
        </w:rPr>
        <w:t>о</w:t>
      </w:r>
      <w:r w:rsidRPr="009F2F6C">
        <w:rPr>
          <w:lang w:bidi="ru-RU"/>
        </w:rPr>
        <w:t>рых особенно назрела. Эти области – с указанием возможных решений – пер</w:t>
      </w:r>
      <w:r w:rsidRPr="009F2F6C">
        <w:rPr>
          <w:lang w:bidi="ru-RU"/>
        </w:rPr>
        <w:t>е</w:t>
      </w:r>
      <w:r w:rsidRPr="009F2F6C">
        <w:rPr>
          <w:lang w:bidi="ru-RU"/>
        </w:rPr>
        <w:t xml:space="preserve">числяются и рассматриваются ниже. </w:t>
      </w:r>
    </w:p>
    <w:p w:rsidR="009F2F6C" w:rsidRPr="009F2F6C" w:rsidRDefault="009F2F6C" w:rsidP="00526F6C">
      <w:pPr>
        <w:pStyle w:val="H23GR"/>
        <w:rPr>
          <w:lang w:bidi="ru-RU"/>
        </w:rPr>
      </w:pPr>
      <w:r w:rsidRPr="009F2F6C">
        <w:rPr>
          <w:lang w:bidi="ru-RU"/>
        </w:rPr>
        <w:tab/>
        <w:t>1.</w:t>
      </w:r>
      <w:r w:rsidRPr="009F2F6C">
        <w:rPr>
          <w:lang w:bidi="ru-RU"/>
        </w:rPr>
        <w:tab/>
        <w:t>Совершенствование методики отбора проектов для целей ПР:</w:t>
      </w:r>
    </w:p>
    <w:p w:rsidR="009F2F6C" w:rsidRPr="009F2F6C" w:rsidRDefault="00526F6C" w:rsidP="009F2F6C">
      <w:pPr>
        <w:pStyle w:val="SingleTxtGR"/>
        <w:rPr>
          <w:lang w:bidi="ru-RU"/>
        </w:rPr>
      </w:pPr>
      <w:r>
        <w:rPr>
          <w:lang w:bidi="ru-RU"/>
        </w:rPr>
        <w:tab/>
        <w:t>a)</w:t>
      </w:r>
      <w:r>
        <w:rPr>
          <w:lang w:bidi="ru-RU"/>
        </w:rPr>
        <w:tab/>
      </w:r>
      <w:r w:rsidR="009F2F6C" w:rsidRPr="009F2F6C">
        <w:rPr>
          <w:lang w:bidi="ru-RU"/>
        </w:rPr>
        <w:t xml:space="preserve">при добавлении в ПР новых пунктов делать акцент на тех, которые являются высокоприоритетными для ДС, исходя главным образом из объема потенциальных преимуществ в плане обеспечения безопасности и охраны окружающей среды; </w:t>
      </w:r>
    </w:p>
    <w:p w:rsidR="009F2F6C" w:rsidRPr="009F2F6C" w:rsidRDefault="00526F6C" w:rsidP="009F2F6C">
      <w:pPr>
        <w:pStyle w:val="SingleTxtGR"/>
        <w:rPr>
          <w:lang w:bidi="ru-RU"/>
        </w:rPr>
      </w:pPr>
      <w:r>
        <w:rPr>
          <w:lang w:bidi="ru-RU"/>
        </w:rPr>
        <w:tab/>
        <w:t>b)</w:t>
      </w:r>
      <w:r>
        <w:rPr>
          <w:lang w:bidi="ru-RU"/>
        </w:rPr>
        <w:tab/>
      </w:r>
      <w:r w:rsidR="009F2F6C" w:rsidRPr="009F2F6C">
        <w:rPr>
          <w:lang w:bidi="ru-RU"/>
        </w:rPr>
        <w:t>обмениваться информацией между ДС относительно соответств</w:t>
      </w:r>
      <w:r w:rsidR="009F2F6C" w:rsidRPr="009F2F6C">
        <w:rPr>
          <w:lang w:bidi="ru-RU"/>
        </w:rPr>
        <w:t>у</w:t>
      </w:r>
      <w:r w:rsidR="009F2F6C" w:rsidRPr="009F2F6C">
        <w:rPr>
          <w:lang w:bidi="ru-RU"/>
        </w:rPr>
        <w:t>ющего планирования на национальном уровне деятельности по составлению программ нормотворческой и исследовательской работы для выявления общих черт;</w:t>
      </w:r>
    </w:p>
    <w:p w:rsidR="009F2F6C" w:rsidRPr="009F2F6C" w:rsidRDefault="00526F6C" w:rsidP="009F2F6C">
      <w:pPr>
        <w:pStyle w:val="SingleTxtGR"/>
        <w:rPr>
          <w:lang w:bidi="ru-RU"/>
        </w:rPr>
      </w:pPr>
      <w:r>
        <w:rPr>
          <w:lang w:bidi="ru-RU"/>
        </w:rPr>
        <w:tab/>
        <w:t>c)</w:t>
      </w:r>
      <w:r>
        <w:rPr>
          <w:lang w:bidi="ru-RU"/>
        </w:rPr>
        <w:tab/>
      </w:r>
      <w:r w:rsidR="009F2F6C" w:rsidRPr="009F2F6C">
        <w:rPr>
          <w:lang w:bidi="ru-RU"/>
        </w:rPr>
        <w:t>ежегодно организовывать в рамках одной из сессий WP.29 обсто</w:t>
      </w:r>
      <w:r w:rsidR="009F2F6C" w:rsidRPr="009F2F6C">
        <w:rPr>
          <w:lang w:bidi="ru-RU"/>
        </w:rPr>
        <w:t>я</w:t>
      </w:r>
      <w:r w:rsidR="009F2F6C" w:rsidRPr="009F2F6C">
        <w:rPr>
          <w:lang w:bidi="ru-RU"/>
        </w:rPr>
        <w:t>тельное обсуждение с участием всех соответствующих заинтересованных ст</w:t>
      </w:r>
      <w:r w:rsidR="009F2F6C" w:rsidRPr="009F2F6C">
        <w:rPr>
          <w:lang w:bidi="ru-RU"/>
        </w:rPr>
        <w:t>о</w:t>
      </w:r>
      <w:r w:rsidR="009F2F6C" w:rsidRPr="009F2F6C">
        <w:rPr>
          <w:lang w:bidi="ru-RU"/>
        </w:rPr>
        <w:t>рон с особым упором на выявлении среднесрочных и долгосрочных приорит</w:t>
      </w:r>
      <w:r w:rsidR="009F2F6C" w:rsidRPr="009F2F6C">
        <w:rPr>
          <w:lang w:bidi="ru-RU"/>
        </w:rPr>
        <w:t>е</w:t>
      </w:r>
      <w:r w:rsidR="009F2F6C" w:rsidRPr="009F2F6C">
        <w:rPr>
          <w:lang w:bidi="ru-RU"/>
        </w:rPr>
        <w:t>тов;</w:t>
      </w:r>
    </w:p>
    <w:p w:rsidR="009F2F6C" w:rsidRPr="009F2F6C" w:rsidRDefault="00526F6C" w:rsidP="009F2F6C">
      <w:pPr>
        <w:pStyle w:val="SingleTxtGR"/>
        <w:rPr>
          <w:lang w:bidi="ru-RU"/>
        </w:rPr>
      </w:pPr>
      <w:r>
        <w:rPr>
          <w:lang w:bidi="ru-RU"/>
        </w:rPr>
        <w:tab/>
        <w:t>d)</w:t>
      </w:r>
      <w:r>
        <w:rPr>
          <w:lang w:bidi="ru-RU"/>
        </w:rPr>
        <w:tab/>
      </w:r>
      <w:r w:rsidR="009F2F6C" w:rsidRPr="009F2F6C">
        <w:rPr>
          <w:lang w:bidi="ru-RU"/>
        </w:rPr>
        <w:t>добавлять пункты, относящиеся к новым областям работы, особе</w:t>
      </w:r>
      <w:r w:rsidR="009F2F6C" w:rsidRPr="009F2F6C">
        <w:rPr>
          <w:lang w:bidi="ru-RU"/>
        </w:rPr>
        <w:t>н</w:t>
      </w:r>
      <w:r w:rsidR="009F2F6C" w:rsidRPr="009F2F6C">
        <w:rPr>
          <w:lang w:bidi="ru-RU"/>
        </w:rPr>
        <w:t>но что касается новейших технологий обеспечения безопасности и охраны окружающей среды;</w:t>
      </w:r>
    </w:p>
    <w:p w:rsidR="009F2F6C" w:rsidRPr="009F2F6C" w:rsidRDefault="00526F6C" w:rsidP="009F2F6C">
      <w:pPr>
        <w:pStyle w:val="SingleTxtGR"/>
        <w:rPr>
          <w:lang w:bidi="ru-RU"/>
        </w:rPr>
      </w:pPr>
      <w:r>
        <w:rPr>
          <w:lang w:bidi="ru-RU"/>
        </w:rPr>
        <w:tab/>
        <w:t>e)</w:t>
      </w:r>
      <w:r>
        <w:rPr>
          <w:lang w:bidi="ru-RU"/>
        </w:rPr>
        <w:tab/>
      </w:r>
      <w:r w:rsidR="009F2F6C" w:rsidRPr="009F2F6C">
        <w:rPr>
          <w:lang w:bidi="ru-RU"/>
        </w:rPr>
        <w:t>обеспечивать выявление и учет базовых потребностей в научно-исследовательской работе и завершать исследования до начала разработки но</w:t>
      </w:r>
      <w:r w:rsidR="009F2F6C" w:rsidRPr="009F2F6C">
        <w:rPr>
          <w:lang w:bidi="ru-RU"/>
        </w:rPr>
        <w:t>р</w:t>
      </w:r>
      <w:r w:rsidR="009F2F6C" w:rsidRPr="009F2F6C">
        <w:rPr>
          <w:lang w:bidi="ru-RU"/>
        </w:rPr>
        <w:t>мативного текста (часть В) любых ГТП ООН;</w:t>
      </w:r>
    </w:p>
    <w:p w:rsidR="009F2F6C" w:rsidRPr="009F2F6C" w:rsidRDefault="00526F6C" w:rsidP="009F2F6C">
      <w:pPr>
        <w:pStyle w:val="SingleTxtGR"/>
        <w:rPr>
          <w:lang w:bidi="ru-RU"/>
        </w:rPr>
      </w:pPr>
      <w:r>
        <w:rPr>
          <w:lang w:bidi="ru-RU"/>
        </w:rPr>
        <w:tab/>
        <w:t>f)</w:t>
      </w:r>
      <w:r>
        <w:rPr>
          <w:lang w:bidi="ru-RU"/>
        </w:rPr>
        <w:tab/>
      </w:r>
      <w:r w:rsidR="009F2F6C" w:rsidRPr="009F2F6C">
        <w:rPr>
          <w:lang w:bidi="ru-RU"/>
        </w:rPr>
        <w:t>избегать в целом инициирования работы над такими ГТП ООН, к</w:t>
      </w:r>
      <w:r w:rsidR="009F2F6C" w:rsidRPr="009F2F6C">
        <w:rPr>
          <w:lang w:bidi="ru-RU"/>
        </w:rPr>
        <w:t>о</w:t>
      </w:r>
      <w:r w:rsidR="009F2F6C" w:rsidRPr="009F2F6C">
        <w:rPr>
          <w:lang w:bidi="ru-RU"/>
        </w:rPr>
        <w:t>торые сулят лишь незначительные преимущества или могут считаться ни</w:t>
      </w:r>
      <w:r w:rsidR="009F2F6C" w:rsidRPr="009F2F6C">
        <w:rPr>
          <w:lang w:bidi="ru-RU"/>
        </w:rPr>
        <w:t>з</w:t>
      </w:r>
      <w:r w:rsidR="009F2F6C" w:rsidRPr="009F2F6C">
        <w:rPr>
          <w:lang w:bidi="ru-RU"/>
        </w:rPr>
        <w:t xml:space="preserve">коприоритетными, которые могут не встретить поддержки со стороны одной </w:t>
      </w:r>
      <w:r w:rsidR="009F2F6C" w:rsidRPr="009F2F6C">
        <w:rPr>
          <w:lang w:bidi="ru-RU"/>
        </w:rPr>
        <w:lastRenderedPageBreak/>
        <w:t>или более ДС ввиду ограниченности ресурсов, либо которые способны утр</w:t>
      </w:r>
      <w:r w:rsidR="009F2F6C" w:rsidRPr="009F2F6C">
        <w:rPr>
          <w:lang w:bidi="ru-RU"/>
        </w:rPr>
        <w:t>а</w:t>
      </w:r>
      <w:r w:rsidR="009F2F6C" w:rsidRPr="009F2F6C">
        <w:rPr>
          <w:lang w:bidi="ru-RU"/>
        </w:rPr>
        <w:t>тить актуальность в краткосрочной перспективе;</w:t>
      </w:r>
    </w:p>
    <w:p w:rsidR="009F2F6C" w:rsidRPr="009F2F6C" w:rsidRDefault="00526F6C" w:rsidP="009F2F6C">
      <w:pPr>
        <w:pStyle w:val="SingleTxtGR"/>
        <w:rPr>
          <w:lang w:bidi="ru-RU"/>
        </w:rPr>
      </w:pPr>
      <w:r>
        <w:rPr>
          <w:lang w:bidi="ru-RU"/>
        </w:rPr>
        <w:tab/>
        <w:t>g)</w:t>
      </w:r>
      <w:r>
        <w:rPr>
          <w:lang w:bidi="ru-RU"/>
        </w:rPr>
        <w:tab/>
      </w:r>
      <w:r w:rsidR="009F2F6C" w:rsidRPr="009F2F6C">
        <w:rPr>
          <w:lang w:bidi="ru-RU"/>
        </w:rPr>
        <w:t>несмотря на вышесказанное, признать необходимость поддержки и участия в работе, которая представляется низкоприоритетной для некоторых ДС, но имеет большую значимость для других.</w:t>
      </w:r>
    </w:p>
    <w:p w:rsidR="009F2F6C" w:rsidRPr="009F2F6C" w:rsidRDefault="009F2F6C" w:rsidP="00526F6C">
      <w:pPr>
        <w:pStyle w:val="H23GR"/>
        <w:rPr>
          <w:lang w:bidi="ru-RU"/>
        </w:rPr>
      </w:pPr>
      <w:r w:rsidRPr="009F2F6C">
        <w:rPr>
          <w:lang w:bidi="ru-RU"/>
        </w:rPr>
        <w:tab/>
        <w:t>2.</w:t>
      </w:r>
      <w:r w:rsidRPr="009F2F6C">
        <w:rPr>
          <w:lang w:bidi="ru-RU"/>
        </w:rPr>
        <w:tab/>
        <w:t>Совершенствование механизма управления процессом разработки ГТП ООН:</w:t>
      </w:r>
    </w:p>
    <w:p w:rsidR="009F2F6C" w:rsidRPr="009F2F6C" w:rsidRDefault="00526F6C" w:rsidP="009F2F6C">
      <w:pPr>
        <w:pStyle w:val="SingleTxtGR"/>
        <w:rPr>
          <w:lang w:bidi="ru-RU"/>
        </w:rPr>
      </w:pPr>
      <w:r>
        <w:rPr>
          <w:lang w:bidi="ru-RU"/>
        </w:rPr>
        <w:tab/>
        <w:t>a)</w:t>
      </w:r>
      <w:r>
        <w:rPr>
          <w:lang w:bidi="ru-RU"/>
        </w:rPr>
        <w:tab/>
      </w:r>
      <w:r w:rsidR="009F2F6C" w:rsidRPr="009F2F6C">
        <w:rPr>
          <w:lang w:bidi="ru-RU"/>
        </w:rPr>
        <w:t>устанавливать четкие и предварительно согласованные положения о круге ведения (КВ), сроки и намечаемые результаты;</w:t>
      </w:r>
    </w:p>
    <w:p w:rsidR="009F2F6C" w:rsidRPr="009F2F6C" w:rsidRDefault="00526F6C" w:rsidP="009F2F6C">
      <w:pPr>
        <w:pStyle w:val="SingleTxtGR"/>
        <w:rPr>
          <w:lang w:bidi="ru-RU"/>
        </w:rPr>
      </w:pPr>
      <w:r>
        <w:rPr>
          <w:lang w:bidi="ru-RU"/>
        </w:rPr>
        <w:tab/>
        <w:t>b)</w:t>
      </w:r>
      <w:r>
        <w:rPr>
          <w:lang w:bidi="ru-RU"/>
        </w:rPr>
        <w:tab/>
      </w:r>
      <w:r w:rsidR="009F2F6C" w:rsidRPr="009F2F6C">
        <w:rPr>
          <w:lang w:bidi="ru-RU"/>
        </w:rPr>
        <w:t>обеспечивать выделение достаточных ресурсов, необходимых для завершения работы;</w:t>
      </w:r>
    </w:p>
    <w:p w:rsidR="009F2F6C" w:rsidRPr="009F2F6C" w:rsidRDefault="00526F6C" w:rsidP="009F2F6C">
      <w:pPr>
        <w:pStyle w:val="SingleTxtGR"/>
        <w:rPr>
          <w:lang w:bidi="ru-RU"/>
        </w:rPr>
      </w:pPr>
      <w:r>
        <w:rPr>
          <w:lang w:bidi="ru-RU"/>
        </w:rPr>
        <w:tab/>
        <w:t>c)</w:t>
      </w:r>
      <w:r>
        <w:rPr>
          <w:lang w:bidi="ru-RU"/>
        </w:rPr>
        <w:tab/>
      </w:r>
      <w:r w:rsidR="009F2F6C" w:rsidRPr="009F2F6C">
        <w:rPr>
          <w:lang w:bidi="ru-RU"/>
        </w:rPr>
        <w:t>учитывать и согласовывать законодательные ограничения, в том что касается стратегии и/или сроков;</w:t>
      </w:r>
    </w:p>
    <w:p w:rsidR="009F2F6C" w:rsidRPr="009F2F6C" w:rsidRDefault="00526F6C" w:rsidP="009F2F6C">
      <w:pPr>
        <w:pStyle w:val="SingleTxtGR"/>
        <w:rPr>
          <w:lang w:bidi="ru-RU"/>
        </w:rPr>
      </w:pPr>
      <w:r>
        <w:rPr>
          <w:lang w:bidi="ru-RU"/>
        </w:rPr>
        <w:tab/>
        <w:t>d)</w:t>
      </w:r>
      <w:r>
        <w:rPr>
          <w:lang w:bidi="ru-RU"/>
        </w:rPr>
        <w:tab/>
      </w:r>
      <w:r w:rsidR="009F2F6C" w:rsidRPr="009F2F6C">
        <w:rPr>
          <w:lang w:bidi="ru-RU"/>
        </w:rPr>
        <w:t>регулярно проводить совещания высокого уровня для оценки д</w:t>
      </w:r>
      <w:r w:rsidR="009F2F6C" w:rsidRPr="009F2F6C">
        <w:rPr>
          <w:lang w:bidi="ru-RU"/>
        </w:rPr>
        <w:t>о</w:t>
      </w:r>
      <w:r w:rsidR="009F2F6C" w:rsidRPr="009F2F6C">
        <w:rPr>
          <w:lang w:bidi="ru-RU"/>
        </w:rPr>
        <w:t>стигнутого прогресса и решения возникающих проблем;</w:t>
      </w:r>
    </w:p>
    <w:p w:rsidR="009F2F6C" w:rsidRPr="009F2F6C" w:rsidRDefault="00526F6C" w:rsidP="009F2F6C">
      <w:pPr>
        <w:pStyle w:val="SingleTxtGR"/>
        <w:rPr>
          <w:lang w:bidi="ru-RU"/>
        </w:rPr>
      </w:pPr>
      <w:r>
        <w:rPr>
          <w:lang w:bidi="ru-RU"/>
        </w:rPr>
        <w:tab/>
        <w:t>e)</w:t>
      </w:r>
      <w:r>
        <w:rPr>
          <w:lang w:bidi="ru-RU"/>
        </w:rPr>
        <w:tab/>
      </w:r>
      <w:r w:rsidR="009F2F6C" w:rsidRPr="009F2F6C">
        <w:rPr>
          <w:lang w:bidi="ru-RU"/>
        </w:rPr>
        <w:t>обеспечивать соблюдение предусмотренных Соглашением 1998 г</w:t>
      </w:r>
      <w:r w:rsidR="009F2F6C" w:rsidRPr="009F2F6C">
        <w:rPr>
          <w:lang w:bidi="ru-RU"/>
        </w:rPr>
        <w:t>о</w:t>
      </w:r>
      <w:r w:rsidR="009F2F6C" w:rsidRPr="009F2F6C">
        <w:rPr>
          <w:lang w:bidi="ru-RU"/>
        </w:rPr>
        <w:t>да требований в отношении основанных на полученных данных и подкрепле</w:t>
      </w:r>
      <w:r w:rsidR="009F2F6C" w:rsidRPr="009F2F6C">
        <w:rPr>
          <w:lang w:bidi="ru-RU"/>
        </w:rPr>
        <w:t>н</w:t>
      </w:r>
      <w:r w:rsidR="009F2F6C" w:rsidRPr="009F2F6C">
        <w:rPr>
          <w:lang w:bidi="ru-RU"/>
        </w:rPr>
        <w:t>ных результатами анализа преамбул, надежных вспомогательных данных/ис</w:t>
      </w:r>
      <w:r w:rsidR="002C684D">
        <w:rPr>
          <w:lang w:bidi="ru-RU"/>
        </w:rPr>
        <w:t>-</w:t>
      </w:r>
      <w:r w:rsidR="009F2F6C" w:rsidRPr="009F2F6C">
        <w:rPr>
          <w:lang w:bidi="ru-RU"/>
        </w:rPr>
        <w:t>следований и анализов эффективности затрат (признавая при этом, что, п</w:t>
      </w:r>
      <w:r w:rsidR="009F2F6C" w:rsidRPr="009F2F6C">
        <w:rPr>
          <w:lang w:bidi="ru-RU"/>
        </w:rPr>
        <w:t>о</w:t>
      </w:r>
      <w:r w:rsidR="009F2F6C" w:rsidRPr="009F2F6C">
        <w:rPr>
          <w:lang w:bidi="ru-RU"/>
        </w:rPr>
        <w:t>скольку для более новых технологий таковые могут отсутствовать, может во</w:t>
      </w:r>
      <w:r w:rsidR="009F2F6C" w:rsidRPr="009F2F6C">
        <w:rPr>
          <w:lang w:bidi="ru-RU"/>
        </w:rPr>
        <w:t>з</w:t>
      </w:r>
      <w:r w:rsidR="009F2F6C" w:rsidRPr="009F2F6C">
        <w:rPr>
          <w:lang w:bidi="ru-RU"/>
        </w:rPr>
        <w:t>никнуть необходимость в разработке альтернативных обоснований);</w:t>
      </w:r>
    </w:p>
    <w:p w:rsidR="009F2F6C" w:rsidRPr="009F2F6C" w:rsidRDefault="00526F6C" w:rsidP="009F2F6C">
      <w:pPr>
        <w:pStyle w:val="SingleTxtGR"/>
        <w:rPr>
          <w:lang w:bidi="ru-RU"/>
        </w:rPr>
      </w:pPr>
      <w:r>
        <w:rPr>
          <w:lang w:bidi="ru-RU"/>
        </w:rPr>
        <w:tab/>
        <w:t>f)</w:t>
      </w:r>
      <w:r>
        <w:rPr>
          <w:lang w:bidi="ru-RU"/>
        </w:rPr>
        <w:tab/>
      </w:r>
      <w:r w:rsidR="009F2F6C" w:rsidRPr="009F2F6C">
        <w:rPr>
          <w:lang w:bidi="ru-RU"/>
        </w:rPr>
        <w:t>прилагать особые усилия по содействию проведению заседаний р</w:t>
      </w:r>
      <w:r w:rsidR="009F2F6C" w:rsidRPr="009F2F6C">
        <w:rPr>
          <w:lang w:bidi="ru-RU"/>
        </w:rPr>
        <w:t>а</w:t>
      </w:r>
      <w:r w:rsidR="009F2F6C" w:rsidRPr="009F2F6C">
        <w:rPr>
          <w:lang w:bidi="ru-RU"/>
        </w:rPr>
        <w:t>бочей группы и совещаний экспертов за счет обеспечения видеоконференцио</w:t>
      </w:r>
      <w:r w:rsidR="009F2F6C" w:rsidRPr="009F2F6C">
        <w:rPr>
          <w:lang w:bidi="ru-RU"/>
        </w:rPr>
        <w:t>н</w:t>
      </w:r>
      <w:r w:rsidR="009F2F6C" w:rsidRPr="009F2F6C">
        <w:rPr>
          <w:lang w:bidi="ru-RU"/>
        </w:rPr>
        <w:t>ной связи в целях сокращения путевых расходов и времени проезда, а также ускорения процесса решения возникающих проблем;</w:t>
      </w:r>
    </w:p>
    <w:p w:rsidR="009F2F6C" w:rsidRPr="009F2F6C" w:rsidRDefault="00526F6C" w:rsidP="009F2F6C">
      <w:pPr>
        <w:pStyle w:val="SingleTxtGR"/>
        <w:rPr>
          <w:lang w:bidi="ru-RU"/>
        </w:rPr>
      </w:pPr>
      <w:r>
        <w:rPr>
          <w:lang w:bidi="ru-RU"/>
        </w:rPr>
        <w:tab/>
        <w:t>g)</w:t>
      </w:r>
      <w:r>
        <w:rPr>
          <w:lang w:bidi="ru-RU"/>
        </w:rPr>
        <w:tab/>
      </w:r>
      <w:r w:rsidR="009F2F6C" w:rsidRPr="009F2F6C">
        <w:rPr>
          <w:lang w:bidi="ru-RU"/>
        </w:rPr>
        <w:t>добиваться достижения договоренности относительно приостано</w:t>
      </w:r>
      <w:r w:rsidR="009F2F6C" w:rsidRPr="009F2F6C">
        <w:rPr>
          <w:lang w:bidi="ru-RU"/>
        </w:rPr>
        <w:t>в</w:t>
      </w:r>
      <w:r w:rsidR="009F2F6C" w:rsidRPr="009F2F6C">
        <w:rPr>
          <w:lang w:bidi="ru-RU"/>
        </w:rPr>
        <w:t>ления работы над такими ГТП ООН, которые стали низкоприоритетными и м</w:t>
      </w:r>
      <w:r w:rsidR="009F2F6C" w:rsidRPr="009F2F6C">
        <w:rPr>
          <w:lang w:bidi="ru-RU"/>
        </w:rPr>
        <w:t>е</w:t>
      </w:r>
      <w:r w:rsidR="009F2F6C" w:rsidRPr="009F2F6C">
        <w:rPr>
          <w:lang w:bidi="ru-RU"/>
        </w:rPr>
        <w:t>нее значимыми либо которые могут не встретить поддержки со стороны ДС ввиду ограниченности ресурсов;</w:t>
      </w:r>
    </w:p>
    <w:p w:rsidR="009F2F6C" w:rsidRPr="009F2F6C" w:rsidRDefault="00526F6C" w:rsidP="009F2F6C">
      <w:pPr>
        <w:pStyle w:val="SingleTxtGR"/>
        <w:rPr>
          <w:lang w:bidi="ru-RU"/>
        </w:rPr>
      </w:pPr>
      <w:r>
        <w:rPr>
          <w:lang w:bidi="ru-RU"/>
        </w:rPr>
        <w:tab/>
        <w:t>h)</w:t>
      </w:r>
      <w:r>
        <w:rPr>
          <w:lang w:bidi="ru-RU"/>
        </w:rPr>
        <w:tab/>
      </w:r>
      <w:r w:rsidR="009F2F6C" w:rsidRPr="009F2F6C">
        <w:rPr>
          <w:lang w:bidi="ru-RU"/>
        </w:rPr>
        <w:t>добиваться сведения использования вариантов и/или модулей в ГТП ООН к минимуму с целью ограничения, по возможности, вариантов с</w:t>
      </w:r>
      <w:r w:rsidR="009F2F6C" w:rsidRPr="009F2F6C">
        <w:rPr>
          <w:lang w:bidi="ru-RU"/>
        </w:rPr>
        <w:t>о</w:t>
      </w:r>
      <w:r w:rsidR="009F2F6C" w:rsidRPr="009F2F6C">
        <w:rPr>
          <w:lang w:bidi="ru-RU"/>
        </w:rPr>
        <w:t>блюдения, не исключая, однако, их необходимости в весьма ограниченном чи</w:t>
      </w:r>
      <w:r w:rsidR="009F2F6C" w:rsidRPr="009F2F6C">
        <w:rPr>
          <w:lang w:bidi="ru-RU"/>
        </w:rPr>
        <w:t>с</w:t>
      </w:r>
      <w:r w:rsidR="009F2F6C" w:rsidRPr="009F2F6C">
        <w:rPr>
          <w:lang w:bidi="ru-RU"/>
        </w:rPr>
        <w:t>ле случаев, включая учет различий в испытательном оборудовании или наличии испыта</w:t>
      </w:r>
      <w:r>
        <w:rPr>
          <w:lang w:bidi="ru-RU"/>
        </w:rPr>
        <w:t>тельных объектов; Термин «вариант»</w:t>
      </w:r>
      <w:r w:rsidR="009F2F6C" w:rsidRPr="009F2F6C">
        <w:rPr>
          <w:lang w:bidi="ru-RU"/>
        </w:rPr>
        <w:t xml:space="preserve"> в целом относится к альтернати</w:t>
      </w:r>
      <w:r w:rsidR="009F2F6C" w:rsidRPr="009F2F6C">
        <w:rPr>
          <w:lang w:bidi="ru-RU"/>
        </w:rPr>
        <w:t>в</w:t>
      </w:r>
      <w:r w:rsidR="009F2F6C" w:rsidRPr="009F2F6C">
        <w:rPr>
          <w:lang w:bidi="ru-RU"/>
        </w:rPr>
        <w:t>ным процедурам испытаний для того же нормативного требования.</w:t>
      </w:r>
      <w:r>
        <w:rPr>
          <w:lang w:bidi="ru-RU"/>
        </w:rPr>
        <w:t xml:space="preserve"> «</w:t>
      </w:r>
      <w:r w:rsidR="009F2F6C" w:rsidRPr="009F2F6C">
        <w:rPr>
          <w:lang w:bidi="ru-RU"/>
        </w:rPr>
        <w:t>Модули</w:t>
      </w:r>
      <w:r>
        <w:rPr>
          <w:lang w:bidi="ru-RU"/>
        </w:rPr>
        <w:t>»</w:t>
      </w:r>
      <w:r w:rsidR="009F2F6C" w:rsidRPr="009F2F6C">
        <w:rPr>
          <w:lang w:bidi="ru-RU"/>
        </w:rPr>
        <w:t xml:space="preserve"> в целом относятся к дополнительным нормативным требованиям, помимо согл</w:t>
      </w:r>
      <w:r w:rsidR="009F2F6C" w:rsidRPr="009F2F6C">
        <w:rPr>
          <w:lang w:bidi="ru-RU"/>
        </w:rPr>
        <w:t>а</w:t>
      </w:r>
      <w:r w:rsidR="009F2F6C" w:rsidRPr="009F2F6C">
        <w:rPr>
          <w:lang w:bidi="ru-RU"/>
        </w:rPr>
        <w:t>сованной основной группы, которые могут быть приняты ДС.  В случае во</w:t>
      </w:r>
      <w:r w:rsidR="009F2F6C" w:rsidRPr="009F2F6C">
        <w:rPr>
          <w:lang w:bidi="ru-RU"/>
        </w:rPr>
        <w:t>з</w:t>
      </w:r>
      <w:r w:rsidR="009F2F6C" w:rsidRPr="009F2F6C">
        <w:rPr>
          <w:lang w:bidi="ru-RU"/>
        </w:rPr>
        <w:t>никновения других толкований или ситуаций, связанных с использованием в</w:t>
      </w:r>
      <w:r w:rsidR="009F2F6C" w:rsidRPr="009F2F6C">
        <w:rPr>
          <w:lang w:bidi="ru-RU"/>
        </w:rPr>
        <w:t>а</w:t>
      </w:r>
      <w:r w:rsidR="009F2F6C" w:rsidRPr="009F2F6C">
        <w:rPr>
          <w:lang w:bidi="ru-RU"/>
        </w:rPr>
        <w:t>риантов или модулей, они будут рассмотрены в том же духе, как изложено в настоящем пункте, или на основе дальнейшей гармонизации;</w:t>
      </w:r>
    </w:p>
    <w:p w:rsidR="009F2F6C" w:rsidRPr="009F2F6C" w:rsidRDefault="00526F6C" w:rsidP="009F2F6C">
      <w:pPr>
        <w:pStyle w:val="SingleTxtGR"/>
        <w:rPr>
          <w:lang w:bidi="ru-RU"/>
        </w:rPr>
      </w:pPr>
      <w:r>
        <w:rPr>
          <w:lang w:bidi="ru-RU"/>
        </w:rPr>
        <w:tab/>
        <w:t>i)</w:t>
      </w:r>
      <w:r>
        <w:rPr>
          <w:lang w:bidi="ru-RU"/>
        </w:rPr>
        <w:tab/>
      </w:r>
      <w:r w:rsidR="009F2F6C" w:rsidRPr="009F2F6C">
        <w:rPr>
          <w:lang w:bidi="ru-RU"/>
        </w:rPr>
        <w:t>признать необходимость введения альтернативных уровней жес</w:t>
      </w:r>
      <w:r w:rsidR="009F2F6C" w:rsidRPr="009F2F6C">
        <w:rPr>
          <w:lang w:bidi="ru-RU"/>
        </w:rPr>
        <w:t>т</w:t>
      </w:r>
      <w:r w:rsidR="009F2F6C" w:rsidRPr="009F2F6C">
        <w:rPr>
          <w:lang w:bidi="ru-RU"/>
        </w:rPr>
        <w:t>кости.</w:t>
      </w:r>
    </w:p>
    <w:p w:rsidR="009F2F6C" w:rsidRPr="009F2F6C" w:rsidRDefault="009F2F6C" w:rsidP="00526F6C">
      <w:pPr>
        <w:pStyle w:val="H23GR"/>
        <w:rPr>
          <w:lang w:bidi="ru-RU"/>
        </w:rPr>
      </w:pPr>
      <w:r w:rsidRPr="009F2F6C">
        <w:rPr>
          <w:lang w:bidi="ru-RU"/>
        </w:rPr>
        <w:tab/>
        <w:t>3.</w:t>
      </w:r>
      <w:r w:rsidRPr="009F2F6C">
        <w:rPr>
          <w:lang w:bidi="ru-RU"/>
        </w:rPr>
        <w:tab/>
        <w:t>Совершенствование процесса принятия ГТП ООН на национальном/</w:t>
      </w:r>
      <w:r w:rsidR="00526F6C">
        <w:rPr>
          <w:lang w:bidi="ru-RU"/>
        </w:rPr>
        <w:t xml:space="preserve"> </w:t>
      </w:r>
      <w:r w:rsidRPr="009F2F6C">
        <w:rPr>
          <w:lang w:bidi="ru-RU"/>
        </w:rPr>
        <w:t>региональном уровне</w:t>
      </w:r>
    </w:p>
    <w:p w:rsidR="009F2F6C" w:rsidRPr="009F2F6C" w:rsidRDefault="00526F6C" w:rsidP="009F2F6C">
      <w:pPr>
        <w:pStyle w:val="SingleTxtGR"/>
        <w:rPr>
          <w:lang w:bidi="ru-RU"/>
        </w:rPr>
      </w:pPr>
      <w:r>
        <w:rPr>
          <w:lang w:bidi="ru-RU"/>
        </w:rPr>
        <w:tab/>
      </w:r>
      <w:r w:rsidR="009F2F6C" w:rsidRPr="009F2F6C">
        <w:rPr>
          <w:lang w:bidi="ru-RU"/>
        </w:rPr>
        <w:t>a)</w:t>
      </w:r>
      <w:r>
        <w:rPr>
          <w:lang w:bidi="ru-RU"/>
        </w:rPr>
        <w:tab/>
      </w:r>
      <w:r w:rsidR="009F2F6C" w:rsidRPr="009F2F6C">
        <w:rPr>
          <w:lang w:bidi="ru-RU"/>
        </w:rPr>
        <w:t>привлекать к процессу разработки ГТП ООН на всех этапах все з</w:t>
      </w:r>
      <w:r w:rsidR="009F2F6C" w:rsidRPr="009F2F6C">
        <w:rPr>
          <w:lang w:bidi="ru-RU"/>
        </w:rPr>
        <w:t>а</w:t>
      </w:r>
      <w:r w:rsidR="009F2F6C" w:rsidRPr="009F2F6C">
        <w:rPr>
          <w:lang w:bidi="ru-RU"/>
        </w:rPr>
        <w:t>интересованные стороны (включая общественность);</w:t>
      </w:r>
    </w:p>
    <w:p w:rsidR="009F2F6C" w:rsidRPr="009F2F6C" w:rsidRDefault="00487AB4" w:rsidP="009F2F6C">
      <w:pPr>
        <w:pStyle w:val="SingleTxtGR"/>
        <w:rPr>
          <w:lang w:bidi="ru-RU"/>
        </w:rPr>
      </w:pPr>
      <w:r>
        <w:rPr>
          <w:lang w:bidi="ru-RU"/>
        </w:rPr>
        <w:lastRenderedPageBreak/>
        <w:tab/>
        <w:t>b)</w:t>
      </w:r>
      <w:r>
        <w:rPr>
          <w:lang w:bidi="ru-RU"/>
        </w:rPr>
        <w:tab/>
      </w:r>
      <w:r w:rsidR="009F2F6C" w:rsidRPr="009F2F6C">
        <w:rPr>
          <w:lang w:bidi="ru-RU"/>
        </w:rPr>
        <w:t>обеспечивать выделение достаточных ресурсов, необходимых для завершения процесса принятия;</w:t>
      </w:r>
    </w:p>
    <w:p w:rsidR="009F2F6C" w:rsidRPr="009F2F6C" w:rsidRDefault="00487AB4" w:rsidP="009F2F6C">
      <w:pPr>
        <w:pStyle w:val="SingleTxtGR"/>
        <w:rPr>
          <w:lang w:bidi="ru-RU"/>
        </w:rPr>
      </w:pPr>
      <w:r>
        <w:rPr>
          <w:lang w:bidi="ru-RU"/>
        </w:rPr>
        <w:tab/>
        <w:t>c)</w:t>
      </w:r>
      <w:r>
        <w:rPr>
          <w:lang w:bidi="ru-RU"/>
        </w:rPr>
        <w:tab/>
      </w:r>
      <w:r w:rsidR="009F2F6C" w:rsidRPr="009F2F6C">
        <w:rPr>
          <w:lang w:bidi="ru-RU"/>
        </w:rPr>
        <w:t>своевременно представлять годовые доклады о ходе работы, вкл</w:t>
      </w:r>
      <w:r w:rsidR="009F2F6C" w:rsidRPr="009F2F6C">
        <w:rPr>
          <w:lang w:bidi="ru-RU"/>
        </w:rPr>
        <w:t>ю</w:t>
      </w:r>
      <w:r w:rsidR="009F2F6C" w:rsidRPr="009F2F6C">
        <w:rPr>
          <w:lang w:bidi="ru-RU"/>
        </w:rPr>
        <w:t>чая описание принятых мер по включению ГТП ООН в национальное законод</w:t>
      </w:r>
      <w:r w:rsidR="009F2F6C" w:rsidRPr="009F2F6C">
        <w:rPr>
          <w:lang w:bidi="ru-RU"/>
        </w:rPr>
        <w:t>а</w:t>
      </w:r>
      <w:r w:rsidR="009F2F6C" w:rsidRPr="009F2F6C">
        <w:rPr>
          <w:lang w:bidi="ru-RU"/>
        </w:rPr>
        <w:t>тельство;</w:t>
      </w:r>
    </w:p>
    <w:p w:rsidR="009F2F6C" w:rsidRPr="009F2F6C" w:rsidRDefault="00487AB4" w:rsidP="009F2F6C">
      <w:pPr>
        <w:pStyle w:val="SingleTxtGR"/>
        <w:rPr>
          <w:lang w:bidi="ru-RU"/>
        </w:rPr>
      </w:pPr>
      <w:r>
        <w:rPr>
          <w:lang w:bidi="ru-RU"/>
        </w:rPr>
        <w:tab/>
        <w:t>d)</w:t>
      </w:r>
      <w:r>
        <w:rPr>
          <w:lang w:bidi="ru-RU"/>
        </w:rPr>
        <w:tab/>
      </w:r>
      <w:r w:rsidR="009F2F6C" w:rsidRPr="009F2F6C">
        <w:rPr>
          <w:lang w:bidi="ru-RU"/>
        </w:rPr>
        <w:t>согласовать общую цель обеспечения максимального уровня вкл</w:t>
      </w:r>
      <w:r w:rsidR="009F2F6C" w:rsidRPr="009F2F6C">
        <w:rPr>
          <w:lang w:bidi="ru-RU"/>
        </w:rPr>
        <w:t>ю</w:t>
      </w:r>
      <w:r w:rsidR="009F2F6C" w:rsidRPr="009F2F6C">
        <w:rPr>
          <w:lang w:bidi="ru-RU"/>
        </w:rPr>
        <w:t>чения ГТП и твердо придерживаться этой цели;</w:t>
      </w:r>
    </w:p>
    <w:p w:rsidR="009F2F6C" w:rsidRPr="009F2F6C" w:rsidRDefault="00487AB4" w:rsidP="009F2F6C">
      <w:pPr>
        <w:pStyle w:val="SingleTxtGR"/>
        <w:rPr>
          <w:lang w:bidi="ru-RU"/>
        </w:rPr>
      </w:pPr>
      <w:r>
        <w:rPr>
          <w:lang w:bidi="ru-RU"/>
        </w:rPr>
        <w:tab/>
        <w:t>e)</w:t>
      </w:r>
      <w:r>
        <w:rPr>
          <w:lang w:bidi="ru-RU"/>
        </w:rPr>
        <w:tab/>
      </w:r>
      <w:r w:rsidR="009F2F6C" w:rsidRPr="009F2F6C">
        <w:rPr>
          <w:lang w:bidi="ru-RU"/>
        </w:rPr>
        <w:t>проанализировать меры по обеспечению более тесной привязки национального механизма введения нормативных положений к достижению вышеупомянутой цели;</w:t>
      </w:r>
    </w:p>
    <w:p w:rsidR="009F2F6C" w:rsidRPr="009F2F6C" w:rsidRDefault="00487AB4" w:rsidP="009F2F6C">
      <w:pPr>
        <w:pStyle w:val="SingleTxtGR"/>
        <w:rPr>
          <w:lang w:bidi="ru-RU"/>
        </w:rPr>
      </w:pPr>
      <w:r>
        <w:rPr>
          <w:lang w:bidi="ru-RU"/>
        </w:rPr>
        <w:tab/>
        <w:t>f)</w:t>
      </w:r>
      <w:r>
        <w:rPr>
          <w:lang w:bidi="ru-RU"/>
        </w:rPr>
        <w:tab/>
      </w:r>
      <w:r w:rsidR="009F2F6C" w:rsidRPr="009F2F6C">
        <w:rPr>
          <w:lang w:bidi="ru-RU"/>
        </w:rPr>
        <w:t>признать необходимость введения альтернативных уровней жес</w:t>
      </w:r>
      <w:r w:rsidR="009F2F6C" w:rsidRPr="009F2F6C">
        <w:rPr>
          <w:lang w:bidi="ru-RU"/>
        </w:rPr>
        <w:t>т</w:t>
      </w:r>
      <w:r w:rsidR="009F2F6C" w:rsidRPr="009F2F6C">
        <w:rPr>
          <w:lang w:bidi="ru-RU"/>
        </w:rPr>
        <w:t>кости применительно к национальному законодательству;</w:t>
      </w:r>
    </w:p>
    <w:p w:rsidR="009F2F6C" w:rsidRDefault="00487AB4" w:rsidP="009F2F6C">
      <w:pPr>
        <w:pStyle w:val="SingleTxtGR"/>
        <w:rPr>
          <w:lang w:bidi="ru-RU"/>
        </w:rPr>
      </w:pPr>
      <w:r>
        <w:rPr>
          <w:lang w:bidi="ru-RU"/>
        </w:rPr>
        <w:tab/>
      </w:r>
      <w:r w:rsidR="009F2F6C" w:rsidRPr="009F2F6C">
        <w:rPr>
          <w:lang w:bidi="ru-RU"/>
        </w:rPr>
        <w:t>g)</w:t>
      </w:r>
      <w:r w:rsidR="009F2F6C" w:rsidRPr="009F2F6C">
        <w:rPr>
          <w:lang w:bidi="ru-RU"/>
        </w:rPr>
        <w:tab/>
        <w:t>периодически пересматривать статус национального осуществл</w:t>
      </w:r>
      <w:r w:rsidR="009F2F6C" w:rsidRPr="009F2F6C">
        <w:rPr>
          <w:lang w:bidi="ru-RU"/>
        </w:rPr>
        <w:t>е</w:t>
      </w:r>
      <w:r w:rsidR="009F2F6C" w:rsidRPr="009F2F6C">
        <w:rPr>
          <w:lang w:bidi="ru-RU"/>
        </w:rPr>
        <w:t>ния ГТП ООН с целью увеличить, насколько это возможно, в конечном итоге масштабы их принятия.</w:t>
      </w:r>
    </w:p>
    <w:p w:rsidR="009F2F6C" w:rsidRPr="009F2F6C" w:rsidRDefault="009F2F6C" w:rsidP="009F2F6C">
      <w:pPr>
        <w:spacing w:before="240"/>
        <w:jc w:val="center"/>
        <w:rPr>
          <w:u w:val="single"/>
        </w:rPr>
      </w:pPr>
      <w:r>
        <w:rPr>
          <w:u w:val="single"/>
        </w:rPr>
        <w:tab/>
      </w:r>
      <w:r>
        <w:rPr>
          <w:u w:val="single"/>
        </w:rPr>
        <w:tab/>
      </w:r>
      <w:r>
        <w:rPr>
          <w:u w:val="single"/>
        </w:rPr>
        <w:tab/>
      </w:r>
    </w:p>
    <w:sectPr w:rsidR="009F2F6C" w:rsidRPr="009F2F6C"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F0" w:rsidRDefault="006775F0" w:rsidP="00B471C5">
      <w:r>
        <w:separator/>
      </w:r>
    </w:p>
  </w:endnote>
  <w:endnote w:type="continuationSeparator" w:id="0">
    <w:p w:rsidR="006775F0" w:rsidRDefault="006775F0"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07F56">
      <w:rPr>
        <w:b/>
        <w:noProof/>
        <w:sz w:val="18"/>
        <w:szCs w:val="18"/>
      </w:rPr>
      <w:t>10</w:t>
    </w:r>
    <w:r w:rsidRPr="00BA2D2B">
      <w:rPr>
        <w:b/>
        <w:sz w:val="18"/>
        <w:szCs w:val="18"/>
      </w:rPr>
      <w:fldChar w:fldCharType="end"/>
    </w:r>
    <w:r>
      <w:rPr>
        <w:b/>
        <w:sz w:val="18"/>
        <w:szCs w:val="18"/>
      </w:rPr>
      <w:tab/>
    </w:r>
    <w:r>
      <w:rPr>
        <w:lang w:val="en-US"/>
      </w:rPr>
      <w:t>GE.16-</w:t>
    </w:r>
    <w:r w:rsidR="00487AB4">
      <w:rPr>
        <w:lang w:val="en-US"/>
      </w:rPr>
      <w:t>05945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Footer"/>
      <w:rPr>
        <w:lang w:val="en-US"/>
      </w:rPr>
    </w:pPr>
    <w:r>
      <w:rPr>
        <w:lang w:val="en-US"/>
      </w:rPr>
      <w:t>GE.16-</w:t>
    </w:r>
    <w:r w:rsidR="00487AB4">
      <w:rPr>
        <w:lang w:val="en-US"/>
      </w:rPr>
      <w:t>05945</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07F56">
      <w:rPr>
        <w:b/>
        <w:noProof/>
        <w:sz w:val="18"/>
        <w:szCs w:val="18"/>
      </w:rPr>
      <w:t>9</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487AB4" w:rsidRDefault="00A9606E" w:rsidP="007B199D">
          <w:pPr>
            <w:spacing w:after="40"/>
            <w:rPr>
              <w:rFonts w:ascii="C39T30Lfz" w:hAnsi="C39T30Lfz"/>
              <w:spacing w:val="0"/>
              <w:w w:val="100"/>
              <w:kern w:val="0"/>
              <w:lang w:eastAsia="ru-RU"/>
            </w:rPr>
          </w:pPr>
          <w:r w:rsidRPr="001C3ABC">
            <w:rPr>
              <w:lang w:val="en-US"/>
            </w:rPr>
            <w:t>GE.16-</w:t>
          </w:r>
          <w:r w:rsidR="00487AB4">
            <w:t xml:space="preserve">05945 </w:t>
          </w:r>
          <w:r w:rsidRPr="001C3ABC">
            <w:rPr>
              <w:lang w:val="en-US"/>
            </w:rPr>
            <w:t xml:space="preserve"> (R)</w:t>
          </w:r>
          <w:r w:rsidR="00487AB4">
            <w:t xml:space="preserve">  250416  250416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487AB4" w:rsidP="007B199D">
          <w:pPr>
            <w:jc w:val="right"/>
          </w:pPr>
          <w:r>
            <w:rPr>
              <w:noProof/>
              <w:lang w:val="en-GB" w:eastAsia="en-GB"/>
            </w:rPr>
            <w:drawing>
              <wp:inline distT="0" distB="0" distL="0" distR="0">
                <wp:extent cx="582295" cy="582295"/>
                <wp:effectExtent l="0" t="0" r="8255" b="8255"/>
                <wp:docPr id="3" name="Рисунок 3" descr="http://undocs.org/m2/QRCode.ashx?DS=ECE/TRANS/WP.29/2016/6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487AB4" w:rsidRDefault="00487AB4" w:rsidP="007B199D">
          <w:pPr>
            <w:spacing w:after="40"/>
            <w:rPr>
              <w:rFonts w:ascii="C39T30Lfz" w:hAnsi="C39T30Lfz"/>
              <w:spacing w:val="0"/>
              <w:w w:val="100"/>
              <w:kern w:val="0"/>
              <w:sz w:val="56"/>
              <w:szCs w:val="56"/>
              <w:lang w:val="en-US" w:eastAsia="ru-RU"/>
            </w:rPr>
          </w:pP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r w:rsidRPr="00487AB4">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F0" w:rsidRPr="009141DC" w:rsidRDefault="006775F0" w:rsidP="00D1261C">
      <w:pPr>
        <w:tabs>
          <w:tab w:val="left" w:pos="2268"/>
        </w:tabs>
        <w:spacing w:after="80"/>
        <w:ind w:left="680"/>
        <w:rPr>
          <w:u w:val="single"/>
          <w:lang w:val="en-US"/>
        </w:rPr>
      </w:pPr>
      <w:r>
        <w:rPr>
          <w:u w:val="single"/>
          <w:lang w:val="en-US"/>
        </w:rPr>
        <w:tab/>
      </w:r>
    </w:p>
  </w:footnote>
  <w:footnote w:type="continuationSeparator" w:id="0">
    <w:p w:rsidR="006775F0" w:rsidRPr="00D1261C" w:rsidRDefault="006775F0" w:rsidP="00D1261C">
      <w:pPr>
        <w:tabs>
          <w:tab w:val="left" w:pos="2268"/>
        </w:tabs>
        <w:spacing w:after="80"/>
        <w:rPr>
          <w:u w:val="single"/>
          <w:lang w:val="en-US"/>
        </w:rPr>
      </w:pPr>
      <w:r>
        <w:rPr>
          <w:u w:val="single"/>
          <w:lang w:val="en-US"/>
        </w:rPr>
        <w:tab/>
      </w:r>
    </w:p>
  </w:footnote>
  <w:footnote w:id="1">
    <w:p w:rsidR="006775F0" w:rsidRPr="006775F0" w:rsidRDefault="006775F0" w:rsidP="006775F0">
      <w:pPr>
        <w:pStyle w:val="FootnoteText"/>
        <w:rPr>
          <w:lang w:val="ru-RU"/>
        </w:rPr>
      </w:pPr>
      <w:r>
        <w:tab/>
      </w:r>
      <w:r w:rsidRPr="006775F0">
        <w:rPr>
          <w:rStyle w:val="FootnoteReference"/>
          <w:sz w:val="20"/>
          <w:vertAlign w:val="baseline"/>
          <w:lang w:val="ru-RU"/>
        </w:rPr>
        <w:t>*</w:t>
      </w:r>
      <w:r w:rsidRPr="006775F0">
        <w:rPr>
          <w:rStyle w:val="FootnoteReference"/>
          <w:sz w:val="20"/>
          <w:lang w:val="ru-RU"/>
        </w:rPr>
        <w:tab/>
      </w:r>
      <w:r w:rsidRPr="006775F0">
        <w:rPr>
          <w:lang w:val="ru-RU"/>
        </w:rPr>
        <w:t xml:space="preserve">В соответствии с программой работы Комитета по внутреннему транспорту </w:t>
      </w:r>
      <w:r w:rsidRPr="006775F0">
        <w:rPr>
          <w:lang w:val="ru-RU"/>
        </w:rPr>
        <w:br/>
        <w:t>на 2016–2017 годы (</w:t>
      </w:r>
      <w:r>
        <w:t>ECE</w:t>
      </w:r>
      <w:r w:rsidRPr="006775F0">
        <w:rPr>
          <w:lang w:val="ru-RU"/>
        </w:rPr>
        <w:t>/</w:t>
      </w:r>
      <w:r>
        <w:t>TRANS</w:t>
      </w:r>
      <w:r w:rsidRPr="006775F0">
        <w:rPr>
          <w:lang w:val="ru-RU"/>
        </w:rPr>
        <w:t xml:space="preserve">/254, пункт 159, и </w:t>
      </w:r>
      <w:r>
        <w:t>ECE</w:t>
      </w:r>
      <w:r w:rsidRPr="006775F0">
        <w:rPr>
          <w:lang w:val="ru-RU"/>
        </w:rPr>
        <w:t>/</w:t>
      </w:r>
      <w:r>
        <w:t>TRANS</w:t>
      </w:r>
      <w:r w:rsidRPr="006775F0">
        <w:rPr>
          <w:lang w:val="ru-RU"/>
        </w:rPr>
        <w:t>/2016/28/</w:t>
      </w:r>
      <w:r>
        <w:t>Add</w:t>
      </w:r>
      <w:r w:rsidRPr="006775F0">
        <w:rPr>
          <w:lang w:val="ru-RU"/>
        </w:rPr>
        <w:t>.1,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7005EE" w:rsidRDefault="007005EE">
    <w:pPr>
      <w:pStyle w:val="Header"/>
      <w:rPr>
        <w:lang w:val="en-US"/>
      </w:rPr>
    </w:pPr>
    <w:r>
      <w:rPr>
        <w:lang w:val="en-US"/>
      </w:rPr>
      <w:t>ECE/</w:t>
    </w:r>
    <w:r w:rsidR="00487AB4" w:rsidRPr="00487AB4">
      <w:rPr>
        <w:lang w:val="en-US"/>
      </w:rPr>
      <w:t>TRANS/WP.29/2016/65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4D639B" w:rsidRDefault="004D639B" w:rsidP="007005EE">
    <w:pPr>
      <w:pStyle w:val="Header"/>
      <w:jc w:val="right"/>
      <w:rPr>
        <w:lang w:val="en-US"/>
      </w:rPr>
    </w:pPr>
    <w:r>
      <w:rPr>
        <w:lang w:val="en-US"/>
      </w:rPr>
      <w:t>ECE/</w:t>
    </w:r>
    <w:r w:rsidR="00487AB4" w:rsidRPr="00487AB4">
      <w:rPr>
        <w:lang w:val="en-US"/>
      </w:rPr>
      <w:t>TRANS/WP.29/2016/65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F0"/>
    <w:rsid w:val="000450D1"/>
    <w:rsid w:val="000B1FD5"/>
    <w:rsid w:val="000F2A4F"/>
    <w:rsid w:val="001153DF"/>
    <w:rsid w:val="00151F1B"/>
    <w:rsid w:val="00203F84"/>
    <w:rsid w:val="00275188"/>
    <w:rsid w:val="0028687D"/>
    <w:rsid w:val="002B091C"/>
    <w:rsid w:val="002B3D40"/>
    <w:rsid w:val="002C684D"/>
    <w:rsid w:val="002D0CCB"/>
    <w:rsid w:val="00345C79"/>
    <w:rsid w:val="00366A39"/>
    <w:rsid w:val="003B7188"/>
    <w:rsid w:val="00416BE6"/>
    <w:rsid w:val="0048005C"/>
    <w:rsid w:val="00487AB4"/>
    <w:rsid w:val="004D639B"/>
    <w:rsid w:val="004E242B"/>
    <w:rsid w:val="00526F6C"/>
    <w:rsid w:val="00544379"/>
    <w:rsid w:val="00566944"/>
    <w:rsid w:val="005D56BF"/>
    <w:rsid w:val="0062027E"/>
    <w:rsid w:val="00643644"/>
    <w:rsid w:val="00665D8D"/>
    <w:rsid w:val="006775F0"/>
    <w:rsid w:val="006A7A3B"/>
    <w:rsid w:val="006B6B57"/>
    <w:rsid w:val="006F49F1"/>
    <w:rsid w:val="007005EE"/>
    <w:rsid w:val="00705394"/>
    <w:rsid w:val="00707F56"/>
    <w:rsid w:val="00743F62"/>
    <w:rsid w:val="00760D3A"/>
    <w:rsid w:val="00773BA8"/>
    <w:rsid w:val="007A1F42"/>
    <w:rsid w:val="007D76DD"/>
    <w:rsid w:val="008717E8"/>
    <w:rsid w:val="008D01AE"/>
    <w:rsid w:val="008E0423"/>
    <w:rsid w:val="009141DC"/>
    <w:rsid w:val="009174A1"/>
    <w:rsid w:val="0098674D"/>
    <w:rsid w:val="00997ACA"/>
    <w:rsid w:val="009F2F6C"/>
    <w:rsid w:val="00A03FB7"/>
    <w:rsid w:val="00A55C56"/>
    <w:rsid w:val="00A658DB"/>
    <w:rsid w:val="00A75A11"/>
    <w:rsid w:val="00A9606E"/>
    <w:rsid w:val="00AC08E1"/>
    <w:rsid w:val="00AD7EAD"/>
    <w:rsid w:val="00B35A32"/>
    <w:rsid w:val="00B432C6"/>
    <w:rsid w:val="00B471C5"/>
    <w:rsid w:val="00B6474A"/>
    <w:rsid w:val="00BE1742"/>
    <w:rsid w:val="00D1261C"/>
    <w:rsid w:val="00D26030"/>
    <w:rsid w:val="00D75DCE"/>
    <w:rsid w:val="00DD0EA4"/>
    <w:rsid w:val="00DD199C"/>
    <w:rsid w:val="00DD35AC"/>
    <w:rsid w:val="00DD479F"/>
    <w:rsid w:val="00E15E48"/>
    <w:rsid w:val="00EB0723"/>
    <w:rsid w:val="00EB2957"/>
    <w:rsid w:val="00EE6F37"/>
    <w:rsid w:val="00F1599F"/>
    <w:rsid w:val="00F31EF2"/>
    <w:rsid w:val="00FA58A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56"/>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56"/>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1EB0-3EDA-4972-AA40-1D2EE2EE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3091</Words>
  <Characters>17623</Characters>
  <Application>Microsoft Office Word</Application>
  <DocSecurity>4</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Benedicte Boudol</cp:lastModifiedBy>
  <cp:revision>2</cp:revision>
  <cp:lastPrinted>2016-04-25T12:49:00Z</cp:lastPrinted>
  <dcterms:created xsi:type="dcterms:W3CDTF">2016-05-10T09:59:00Z</dcterms:created>
  <dcterms:modified xsi:type="dcterms:W3CDTF">2016-05-10T09:59:00Z</dcterms:modified>
</cp:coreProperties>
</file>