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75" w:rsidRPr="00D667A7" w:rsidRDefault="00866C75" w:rsidP="00866C75">
      <w:pPr>
        <w:spacing w:line="60" w:lineRule="exact"/>
        <w:rPr>
          <w:color w:val="010000"/>
          <w:sz w:val="6"/>
        </w:rPr>
        <w:sectPr w:rsidR="00866C75" w:rsidRPr="00D667A7" w:rsidSect="00866C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D667A7" w:rsidRPr="00C5355D" w:rsidRDefault="00D667A7" w:rsidP="00F962BD">
      <w:pPr>
        <w:rPr>
          <w:b/>
          <w:bCs/>
          <w:sz w:val="28"/>
          <w:szCs w:val="28"/>
        </w:rPr>
      </w:pPr>
      <w:r w:rsidRPr="00C5355D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C5355D" w:rsidRPr="00C5355D" w:rsidRDefault="00C5355D" w:rsidP="00C5355D">
      <w:pPr>
        <w:spacing w:line="120" w:lineRule="exact"/>
        <w:rPr>
          <w:bCs/>
          <w:sz w:val="10"/>
          <w:szCs w:val="28"/>
        </w:rPr>
      </w:pPr>
    </w:p>
    <w:p w:rsidR="00D667A7" w:rsidRPr="00C5355D" w:rsidRDefault="00D667A7" w:rsidP="00F962BD">
      <w:pPr>
        <w:rPr>
          <w:bCs/>
          <w:sz w:val="28"/>
          <w:szCs w:val="28"/>
        </w:rPr>
      </w:pPr>
      <w:r w:rsidRPr="00C5355D">
        <w:rPr>
          <w:bCs/>
          <w:sz w:val="28"/>
          <w:szCs w:val="28"/>
        </w:rPr>
        <w:t>Комитет по внутреннему транспорту</w:t>
      </w:r>
    </w:p>
    <w:p w:rsidR="00C5355D" w:rsidRPr="00C5355D" w:rsidRDefault="00C5355D" w:rsidP="00C5355D">
      <w:pPr>
        <w:spacing w:line="120" w:lineRule="exact"/>
        <w:rPr>
          <w:sz w:val="10"/>
        </w:rPr>
      </w:pPr>
    </w:p>
    <w:p w:rsidR="00D667A7" w:rsidRPr="00C5355D" w:rsidRDefault="00D667A7" w:rsidP="00F962BD">
      <w:pPr>
        <w:rPr>
          <w:b/>
          <w:bCs/>
          <w:sz w:val="24"/>
          <w:szCs w:val="24"/>
        </w:rPr>
      </w:pPr>
      <w:r w:rsidRPr="00C5355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5355D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C5355D" w:rsidRPr="00C5355D" w:rsidRDefault="00C5355D" w:rsidP="00C5355D">
      <w:pPr>
        <w:spacing w:line="120" w:lineRule="exact"/>
        <w:rPr>
          <w:sz w:val="10"/>
        </w:rPr>
      </w:pPr>
    </w:p>
    <w:p w:rsidR="00D667A7" w:rsidRPr="00C5355D" w:rsidRDefault="00D667A7" w:rsidP="00C5355D">
      <w:pPr>
        <w:rPr>
          <w:b/>
          <w:bCs/>
        </w:rPr>
      </w:pPr>
      <w:r w:rsidRPr="00C5355D">
        <w:rPr>
          <w:b/>
          <w:bCs/>
        </w:rPr>
        <w:t>1</w:t>
      </w:r>
      <w:r w:rsidR="00C5355D" w:rsidRPr="00C5355D">
        <w:rPr>
          <w:b/>
          <w:bCs/>
        </w:rPr>
        <w:t>68</w:t>
      </w:r>
      <w:r w:rsidRPr="00C5355D">
        <w:rPr>
          <w:b/>
          <w:bCs/>
        </w:rPr>
        <w:t>-я сессия</w:t>
      </w:r>
    </w:p>
    <w:p w:rsidR="00D667A7" w:rsidRPr="00D667A7" w:rsidRDefault="00D667A7" w:rsidP="00C5355D">
      <w:r w:rsidRPr="00D667A7">
        <w:t xml:space="preserve">Женева, </w:t>
      </w:r>
      <w:r w:rsidR="00C5355D">
        <w:t xml:space="preserve">8–11 марта 2016 года </w:t>
      </w:r>
    </w:p>
    <w:p w:rsidR="00D667A7" w:rsidRDefault="00D667A7" w:rsidP="00C5355D">
      <w:r w:rsidRPr="00D667A7">
        <w:t xml:space="preserve">Пункт </w:t>
      </w:r>
      <w:r w:rsidR="00C5355D">
        <w:t>4.8.6</w:t>
      </w:r>
      <w:r w:rsidRPr="00D667A7">
        <w:t xml:space="preserve"> предварительной повестки дня</w:t>
      </w:r>
    </w:p>
    <w:p w:rsidR="00BA555F" w:rsidRPr="00BA555F" w:rsidRDefault="00BA555F" w:rsidP="00C5355D">
      <w:pPr>
        <w:rPr>
          <w:b/>
          <w:bCs/>
        </w:rPr>
      </w:pPr>
      <w:r>
        <w:rPr>
          <w:b/>
          <w:bCs/>
        </w:rPr>
        <w:t xml:space="preserve">Соглашение 1958 года – Рассмотрение проектов </w:t>
      </w:r>
      <w:proofErr w:type="gramStart"/>
      <w:r>
        <w:rPr>
          <w:b/>
          <w:bCs/>
        </w:rPr>
        <w:t>поправок</w:t>
      </w:r>
      <w:proofErr w:type="gramEnd"/>
      <w:r>
        <w:rPr>
          <w:b/>
          <w:bCs/>
        </w:rPr>
        <w:br/>
        <w:t xml:space="preserve">к действующим правилам представленных </w:t>
      </w:r>
      <w:r w:rsidRPr="00BA555F">
        <w:rPr>
          <w:b/>
          <w:bCs/>
          <w:lang w:val="en-GB"/>
        </w:rPr>
        <w:t>GRSG</w:t>
      </w:r>
    </w:p>
    <w:p w:rsidR="00C5355D" w:rsidRPr="00C5355D" w:rsidRDefault="00C5355D" w:rsidP="00C5355D">
      <w:pPr>
        <w:pStyle w:val="SingleTxt"/>
        <w:spacing w:after="0" w:line="120" w:lineRule="exact"/>
        <w:rPr>
          <w:b/>
          <w:sz w:val="10"/>
        </w:rPr>
      </w:pPr>
    </w:p>
    <w:p w:rsidR="00C5355D" w:rsidRPr="00C5355D" w:rsidRDefault="00C5355D" w:rsidP="00C5355D">
      <w:pPr>
        <w:pStyle w:val="SingleTxt"/>
        <w:spacing w:after="0" w:line="120" w:lineRule="exact"/>
        <w:rPr>
          <w:b/>
          <w:sz w:val="10"/>
        </w:rPr>
      </w:pPr>
    </w:p>
    <w:p w:rsidR="00C5355D" w:rsidRPr="00C5355D" w:rsidRDefault="00C5355D" w:rsidP="00C5355D">
      <w:pPr>
        <w:pStyle w:val="SingleTxt"/>
        <w:spacing w:after="0" w:line="120" w:lineRule="exact"/>
        <w:rPr>
          <w:b/>
          <w:sz w:val="10"/>
        </w:rPr>
      </w:pPr>
    </w:p>
    <w:p w:rsidR="00D667A7" w:rsidRPr="00D667A7" w:rsidRDefault="00D667A7" w:rsidP="00C5355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667A7">
        <w:tab/>
      </w:r>
      <w:r w:rsidRPr="00D667A7">
        <w:tab/>
        <w:t>Предложение по поправкам серии 02 к Правилам № 110 (оборудование для работы на КПГ</w:t>
      </w:r>
      <w:r w:rsidR="00C5355D">
        <w:t xml:space="preserve"> и СНГ</w:t>
      </w:r>
      <w:r w:rsidRPr="00D667A7">
        <w:t>)</w:t>
      </w:r>
    </w:p>
    <w:p w:rsidR="00C5355D" w:rsidRPr="00C5355D" w:rsidRDefault="00C5355D" w:rsidP="00C5355D">
      <w:pPr>
        <w:pStyle w:val="SingleTxt"/>
        <w:spacing w:after="0" w:line="120" w:lineRule="exact"/>
        <w:rPr>
          <w:b/>
          <w:sz w:val="10"/>
        </w:rPr>
      </w:pPr>
    </w:p>
    <w:p w:rsidR="00C5355D" w:rsidRPr="00C5355D" w:rsidRDefault="00C5355D" w:rsidP="00C5355D">
      <w:pPr>
        <w:pStyle w:val="SingleTxt"/>
        <w:spacing w:after="0" w:line="120" w:lineRule="exact"/>
        <w:rPr>
          <w:b/>
          <w:sz w:val="10"/>
        </w:rPr>
      </w:pPr>
    </w:p>
    <w:p w:rsidR="00D667A7" w:rsidRPr="00D667A7" w:rsidRDefault="00D667A7" w:rsidP="00C5355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D667A7">
        <w:tab/>
      </w:r>
      <w:r w:rsidRPr="00D667A7">
        <w:tab/>
        <w:t xml:space="preserve">Представлено </w:t>
      </w:r>
      <w:r w:rsidR="00C5355D" w:rsidRPr="00D667A7">
        <w:t>Рабоч</w:t>
      </w:r>
      <w:r w:rsidR="00C5355D">
        <w:t>ей</w:t>
      </w:r>
      <w:r w:rsidR="00C5355D" w:rsidRPr="00D667A7">
        <w:t xml:space="preserve"> групп</w:t>
      </w:r>
      <w:r w:rsidR="00C5355D">
        <w:t>ой</w:t>
      </w:r>
      <w:r w:rsidR="00C5355D" w:rsidRPr="00D667A7">
        <w:t xml:space="preserve"> по общим предписаниям, </w:t>
      </w:r>
      <w:r w:rsidR="00C5355D" w:rsidRPr="00D667A7">
        <w:br/>
        <w:t>касающимся безопасности</w:t>
      </w:r>
      <w:r w:rsidRPr="006D3B14">
        <w:rPr>
          <w:b w:val="0"/>
          <w:sz w:val="20"/>
          <w:szCs w:val="20"/>
        </w:rPr>
        <w:footnoteReference w:customMarkFollows="1" w:id="1"/>
        <w:t>*</w:t>
      </w:r>
    </w:p>
    <w:p w:rsidR="00C5355D" w:rsidRPr="00C5355D" w:rsidRDefault="00C5355D" w:rsidP="00C5355D">
      <w:pPr>
        <w:pStyle w:val="SingleTxt"/>
        <w:spacing w:after="0" w:line="120" w:lineRule="exact"/>
        <w:rPr>
          <w:sz w:val="10"/>
        </w:rPr>
      </w:pPr>
    </w:p>
    <w:p w:rsidR="00C5355D" w:rsidRPr="00C5355D" w:rsidRDefault="00C5355D" w:rsidP="00C5355D">
      <w:pPr>
        <w:pStyle w:val="SingleTxt"/>
        <w:spacing w:after="0" w:line="120" w:lineRule="exact"/>
        <w:rPr>
          <w:sz w:val="10"/>
        </w:rPr>
      </w:pPr>
    </w:p>
    <w:p w:rsidR="00D667A7" w:rsidRPr="00D667A7" w:rsidRDefault="00D667A7" w:rsidP="007369AF">
      <w:pPr>
        <w:pStyle w:val="SingleTxt"/>
      </w:pPr>
      <w:r w:rsidRPr="00D667A7">
        <w:tab/>
        <w:t xml:space="preserve">Воспроизведенный ниже текст был </w:t>
      </w:r>
      <w:r w:rsidR="00C5355D">
        <w:t xml:space="preserve">принят Рабочей группой по общим предписаниям, касающимся безопасности </w:t>
      </w:r>
      <w:r w:rsidR="00C5355D" w:rsidRPr="00C5355D">
        <w:t>(</w:t>
      </w:r>
      <w:r w:rsidR="00C5355D" w:rsidRPr="00C5355D">
        <w:rPr>
          <w:lang w:val="en-GB"/>
        </w:rPr>
        <w:t>GRSG</w:t>
      </w:r>
      <w:r w:rsidR="00C5355D" w:rsidRPr="00C5355D">
        <w:t>)</w:t>
      </w:r>
      <w:r w:rsidR="00C5355D">
        <w:t>, на ее 109-й сессии</w:t>
      </w:r>
      <w:r w:rsidR="00C5355D" w:rsidRPr="00C5355D">
        <w:t xml:space="preserve"> (</w:t>
      </w:r>
      <w:r w:rsidR="00C5355D" w:rsidRPr="00C5355D">
        <w:rPr>
          <w:lang w:val="en-GB"/>
        </w:rPr>
        <w:t>ECE</w:t>
      </w:r>
      <w:r w:rsidR="00C5355D" w:rsidRPr="00C5355D">
        <w:t>/</w:t>
      </w:r>
      <w:r w:rsidR="00C5355D" w:rsidRPr="00C5355D">
        <w:rPr>
          <w:lang w:val="en-GB"/>
        </w:rPr>
        <w:t>TRANS</w:t>
      </w:r>
      <w:r w:rsidR="00C5355D" w:rsidRPr="00C5355D">
        <w:t>/</w:t>
      </w:r>
      <w:r w:rsidR="00C5355D" w:rsidRPr="00C5355D">
        <w:rPr>
          <w:lang w:val="en-GB"/>
        </w:rPr>
        <w:t>WP</w:t>
      </w:r>
      <w:r w:rsidR="00C5355D" w:rsidRPr="00C5355D">
        <w:t>.29/</w:t>
      </w:r>
      <w:r w:rsidR="00C5355D" w:rsidRPr="00C5355D">
        <w:rPr>
          <w:lang w:val="en-GB"/>
        </w:rPr>
        <w:t>GRSG</w:t>
      </w:r>
      <w:r w:rsidR="00C5355D" w:rsidRPr="00C5355D">
        <w:t xml:space="preserve">/88, </w:t>
      </w:r>
      <w:r w:rsidR="00C5355D">
        <w:t>пункты</w:t>
      </w:r>
      <w:r w:rsidR="00C5355D" w:rsidRPr="00C5355D">
        <w:t xml:space="preserve"> 33</w:t>
      </w:r>
      <w:r w:rsidR="00C5355D">
        <w:t>–</w:t>
      </w:r>
      <w:r w:rsidR="00C5355D" w:rsidRPr="00C5355D">
        <w:t>34).</w:t>
      </w:r>
      <w:r w:rsidR="00C5355D">
        <w:t xml:space="preserve"> В</w:t>
      </w:r>
      <w:r w:rsidR="00C5355D" w:rsidRPr="00C5355D">
        <w:t xml:space="preserve"> </w:t>
      </w:r>
      <w:r w:rsidR="00C5355D">
        <w:t>его</w:t>
      </w:r>
      <w:r w:rsidR="00C5355D" w:rsidRPr="00C5355D">
        <w:t xml:space="preserve"> </w:t>
      </w:r>
      <w:r w:rsidR="00C5355D">
        <w:t>основу</w:t>
      </w:r>
      <w:r w:rsidR="00C5355D" w:rsidRPr="00C5355D">
        <w:t xml:space="preserve"> </w:t>
      </w:r>
      <w:r w:rsidR="00C5355D">
        <w:t>положены</w:t>
      </w:r>
      <w:r w:rsidR="00C5355D" w:rsidRPr="00C5355D">
        <w:t xml:space="preserve"> </w:t>
      </w:r>
      <w:r w:rsidR="00C5355D">
        <w:t>главным</w:t>
      </w:r>
      <w:r w:rsidR="00C5355D" w:rsidRPr="00C5355D">
        <w:t xml:space="preserve"> </w:t>
      </w:r>
      <w:r w:rsidR="00C5355D">
        <w:t>образом</w:t>
      </w:r>
      <w:r w:rsidR="00C5355D" w:rsidRPr="00C5355D">
        <w:t xml:space="preserve"> </w:t>
      </w:r>
      <w:r w:rsidR="00C5355D">
        <w:t>документы</w:t>
      </w:r>
      <w:r w:rsidR="00C5355D" w:rsidRPr="00C5355D">
        <w:t xml:space="preserve"> </w:t>
      </w:r>
      <w:r w:rsidR="00C5355D" w:rsidRPr="00C5355D">
        <w:rPr>
          <w:bCs/>
          <w:lang w:val="en-GB"/>
        </w:rPr>
        <w:t>ECE</w:t>
      </w:r>
      <w:r w:rsidR="00C5355D" w:rsidRPr="00C5355D">
        <w:rPr>
          <w:bCs/>
        </w:rPr>
        <w:t>/</w:t>
      </w:r>
      <w:r w:rsidR="00C5355D" w:rsidRPr="00C5355D">
        <w:rPr>
          <w:bCs/>
          <w:lang w:val="en-GB"/>
        </w:rPr>
        <w:t>TRANS</w:t>
      </w:r>
      <w:r w:rsidR="00C5355D" w:rsidRPr="00C5355D">
        <w:rPr>
          <w:bCs/>
        </w:rPr>
        <w:t>/</w:t>
      </w:r>
      <w:r w:rsidR="00C5355D" w:rsidRPr="00C5355D">
        <w:rPr>
          <w:bCs/>
          <w:lang w:val="en-GB"/>
        </w:rPr>
        <w:t>WP</w:t>
      </w:r>
      <w:r w:rsidR="00C5355D" w:rsidRPr="00C5355D">
        <w:rPr>
          <w:bCs/>
        </w:rPr>
        <w:t xml:space="preserve">.29/2015/90 </w:t>
      </w:r>
      <w:r w:rsidR="00C5355D">
        <w:rPr>
          <w:bCs/>
        </w:rPr>
        <w:t>и</w:t>
      </w:r>
      <w:r w:rsidR="00C5355D" w:rsidRPr="00C5355D">
        <w:rPr>
          <w:bCs/>
        </w:rPr>
        <w:t xml:space="preserve"> </w:t>
      </w:r>
      <w:r w:rsidR="00C5355D" w:rsidRPr="00C5355D">
        <w:rPr>
          <w:bCs/>
          <w:lang w:val="en-GB"/>
        </w:rPr>
        <w:t>ECE</w:t>
      </w:r>
      <w:r w:rsidR="00C5355D" w:rsidRPr="00C5355D">
        <w:rPr>
          <w:bCs/>
        </w:rPr>
        <w:t>/</w:t>
      </w:r>
      <w:r w:rsidR="00C5355D" w:rsidRPr="00C5355D">
        <w:rPr>
          <w:bCs/>
          <w:lang w:val="en-GB"/>
        </w:rPr>
        <w:t>TRANS</w:t>
      </w:r>
      <w:r w:rsidR="00C5355D" w:rsidRPr="00C5355D">
        <w:rPr>
          <w:bCs/>
        </w:rPr>
        <w:t>/</w:t>
      </w:r>
      <w:r w:rsidR="00C5355D" w:rsidRPr="00C5355D">
        <w:rPr>
          <w:bCs/>
          <w:lang w:val="en-GB"/>
        </w:rPr>
        <w:t>WP</w:t>
      </w:r>
      <w:r w:rsidR="00C5355D" w:rsidRPr="00C5355D">
        <w:rPr>
          <w:bCs/>
        </w:rPr>
        <w:t>.29/</w:t>
      </w:r>
      <w:r w:rsidR="00C5355D" w:rsidRPr="00C5355D">
        <w:rPr>
          <w:bCs/>
          <w:lang w:val="en-GB"/>
        </w:rPr>
        <w:t>GRSG</w:t>
      </w:r>
      <w:r w:rsidR="00C5355D" w:rsidRPr="00C5355D">
        <w:rPr>
          <w:bCs/>
        </w:rPr>
        <w:t xml:space="preserve">/ 2015/27, </w:t>
      </w:r>
      <w:r w:rsidR="00C5355D">
        <w:rPr>
          <w:bCs/>
        </w:rPr>
        <w:t>воспроизведенные в приложении VI к докладу. Этот те</w:t>
      </w:r>
      <w:proofErr w:type="gramStart"/>
      <w:r w:rsidR="00C5355D">
        <w:rPr>
          <w:bCs/>
        </w:rPr>
        <w:t>кст пр</w:t>
      </w:r>
      <w:proofErr w:type="gramEnd"/>
      <w:r w:rsidR="00C5355D">
        <w:rPr>
          <w:bCs/>
        </w:rPr>
        <w:t>едставлен Всемирному форуму для согласования правил в области транспортных средств</w:t>
      </w:r>
      <w:r w:rsidR="007369AF">
        <w:rPr>
          <w:bCs/>
        </w:rPr>
        <w:t> </w:t>
      </w:r>
      <w:r w:rsidR="00C5355D" w:rsidRPr="00C5355D">
        <w:t>(</w:t>
      </w:r>
      <w:r w:rsidR="00C5355D" w:rsidRPr="00C5355D">
        <w:rPr>
          <w:lang w:val="en-GB"/>
        </w:rPr>
        <w:t>WP</w:t>
      </w:r>
      <w:r w:rsidR="00C5355D" w:rsidRPr="00C5355D">
        <w:t xml:space="preserve">.29) </w:t>
      </w:r>
      <w:r w:rsidR="00C5355D">
        <w:t>и Административному комитету АС.1 для рассмотрения на их сессиях в марте 2016 года</w:t>
      </w:r>
      <w:r w:rsidRPr="00D667A7">
        <w:t xml:space="preserve">. </w:t>
      </w:r>
    </w:p>
    <w:p w:rsidR="00D667A7" w:rsidRPr="00353D6B" w:rsidRDefault="00C5355D" w:rsidP="00353D6B">
      <w:pPr>
        <w:pStyle w:val="SingleTxt"/>
      </w:pPr>
      <w:r>
        <w:rPr>
          <w:b/>
        </w:rPr>
        <w:br w:type="page"/>
      </w:r>
      <w:r w:rsidR="00D667A7" w:rsidRPr="00353D6B">
        <w:rPr>
          <w:i/>
        </w:rPr>
        <w:lastRenderedPageBreak/>
        <w:t>Пункт 2</w:t>
      </w:r>
      <w:r w:rsidR="00D667A7" w:rsidRPr="00353D6B">
        <w:t xml:space="preserve"> изменить следующим образом (исключение двух стандартов):</w:t>
      </w:r>
    </w:p>
    <w:p w:rsidR="00D667A7" w:rsidRPr="00353D6B" w:rsidRDefault="0039167D" w:rsidP="0039167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6D3B14">
        <w:rPr>
          <w:b w:val="0"/>
          <w:bCs/>
        </w:rPr>
        <w:t>«</w:t>
      </w:r>
      <w:r w:rsidR="00D667A7" w:rsidRPr="00353D6B">
        <w:t>2.</w:t>
      </w:r>
      <w:r w:rsidR="00D667A7" w:rsidRPr="00353D6B">
        <w:tab/>
      </w:r>
      <w:r w:rsidR="00353D6B">
        <w:tab/>
      </w:r>
      <w:r w:rsidR="00D667A7" w:rsidRPr="00353D6B">
        <w:t>Стандарты</w:t>
      </w:r>
    </w:p>
    <w:p w:rsidR="00D667A7" w:rsidRPr="00353D6B" w:rsidRDefault="00353D6B" w:rsidP="006D3B14">
      <w:pPr>
        <w:pStyle w:val="SingleTxt"/>
      </w:pPr>
      <w:r>
        <w:tab/>
      </w:r>
      <w:r w:rsidR="00D667A7" w:rsidRPr="00353D6B">
        <w:tab/>
        <w:t>…</w:t>
      </w:r>
    </w:p>
    <w:p w:rsidR="00D667A7" w:rsidRPr="00353D6B" w:rsidRDefault="00353D6B" w:rsidP="00D667A7">
      <w:pPr>
        <w:pStyle w:val="SingleTxt"/>
      </w:pPr>
      <w:r>
        <w:tab/>
      </w:r>
      <w:r w:rsidR="00D667A7" w:rsidRPr="00353D6B">
        <w:rPr>
          <w:rFonts w:hint="eastAsia"/>
        </w:rPr>
        <w:tab/>
      </w:r>
      <w:r w:rsidR="00D667A7" w:rsidRPr="00353D6B">
        <w:t xml:space="preserve">Стандарты </w:t>
      </w:r>
      <w:r w:rsidR="00D667A7" w:rsidRPr="00353D6B">
        <w:rPr>
          <w:rFonts w:hint="eastAsia"/>
          <w:lang w:val="en-GB"/>
        </w:rPr>
        <w:t>EN</w:t>
      </w:r>
      <w:r w:rsidR="00D667A7" w:rsidRPr="00353D6B">
        <w:rPr>
          <w:rFonts w:hint="eastAsia"/>
          <w:vertAlign w:val="superscript"/>
        </w:rPr>
        <w:t>4</w:t>
      </w:r>
    </w:p>
    <w:p w:rsidR="00D667A7" w:rsidRPr="00353D6B" w:rsidRDefault="00353D6B" w:rsidP="00353D6B">
      <w:pPr>
        <w:pStyle w:val="SingleTxt"/>
        <w:ind w:left="4133" w:hanging="2866"/>
      </w:pPr>
      <w:r>
        <w:tab/>
      </w:r>
      <w:r w:rsidR="00D667A7" w:rsidRPr="00353D6B">
        <w:tab/>
      </w:r>
      <w:r w:rsidR="00D667A7" w:rsidRPr="00353D6B">
        <w:rPr>
          <w:lang w:val="en-US"/>
        </w:rPr>
        <w:t>EN</w:t>
      </w:r>
      <w:r w:rsidR="00D667A7" w:rsidRPr="00353D6B">
        <w:t>1251-2 2000</w:t>
      </w:r>
      <w:r w:rsidR="00D667A7" w:rsidRPr="00353D6B">
        <w:tab/>
      </w:r>
      <w:r w:rsidR="00D667A7" w:rsidRPr="00353D6B">
        <w:tab/>
        <w:t>Криогенные сосуды − Сосуды с вакуумной изол</w:t>
      </w:r>
      <w:r w:rsidR="00D667A7" w:rsidRPr="00353D6B">
        <w:t>я</w:t>
      </w:r>
      <w:r w:rsidR="00D667A7" w:rsidRPr="00353D6B">
        <w:t>цией объемом не более 1 000 л</w:t>
      </w:r>
    </w:p>
    <w:p w:rsidR="00D667A7" w:rsidRPr="00353D6B" w:rsidRDefault="00353D6B" w:rsidP="00D667A7">
      <w:pPr>
        <w:pStyle w:val="SingleTxt"/>
      </w:pPr>
      <w:r>
        <w:tab/>
      </w:r>
      <w:r>
        <w:tab/>
        <w:t>…».</w:t>
      </w:r>
    </w:p>
    <w:p w:rsidR="00D667A7" w:rsidRPr="00353D6B" w:rsidRDefault="00D667A7" w:rsidP="00D667A7">
      <w:pPr>
        <w:pStyle w:val="SingleTxt"/>
      </w:pPr>
      <w:r w:rsidRPr="00353D6B">
        <w:rPr>
          <w:i/>
        </w:rPr>
        <w:t>Пункт 6.3</w:t>
      </w:r>
      <w:r w:rsidRPr="00353D6B">
        <w:t xml:space="preserve"> </w:t>
      </w:r>
      <w:r w:rsidR="00353D6B" w:rsidRPr="00353D6B">
        <w:rPr>
          <w:i/>
          <w:iCs/>
        </w:rPr>
        <w:t>d)</w:t>
      </w:r>
      <w:r w:rsidR="00353D6B">
        <w:t xml:space="preserve"> </w:t>
      </w:r>
      <w:r w:rsidRPr="00353D6B">
        <w:t>изменить следующим образом:</w:t>
      </w:r>
    </w:p>
    <w:p w:rsidR="00D667A7" w:rsidRPr="00353D6B" w:rsidRDefault="00353D6B" w:rsidP="00353D6B">
      <w:pPr>
        <w:pStyle w:val="SingleTxt"/>
        <w:ind w:left="2218" w:hanging="951"/>
      </w:pPr>
      <w:r>
        <w:t>«</w:t>
      </w:r>
      <w:r w:rsidR="00D667A7" w:rsidRPr="00353D6B">
        <w:t>6.3</w:t>
      </w:r>
      <w:r w:rsidR="00D667A7" w:rsidRPr="00353D6B">
        <w:tab/>
      </w:r>
      <w:r>
        <w:tab/>
        <w:t>…</w:t>
      </w:r>
    </w:p>
    <w:p w:rsidR="00D667A7" w:rsidRDefault="00353D6B" w:rsidP="00353D6B">
      <w:pPr>
        <w:pStyle w:val="SingleTxt"/>
        <w:ind w:left="2693" w:hanging="1426"/>
      </w:pPr>
      <w:r>
        <w:tab/>
      </w:r>
      <w:r w:rsidR="00D667A7" w:rsidRPr="00353D6B">
        <w:tab/>
      </w:r>
      <w:r>
        <w:t>d)</w:t>
      </w:r>
      <w:r>
        <w:tab/>
        <w:t>рабочее давление/</w:t>
      </w:r>
      <w:r w:rsidR="00D667A7" w:rsidRPr="00353D6B">
        <w:t xml:space="preserve">испытательное давление/эксплуатационное </w:t>
      </w:r>
      <w:proofErr w:type="gramStart"/>
      <w:r w:rsidR="00D667A7" w:rsidRPr="00353D6B">
        <w:t>дав</w:t>
      </w:r>
      <w:r>
        <w:t>-</w:t>
      </w:r>
      <w:proofErr w:type="spellStart"/>
      <w:r w:rsidR="00D667A7" w:rsidRPr="00353D6B">
        <w:t>ление</w:t>
      </w:r>
      <w:proofErr w:type="spellEnd"/>
      <w:proofErr w:type="gramEnd"/>
      <w:r w:rsidR="00D667A7" w:rsidRPr="00353D6B">
        <w:t xml:space="preserve"> [МПа];</w:t>
      </w:r>
    </w:p>
    <w:p w:rsidR="00353D6B" w:rsidRPr="00353D6B" w:rsidRDefault="00353D6B" w:rsidP="00353D6B">
      <w:pPr>
        <w:pStyle w:val="SingleTxt"/>
        <w:ind w:left="2693" w:hanging="1426"/>
      </w:pPr>
      <w:r>
        <w:tab/>
      </w:r>
      <w:r>
        <w:tab/>
        <w:t>…».</w:t>
      </w:r>
    </w:p>
    <w:p w:rsidR="00D667A7" w:rsidRPr="00353D6B" w:rsidRDefault="00D667A7" w:rsidP="00D667A7">
      <w:pPr>
        <w:pStyle w:val="SingleTxt"/>
      </w:pPr>
      <w:r w:rsidRPr="00353D6B">
        <w:rPr>
          <w:i/>
        </w:rPr>
        <w:t>Включить новый пункт</w:t>
      </w:r>
      <w:r w:rsidRPr="00353D6B">
        <w:rPr>
          <w:rFonts w:hint="eastAsia"/>
          <w:i/>
        </w:rPr>
        <w:t xml:space="preserve"> 6.4</w:t>
      </w:r>
      <w:r w:rsidRPr="00353D6B">
        <w:rPr>
          <w:rFonts w:hint="eastAsia"/>
        </w:rPr>
        <w:t xml:space="preserve"> </w:t>
      </w:r>
      <w:r w:rsidRPr="00353D6B">
        <w:t>следующего содержания</w:t>
      </w:r>
      <w:r w:rsidRPr="00353D6B">
        <w:rPr>
          <w:rFonts w:hint="eastAsia"/>
        </w:rPr>
        <w:t>:</w:t>
      </w:r>
    </w:p>
    <w:p w:rsidR="00D667A7" w:rsidRPr="00353D6B" w:rsidRDefault="00353D6B" w:rsidP="00353D6B">
      <w:pPr>
        <w:pStyle w:val="SingleTxt"/>
        <w:ind w:left="2218" w:hanging="951"/>
      </w:pPr>
      <w:r>
        <w:t>«</w:t>
      </w:r>
      <w:r w:rsidR="00D667A7" w:rsidRPr="00353D6B">
        <w:rPr>
          <w:rFonts w:hint="eastAsia"/>
        </w:rPr>
        <w:t>6.4</w:t>
      </w:r>
      <w:proofErr w:type="gramStart"/>
      <w:r w:rsidR="00D667A7" w:rsidRPr="00353D6B">
        <w:rPr>
          <w:rFonts w:hint="eastAsia"/>
        </w:rPr>
        <w:tab/>
      </w:r>
      <w:r>
        <w:tab/>
      </w:r>
      <w:r w:rsidR="00D667A7" w:rsidRPr="00353D6B">
        <w:t>Н</w:t>
      </w:r>
      <w:proofErr w:type="gramEnd"/>
      <w:r w:rsidR="00D667A7" w:rsidRPr="00353D6B">
        <w:t>а каждый автоматический клапан и на каждое предохранительное устройство сброса давления, установленное на резервуаре, наносят также маркировку, содержащую следующие разборчивые и нестира</w:t>
      </w:r>
      <w:r w:rsidR="00D667A7" w:rsidRPr="00353D6B">
        <w:t>е</w:t>
      </w:r>
      <w:r w:rsidR="00D667A7" w:rsidRPr="00353D6B">
        <w:t>мые данные</w:t>
      </w:r>
      <w:r w:rsidR="00D667A7" w:rsidRPr="00353D6B">
        <w:rPr>
          <w:rFonts w:hint="eastAsia"/>
        </w:rPr>
        <w:t>:</w:t>
      </w:r>
    </w:p>
    <w:p w:rsidR="00D667A7" w:rsidRPr="00353D6B" w:rsidRDefault="00D667A7" w:rsidP="006D3B14">
      <w:pPr>
        <w:pStyle w:val="SingleTxt"/>
        <w:ind w:left="1742"/>
      </w:pPr>
      <w:r w:rsidRPr="00353D6B">
        <w:tab/>
      </w:r>
      <w:r w:rsidRPr="00353D6B">
        <w:rPr>
          <w:lang w:val="en-GB"/>
        </w:rPr>
        <w:t>a</w:t>
      </w:r>
      <w:r w:rsidRPr="00353D6B">
        <w:t>)</w:t>
      </w:r>
      <w:r w:rsidRPr="00353D6B">
        <w:tab/>
      </w:r>
      <w:proofErr w:type="gramStart"/>
      <w:r w:rsidRPr="00353D6B">
        <w:t>обозначение</w:t>
      </w:r>
      <w:proofErr w:type="gramEnd"/>
      <w:r w:rsidRPr="00353D6B">
        <w:t xml:space="preserve"> </w:t>
      </w:r>
      <w:r w:rsidR="006D3B14">
        <w:t>"</w:t>
      </w:r>
      <w:r w:rsidRPr="00353D6B">
        <w:t>КПГ</w:t>
      </w:r>
      <w:r w:rsidR="006D3B14">
        <w:t>"</w:t>
      </w:r>
      <w:r w:rsidRPr="00353D6B">
        <w:rPr>
          <w:rFonts w:hint="eastAsia"/>
        </w:rPr>
        <w:t>;</w:t>
      </w:r>
    </w:p>
    <w:p w:rsidR="00D667A7" w:rsidRPr="00353D6B" w:rsidRDefault="00D667A7" w:rsidP="00353D6B">
      <w:pPr>
        <w:pStyle w:val="SingleTxt"/>
        <w:ind w:left="1742"/>
      </w:pPr>
      <w:r w:rsidRPr="00353D6B">
        <w:tab/>
      </w:r>
      <w:r w:rsidRPr="00353D6B">
        <w:rPr>
          <w:lang w:val="en-GB"/>
        </w:rPr>
        <w:t>b</w:t>
      </w:r>
      <w:r w:rsidRPr="00353D6B">
        <w:t>)</w:t>
      </w:r>
      <w:r w:rsidRPr="00353D6B">
        <w:tab/>
      </w:r>
      <w:proofErr w:type="gramStart"/>
      <w:r w:rsidRPr="00353D6B">
        <w:t>эксплуатационное</w:t>
      </w:r>
      <w:proofErr w:type="gramEnd"/>
      <w:r w:rsidRPr="00353D6B">
        <w:t xml:space="preserve"> давление</w:t>
      </w:r>
      <w:r w:rsidRPr="00353D6B">
        <w:rPr>
          <w:rFonts w:hint="eastAsia"/>
        </w:rPr>
        <w:t xml:space="preserve"> </w:t>
      </w:r>
      <w:r w:rsidRPr="00353D6B">
        <w:t>[МПа]</w:t>
      </w:r>
      <w:r w:rsidR="00353D6B">
        <w:t>»</w:t>
      </w:r>
      <w:r w:rsidRPr="00353D6B">
        <w:t>.</w:t>
      </w:r>
    </w:p>
    <w:p w:rsidR="00D667A7" w:rsidRPr="00353D6B" w:rsidRDefault="00D667A7" w:rsidP="00D667A7">
      <w:pPr>
        <w:pStyle w:val="SingleTxt"/>
      </w:pPr>
      <w:r w:rsidRPr="00353D6B">
        <w:rPr>
          <w:i/>
        </w:rPr>
        <w:t>Пункт 6.</w:t>
      </w:r>
      <w:r w:rsidRPr="00353D6B">
        <w:rPr>
          <w:rFonts w:hint="eastAsia"/>
          <w:i/>
        </w:rPr>
        <w:t xml:space="preserve">4 </w:t>
      </w:r>
      <w:r w:rsidRPr="00353D6B">
        <w:rPr>
          <w:i/>
        </w:rPr>
        <w:t>(прежний)</w:t>
      </w:r>
      <w:r w:rsidRPr="00353D6B">
        <w:t>, изменить нумерацию на 6.</w:t>
      </w:r>
      <w:r w:rsidRPr="00353D6B">
        <w:rPr>
          <w:rFonts w:hint="eastAsia"/>
        </w:rPr>
        <w:t>5</w:t>
      </w:r>
      <w:r w:rsidRPr="00353D6B">
        <w:t>.</w:t>
      </w:r>
    </w:p>
    <w:p w:rsidR="00D667A7" w:rsidRPr="00353D6B" w:rsidRDefault="00D667A7" w:rsidP="00D667A7">
      <w:pPr>
        <w:pStyle w:val="SingleTxt"/>
      </w:pPr>
      <w:r w:rsidRPr="00353D6B">
        <w:rPr>
          <w:i/>
        </w:rPr>
        <w:t>Включить новый пункт</w:t>
      </w:r>
      <w:r w:rsidRPr="00353D6B">
        <w:rPr>
          <w:rFonts w:hint="eastAsia"/>
          <w:i/>
        </w:rPr>
        <w:t xml:space="preserve"> 6.</w:t>
      </w:r>
      <w:r w:rsidRPr="00353D6B">
        <w:rPr>
          <w:i/>
        </w:rPr>
        <w:t>6</w:t>
      </w:r>
      <w:r w:rsidRPr="00353D6B">
        <w:rPr>
          <w:rFonts w:hint="eastAsia"/>
        </w:rPr>
        <w:t xml:space="preserve"> </w:t>
      </w:r>
      <w:r w:rsidRPr="00353D6B">
        <w:t>следующего содержания</w:t>
      </w:r>
      <w:r w:rsidRPr="00353D6B">
        <w:rPr>
          <w:rFonts w:hint="eastAsia"/>
        </w:rPr>
        <w:t>:</w:t>
      </w:r>
    </w:p>
    <w:p w:rsidR="00D667A7" w:rsidRPr="00353D6B" w:rsidRDefault="00353D6B" w:rsidP="00353D6B">
      <w:pPr>
        <w:pStyle w:val="SingleTxt"/>
        <w:ind w:left="2218" w:hanging="951"/>
      </w:pPr>
      <w:r>
        <w:t>«</w:t>
      </w:r>
      <w:r w:rsidR="00D667A7" w:rsidRPr="00353D6B">
        <w:rPr>
          <w:rFonts w:hint="eastAsia"/>
        </w:rPr>
        <w:t>6.6</w:t>
      </w:r>
      <w:proofErr w:type="gramStart"/>
      <w:r w:rsidR="00D667A7" w:rsidRPr="00353D6B">
        <w:rPr>
          <w:rFonts w:hint="eastAsia"/>
        </w:rPr>
        <w:tab/>
      </w:r>
      <w:r w:rsidR="00D667A7" w:rsidRPr="00353D6B">
        <w:tab/>
        <w:t>Н</w:t>
      </w:r>
      <w:proofErr w:type="gramEnd"/>
      <w:r w:rsidR="00D667A7" w:rsidRPr="00353D6B">
        <w:t>а каждый следующий элемент также наносят разборчивую и нест</w:t>
      </w:r>
      <w:r w:rsidR="00D667A7" w:rsidRPr="00353D6B">
        <w:t>и</w:t>
      </w:r>
      <w:r w:rsidR="00D667A7" w:rsidRPr="00353D6B">
        <w:t>раемую маркировку с данными, перечисленными в пункт</w:t>
      </w:r>
      <w:r>
        <w:t>ах</w:t>
      </w:r>
      <w:r w:rsidR="00D667A7" w:rsidRPr="00353D6B">
        <w:t xml:space="preserve"> </w:t>
      </w:r>
      <w:r w:rsidR="00D667A7" w:rsidRPr="00353D6B">
        <w:rPr>
          <w:rFonts w:hint="eastAsia"/>
          <w:lang w:val="en-GB"/>
        </w:rPr>
        <w:t>a</w:t>
      </w:r>
      <w:r w:rsidR="00D667A7" w:rsidRPr="00353D6B">
        <w:rPr>
          <w:rFonts w:hint="eastAsia"/>
        </w:rPr>
        <w:t xml:space="preserve">) </w:t>
      </w:r>
      <w:r w:rsidR="00D667A7" w:rsidRPr="00353D6B">
        <w:t>и</w:t>
      </w:r>
      <w:r w:rsidR="00D667A7" w:rsidRPr="00353D6B">
        <w:rPr>
          <w:rFonts w:hint="eastAsia"/>
        </w:rPr>
        <w:t xml:space="preserve"> </w:t>
      </w:r>
      <w:r w:rsidR="00D667A7" w:rsidRPr="00353D6B">
        <w:rPr>
          <w:rFonts w:hint="eastAsia"/>
          <w:lang w:val="en-GB"/>
        </w:rPr>
        <w:t>b</w:t>
      </w:r>
      <w:r w:rsidR="00D667A7" w:rsidRPr="00353D6B">
        <w:rPr>
          <w:rFonts w:hint="eastAsia"/>
        </w:rPr>
        <w:t>)</w:t>
      </w:r>
      <w:r w:rsidR="00D667A7" w:rsidRPr="00353D6B">
        <w:t xml:space="preserve"> н</w:t>
      </w:r>
      <w:r w:rsidR="00D667A7" w:rsidRPr="00353D6B">
        <w:t>и</w:t>
      </w:r>
      <w:r w:rsidR="00D667A7" w:rsidRPr="00353D6B">
        <w:t>же: предохранительный (первичный) клапан; предохранительный (вт</w:t>
      </w:r>
      <w:r w:rsidR="00D667A7" w:rsidRPr="00353D6B">
        <w:t>о</w:t>
      </w:r>
      <w:r w:rsidR="00D667A7" w:rsidRPr="00353D6B">
        <w:t>ричный) клапан; ручной запорный вентиль для топлива; ручной запо</w:t>
      </w:r>
      <w:r w:rsidR="00D667A7" w:rsidRPr="00353D6B">
        <w:t>р</w:t>
      </w:r>
      <w:r w:rsidR="00D667A7" w:rsidRPr="00353D6B">
        <w:t>ный вентиль для паров; контрольный клапан СПГ; и (ручные или а</w:t>
      </w:r>
      <w:r w:rsidR="00D667A7" w:rsidRPr="00353D6B">
        <w:t>в</w:t>
      </w:r>
      <w:r w:rsidR="00D667A7" w:rsidRPr="00353D6B">
        <w:t>томатические) клапаны СНГ, установленные на резервуаре:</w:t>
      </w:r>
    </w:p>
    <w:p w:rsidR="00D667A7" w:rsidRPr="00353D6B" w:rsidRDefault="00D667A7" w:rsidP="006D3B14">
      <w:pPr>
        <w:pStyle w:val="SingleTxt"/>
        <w:ind w:left="1742"/>
      </w:pPr>
      <w:r w:rsidRPr="00353D6B">
        <w:tab/>
      </w:r>
      <w:r w:rsidRPr="00353D6B">
        <w:rPr>
          <w:lang w:val="en-GB"/>
        </w:rPr>
        <w:t>a</w:t>
      </w:r>
      <w:r w:rsidRPr="00353D6B">
        <w:t>)</w:t>
      </w:r>
      <w:r w:rsidRPr="00353D6B">
        <w:tab/>
      </w:r>
      <w:proofErr w:type="gramStart"/>
      <w:r w:rsidRPr="00353D6B">
        <w:t>обозначение</w:t>
      </w:r>
      <w:proofErr w:type="gramEnd"/>
      <w:r w:rsidRPr="00353D6B">
        <w:t xml:space="preserve"> </w:t>
      </w:r>
      <w:r w:rsidR="006D3B14">
        <w:t>"</w:t>
      </w:r>
      <w:r w:rsidRPr="00353D6B">
        <w:t>СПГ</w:t>
      </w:r>
      <w:r w:rsidR="006D3B14">
        <w:t>"</w:t>
      </w:r>
      <w:r w:rsidRPr="00353D6B">
        <w:rPr>
          <w:rFonts w:hint="eastAsia"/>
        </w:rPr>
        <w:t>;</w:t>
      </w:r>
    </w:p>
    <w:p w:rsidR="00D667A7" w:rsidRPr="00353D6B" w:rsidRDefault="00D667A7" w:rsidP="00353D6B">
      <w:pPr>
        <w:pStyle w:val="SingleTxt"/>
        <w:ind w:left="1742"/>
      </w:pPr>
      <w:r w:rsidRPr="00353D6B">
        <w:tab/>
      </w:r>
      <w:r w:rsidRPr="00353D6B">
        <w:rPr>
          <w:lang w:val="en-GB"/>
        </w:rPr>
        <w:t>b</w:t>
      </w:r>
      <w:r w:rsidRPr="00353D6B">
        <w:t>)</w:t>
      </w:r>
      <w:r w:rsidRPr="00353D6B">
        <w:tab/>
      </w:r>
      <w:proofErr w:type="gramStart"/>
      <w:r w:rsidRPr="00353D6B">
        <w:t>эксплуатационное</w:t>
      </w:r>
      <w:proofErr w:type="gramEnd"/>
      <w:r w:rsidRPr="00353D6B">
        <w:t xml:space="preserve"> давление</w:t>
      </w:r>
      <w:r w:rsidRPr="00353D6B">
        <w:rPr>
          <w:rFonts w:hint="eastAsia"/>
        </w:rPr>
        <w:t xml:space="preserve"> </w:t>
      </w:r>
      <w:r w:rsidRPr="00353D6B">
        <w:t>[</w:t>
      </w:r>
      <w:r w:rsidRPr="00353D6B">
        <w:rPr>
          <w:lang w:val="en-GB"/>
        </w:rPr>
        <w:t>M</w:t>
      </w:r>
      <w:r w:rsidRPr="00353D6B">
        <w:t>П</w:t>
      </w:r>
      <w:r w:rsidRPr="00353D6B">
        <w:rPr>
          <w:lang w:val="en-GB"/>
        </w:rPr>
        <w:t>a</w:t>
      </w:r>
      <w:r w:rsidRPr="00353D6B">
        <w:t>]</w:t>
      </w:r>
      <w:r w:rsidR="00353D6B">
        <w:t>»</w:t>
      </w:r>
      <w:r w:rsidRPr="00353D6B">
        <w:t>.</w:t>
      </w:r>
    </w:p>
    <w:p w:rsidR="00D667A7" w:rsidRPr="00353D6B" w:rsidRDefault="00D667A7" w:rsidP="00D667A7">
      <w:pPr>
        <w:pStyle w:val="SingleTxt"/>
      </w:pPr>
      <w:r w:rsidRPr="00353D6B">
        <w:rPr>
          <w:i/>
        </w:rPr>
        <w:t xml:space="preserve">Пункт </w:t>
      </w:r>
      <w:r w:rsidRPr="00353D6B">
        <w:rPr>
          <w:rFonts w:hint="eastAsia"/>
          <w:i/>
        </w:rPr>
        <w:t>7.2</w:t>
      </w:r>
      <w:r w:rsidRPr="00353D6B">
        <w:rPr>
          <w:rFonts w:hint="eastAsia"/>
        </w:rPr>
        <w:t xml:space="preserve"> </w:t>
      </w:r>
      <w:r w:rsidRPr="00353D6B">
        <w:t>изменить следующим образом</w:t>
      </w:r>
      <w:r w:rsidRPr="00353D6B">
        <w:rPr>
          <w:rFonts w:hint="eastAsia"/>
        </w:rPr>
        <w:t>:</w:t>
      </w:r>
    </w:p>
    <w:p w:rsidR="00D667A7" w:rsidRPr="00353D6B" w:rsidRDefault="00353D6B" w:rsidP="00353D6B">
      <w:pPr>
        <w:pStyle w:val="SingleTxt"/>
        <w:ind w:left="2218" w:hanging="951"/>
      </w:pPr>
      <w:r>
        <w:t>«</w:t>
      </w:r>
      <w:r w:rsidR="00D667A7" w:rsidRPr="00353D6B">
        <w:t>7.2</w:t>
      </w:r>
      <w:proofErr w:type="gramStart"/>
      <w:r w:rsidR="00D667A7" w:rsidRPr="00353D6B">
        <w:tab/>
      </w:r>
      <w:r>
        <w:tab/>
      </w:r>
      <w:r w:rsidR="00D667A7" w:rsidRPr="00353D6B">
        <w:t>К</w:t>
      </w:r>
      <w:proofErr w:type="gramEnd"/>
      <w:r w:rsidR="00D667A7" w:rsidRPr="00353D6B">
        <w:t>аждому официально утвержденному типу</w:t>
      </w:r>
      <w:r>
        <w:t>…</w:t>
      </w:r>
      <w:r w:rsidR="00D667A7" w:rsidRPr="00353D6B">
        <w:t xml:space="preserve"> первые две цифры кот</w:t>
      </w:r>
      <w:r w:rsidR="00D667A7" w:rsidRPr="00353D6B">
        <w:t>о</w:t>
      </w:r>
      <w:r w:rsidR="00D667A7" w:rsidRPr="00353D6B">
        <w:t>рого (в настоящее время 0</w:t>
      </w:r>
      <w:r w:rsidR="00D667A7" w:rsidRPr="00353D6B">
        <w:rPr>
          <w:rFonts w:hint="eastAsia"/>
        </w:rPr>
        <w:t>2</w:t>
      </w:r>
      <w:r w:rsidR="00D667A7" w:rsidRPr="00353D6B">
        <w:t>, что соответствует поправкам серии 0</w:t>
      </w:r>
      <w:r w:rsidR="00D667A7" w:rsidRPr="00353D6B">
        <w:rPr>
          <w:rFonts w:hint="eastAsia"/>
        </w:rPr>
        <w:t>2</w:t>
      </w:r>
      <w:r w:rsidR="00D667A7" w:rsidRPr="00353D6B">
        <w:t>) указывают</w:t>
      </w:r>
      <w:r>
        <w:t>…</w:t>
      </w:r>
      <w:r w:rsidR="00D667A7" w:rsidRPr="00353D6B">
        <w:t xml:space="preserve"> типу элемента оборудования</w:t>
      </w:r>
      <w:r>
        <w:t>»</w:t>
      </w:r>
      <w:r w:rsidR="00D667A7" w:rsidRPr="00353D6B">
        <w:t>.</w:t>
      </w:r>
    </w:p>
    <w:p w:rsidR="00D667A7" w:rsidRPr="00353D6B" w:rsidRDefault="00D667A7" w:rsidP="00D667A7">
      <w:pPr>
        <w:pStyle w:val="SingleTxt"/>
      </w:pPr>
      <w:r w:rsidRPr="00353D6B">
        <w:rPr>
          <w:i/>
        </w:rPr>
        <w:t>Включить новый пункт</w:t>
      </w:r>
      <w:r w:rsidRPr="00353D6B">
        <w:rPr>
          <w:rFonts w:hint="eastAsia"/>
          <w:i/>
        </w:rPr>
        <w:t xml:space="preserve"> </w:t>
      </w:r>
      <w:r w:rsidRPr="00353D6B">
        <w:rPr>
          <w:i/>
        </w:rPr>
        <w:t>8</w:t>
      </w:r>
      <w:r w:rsidRPr="00353D6B">
        <w:rPr>
          <w:rFonts w:hint="eastAsia"/>
          <w:i/>
        </w:rPr>
        <w:t>.</w:t>
      </w:r>
      <w:r w:rsidRPr="00353D6B">
        <w:rPr>
          <w:i/>
        </w:rPr>
        <w:t>2.2</w:t>
      </w:r>
      <w:r w:rsidRPr="00353D6B">
        <w:rPr>
          <w:rFonts w:hint="eastAsia"/>
        </w:rPr>
        <w:t xml:space="preserve"> </w:t>
      </w:r>
      <w:r w:rsidRPr="00353D6B">
        <w:t>следующего содержания</w:t>
      </w:r>
      <w:r w:rsidRPr="00353D6B">
        <w:rPr>
          <w:rFonts w:hint="eastAsia"/>
        </w:rPr>
        <w:t>:</w:t>
      </w:r>
    </w:p>
    <w:p w:rsidR="00D667A7" w:rsidRPr="00353D6B" w:rsidRDefault="00353D6B" w:rsidP="00F51D3A">
      <w:pPr>
        <w:pStyle w:val="SingleTxt"/>
        <w:ind w:left="2218" w:hanging="951"/>
      </w:pPr>
      <w:r>
        <w:t>«</w:t>
      </w:r>
      <w:r w:rsidR="00D667A7" w:rsidRPr="00353D6B">
        <w:rPr>
          <w:rFonts w:hint="eastAsia"/>
        </w:rPr>
        <w:t>8.2.2</w:t>
      </w:r>
      <w:r w:rsidR="00D667A7" w:rsidRPr="00353D6B">
        <w:rPr>
          <w:rFonts w:hint="eastAsia"/>
        </w:rPr>
        <w:tab/>
      </w:r>
      <w:r w:rsidR="00D667A7" w:rsidRPr="00353D6B">
        <w:t xml:space="preserve">Баллоны сварной конструкции </w:t>
      </w:r>
      <w:r>
        <w:t>КПГ-1, КПГ-2 и КПГ-3</w:t>
      </w:r>
      <w:r w:rsidR="00D667A7" w:rsidRPr="00353D6B">
        <w:t xml:space="preserve"> не допускаю</w:t>
      </w:r>
      <w:r w:rsidR="00D667A7" w:rsidRPr="00353D6B">
        <w:t>т</w:t>
      </w:r>
      <w:r w:rsidR="00D667A7" w:rsidRPr="00353D6B">
        <w:t>ся</w:t>
      </w:r>
      <w:r w:rsidR="00F51D3A">
        <w:t>»</w:t>
      </w:r>
      <w:r w:rsidR="00D667A7" w:rsidRPr="00353D6B">
        <w:t>.</w:t>
      </w:r>
    </w:p>
    <w:p w:rsidR="00D667A7" w:rsidRPr="00353D6B" w:rsidRDefault="00D667A7" w:rsidP="00D667A7">
      <w:pPr>
        <w:pStyle w:val="SingleTxt"/>
      </w:pPr>
      <w:r w:rsidRPr="00353D6B">
        <w:rPr>
          <w:i/>
        </w:rPr>
        <w:t xml:space="preserve">Пункт </w:t>
      </w:r>
      <w:r w:rsidRPr="00353D6B">
        <w:rPr>
          <w:rFonts w:hint="eastAsia"/>
          <w:i/>
        </w:rPr>
        <w:t>18.1.8.4</w:t>
      </w:r>
      <w:r w:rsidRPr="00353D6B">
        <w:rPr>
          <w:rFonts w:hint="eastAsia"/>
        </w:rPr>
        <w:t xml:space="preserve"> </w:t>
      </w:r>
      <w:r w:rsidRPr="00353D6B">
        <w:t>изменить следующим образом:</w:t>
      </w:r>
    </w:p>
    <w:p w:rsidR="00D667A7" w:rsidRPr="00353D6B" w:rsidRDefault="00F51D3A" w:rsidP="00F51D3A">
      <w:pPr>
        <w:pStyle w:val="SingleTxt"/>
        <w:ind w:left="2218" w:hanging="951"/>
      </w:pPr>
      <w:r>
        <w:t>«</w:t>
      </w:r>
      <w:r w:rsidR="00D667A7" w:rsidRPr="00353D6B">
        <w:t>18.1.8.4</w:t>
      </w:r>
      <w:r w:rsidR="00D667A7" w:rsidRPr="00353D6B">
        <w:tab/>
        <w:t>Наклейку с указанием требований, касающихся заправки топливом, и следующих данных помещают вблизи заправочного узла КПГ и/или СПГ</w:t>
      </w:r>
      <w:r w:rsidR="00D667A7" w:rsidRPr="00353D6B">
        <w:rPr>
          <w:rFonts w:hint="eastAsia"/>
        </w:rPr>
        <w:t>:</w:t>
      </w:r>
    </w:p>
    <w:p w:rsidR="00D667A7" w:rsidRPr="00F51D3A" w:rsidRDefault="0039167D" w:rsidP="00F51D3A">
      <w:pPr>
        <w:pStyle w:val="SingleTxt"/>
        <w:ind w:left="2851" w:hanging="951"/>
      </w:pPr>
      <w:r>
        <w:br w:type="page"/>
      </w:r>
      <w:r w:rsidR="00D667A7" w:rsidRPr="00353D6B">
        <w:rPr>
          <w:rFonts w:hint="eastAsia"/>
        </w:rPr>
        <w:lastRenderedPageBreak/>
        <w:tab/>
      </w:r>
      <w:r w:rsidR="00D667A7" w:rsidRPr="00353D6B">
        <w:rPr>
          <w:rFonts w:hint="eastAsia"/>
          <w:lang w:val="en-GB"/>
        </w:rPr>
        <w:t>a</w:t>
      </w:r>
      <w:r w:rsidR="00D667A7" w:rsidRPr="00353D6B">
        <w:rPr>
          <w:rFonts w:hint="eastAsia"/>
        </w:rPr>
        <w:t>)</w:t>
      </w:r>
      <w:r w:rsidR="00D667A7" w:rsidRPr="00353D6B">
        <w:rPr>
          <w:rFonts w:hint="eastAsia"/>
        </w:rPr>
        <w:tab/>
      </w:r>
      <w:proofErr w:type="gramStart"/>
      <w:r w:rsidR="00D667A7" w:rsidRPr="00353D6B">
        <w:t>обозначение</w:t>
      </w:r>
      <w:proofErr w:type="gramEnd"/>
      <w:r w:rsidR="00D667A7" w:rsidRPr="00353D6B">
        <w:rPr>
          <w:rFonts w:hint="eastAsia"/>
        </w:rPr>
        <w:t xml:space="preserve"> </w:t>
      </w:r>
      <w:r w:rsidR="00F51D3A">
        <w:t>«</w:t>
      </w:r>
      <w:r w:rsidR="00D667A7" w:rsidRPr="00353D6B">
        <w:t>КПГ</w:t>
      </w:r>
      <w:r w:rsidR="00F51D3A">
        <w:t>»</w:t>
      </w:r>
      <w:r w:rsidR="00D667A7" w:rsidRPr="00353D6B">
        <w:rPr>
          <w:rFonts w:hint="eastAsia"/>
        </w:rPr>
        <w:t xml:space="preserve"> </w:t>
      </w:r>
      <w:r w:rsidR="00D667A7" w:rsidRPr="00353D6B">
        <w:t>и/или</w:t>
      </w:r>
      <w:r w:rsidR="00D667A7" w:rsidRPr="00353D6B">
        <w:rPr>
          <w:rFonts w:hint="eastAsia"/>
        </w:rPr>
        <w:t xml:space="preserve"> </w:t>
      </w:r>
      <w:r w:rsidR="00F51D3A">
        <w:t>«</w:t>
      </w:r>
      <w:r w:rsidR="00D667A7" w:rsidRPr="00353D6B">
        <w:t>СПГ</w:t>
      </w:r>
      <w:r w:rsidR="00F51D3A">
        <w:t>»</w:t>
      </w:r>
      <w:r w:rsidR="00D667A7" w:rsidRPr="00353D6B">
        <w:rPr>
          <w:rFonts w:hint="eastAsia"/>
        </w:rPr>
        <w:t>;</w:t>
      </w:r>
    </w:p>
    <w:p w:rsidR="00F51D3A" w:rsidRDefault="00D667A7" w:rsidP="00F51D3A">
      <w:pPr>
        <w:pStyle w:val="SingleTxt"/>
        <w:ind w:left="2851" w:hanging="951"/>
      </w:pPr>
      <w:r w:rsidRPr="00353D6B">
        <w:rPr>
          <w:rFonts w:hint="eastAsia"/>
        </w:rPr>
        <w:tab/>
      </w:r>
      <w:r w:rsidRPr="00353D6B">
        <w:rPr>
          <w:rFonts w:hint="eastAsia"/>
          <w:lang w:val="en-GB"/>
        </w:rPr>
        <w:t>b</w:t>
      </w:r>
      <w:r w:rsidRPr="00353D6B">
        <w:rPr>
          <w:rFonts w:hint="eastAsia"/>
        </w:rPr>
        <w:t>)</w:t>
      </w:r>
      <w:r w:rsidRPr="00353D6B">
        <w:rPr>
          <w:rFonts w:hint="eastAsia"/>
        </w:rPr>
        <w:tab/>
      </w:r>
      <w:proofErr w:type="gramStart"/>
      <w:r w:rsidRPr="00353D6B">
        <w:t>эксплуатационное</w:t>
      </w:r>
      <w:proofErr w:type="gramEnd"/>
      <w:r w:rsidRPr="00353D6B">
        <w:t xml:space="preserve"> давление</w:t>
      </w:r>
      <w:r w:rsidRPr="00353D6B">
        <w:rPr>
          <w:rFonts w:hint="eastAsia"/>
        </w:rPr>
        <w:t xml:space="preserve"> </w:t>
      </w:r>
      <w:r w:rsidRPr="00353D6B">
        <w:t>[</w:t>
      </w:r>
      <w:r w:rsidRPr="00353D6B">
        <w:rPr>
          <w:lang w:val="en-GB"/>
        </w:rPr>
        <w:t>M</w:t>
      </w:r>
      <w:r w:rsidRPr="00353D6B">
        <w:t>П</w:t>
      </w:r>
      <w:r w:rsidRPr="00353D6B">
        <w:rPr>
          <w:lang w:val="en-GB"/>
        </w:rPr>
        <w:t>a</w:t>
      </w:r>
      <w:r w:rsidRPr="00353D6B">
        <w:t>]</w:t>
      </w:r>
      <w:r w:rsidR="00BA555F">
        <w:t>.</w:t>
      </w:r>
    </w:p>
    <w:p w:rsidR="00866C75" w:rsidRPr="00F51D3A" w:rsidRDefault="00F51D3A" w:rsidP="00F51D3A">
      <w:pPr>
        <w:pStyle w:val="SingleTxt"/>
        <w:ind w:left="2218" w:hanging="951"/>
      </w:pPr>
      <w:r>
        <w:tab/>
      </w:r>
      <w:r>
        <w:tab/>
        <w:t>Требования, касающиеся заправки топливом, должны соответствовать рекомендациям изготовителя</w:t>
      </w:r>
      <w:proofErr w:type="gramStart"/>
      <w:r>
        <w:t>:»</w:t>
      </w:r>
      <w:proofErr w:type="gramEnd"/>
      <w:r w:rsidR="00D667A7" w:rsidRPr="00353D6B">
        <w:t>.</w:t>
      </w:r>
    </w:p>
    <w:p w:rsidR="00D667A7" w:rsidRPr="00353D6B" w:rsidRDefault="00D667A7" w:rsidP="00D667A7">
      <w:pPr>
        <w:pStyle w:val="SingleTxt"/>
        <w:rPr>
          <w:iCs/>
        </w:rPr>
      </w:pPr>
      <w:r w:rsidRPr="00353D6B">
        <w:rPr>
          <w:i/>
        </w:rPr>
        <w:t>Пункт 18.5.2.1</w:t>
      </w:r>
      <w:r w:rsidRPr="00353D6B">
        <w:rPr>
          <w:iCs/>
        </w:rPr>
        <w:t xml:space="preserve"> изменить следующим образом:</w:t>
      </w:r>
    </w:p>
    <w:p w:rsidR="00D667A7" w:rsidRPr="00353D6B" w:rsidRDefault="00D667A7" w:rsidP="006D3B14">
      <w:pPr>
        <w:pStyle w:val="SingleTxt"/>
      </w:pPr>
      <w:r w:rsidRPr="00353D6B">
        <w:t>«18.5.2.1</w:t>
      </w:r>
      <w:r w:rsidRPr="00353D6B">
        <w:tab/>
        <w:t>Предохранительное устройство сброса… пункта 18.5.5 ниже.</w:t>
      </w:r>
    </w:p>
    <w:p w:rsidR="00D667A7" w:rsidRPr="00353D6B" w:rsidRDefault="00D667A7" w:rsidP="00F51D3A">
      <w:pPr>
        <w:pStyle w:val="SingleTxt"/>
        <w:ind w:left="2218" w:hanging="951"/>
      </w:pPr>
      <w:r w:rsidRPr="00353D6B">
        <w:tab/>
      </w:r>
      <w:r w:rsidRPr="00353D6B">
        <w:tab/>
        <w:t xml:space="preserve">Однако в случае транспортных средств категорий </w:t>
      </w:r>
      <w:r w:rsidRPr="00353D6B">
        <w:rPr>
          <w:lang w:val="en-US"/>
        </w:rPr>
        <w:t>M</w:t>
      </w:r>
      <w:r w:rsidRPr="00353D6B">
        <w:t xml:space="preserve"> и </w:t>
      </w:r>
      <w:r w:rsidRPr="00353D6B">
        <w:rPr>
          <w:lang w:val="en-US"/>
        </w:rPr>
        <w:t>N</w:t>
      </w:r>
      <w:r w:rsidRPr="00353D6B">
        <w:t>, если резерв</w:t>
      </w:r>
      <w:r w:rsidRPr="00353D6B">
        <w:t>у</w:t>
      </w:r>
      <w:r w:rsidRPr="00353D6B">
        <w:t>а</w:t>
      </w:r>
      <w:proofErr w:type="gramStart"/>
      <w:r w:rsidRPr="00353D6B">
        <w:t>р(</w:t>
      </w:r>
      <w:proofErr w:type="gramEnd"/>
      <w:r w:rsidRPr="00353D6B">
        <w:t>ы) установлен(ы) снаружи транспортного средства и на крыше либо в верхней части кузова транспортного средства, предохранительное устройство сброса давления (срабатывающее при определенной те</w:t>
      </w:r>
      <w:r w:rsidRPr="00353D6B">
        <w:t>м</w:t>
      </w:r>
      <w:r w:rsidRPr="00353D6B">
        <w:t>пературе) устанавливают на топливном(</w:t>
      </w:r>
      <w:proofErr w:type="spellStart"/>
      <w:r w:rsidRPr="00353D6B">
        <w:t>ых</w:t>
      </w:r>
      <w:proofErr w:type="spellEnd"/>
      <w:r w:rsidRPr="00353D6B">
        <w:t>) резервуаре(ах) таким обр</w:t>
      </w:r>
      <w:r w:rsidRPr="00353D6B">
        <w:t>а</w:t>
      </w:r>
      <w:r w:rsidRPr="00353D6B">
        <w:t>зом, чтобы КПГ отводился только в направлении вертикально вверх».</w:t>
      </w:r>
    </w:p>
    <w:p w:rsidR="00D667A7" w:rsidRPr="00353D6B" w:rsidRDefault="00D667A7" w:rsidP="00D667A7">
      <w:pPr>
        <w:pStyle w:val="SingleTxt"/>
        <w:rPr>
          <w:iCs/>
        </w:rPr>
      </w:pPr>
      <w:r w:rsidRPr="00353D6B">
        <w:rPr>
          <w:i/>
        </w:rPr>
        <w:t>Пункт 18.5.6.2</w:t>
      </w:r>
      <w:r w:rsidRPr="00353D6B">
        <w:rPr>
          <w:iCs/>
        </w:rPr>
        <w:t xml:space="preserve"> изменить следующим образом:</w:t>
      </w:r>
    </w:p>
    <w:p w:rsidR="00D667A7" w:rsidRPr="00353D6B" w:rsidRDefault="00D667A7" w:rsidP="00F51D3A">
      <w:pPr>
        <w:pStyle w:val="SingleTxt"/>
        <w:ind w:left="2218" w:hanging="951"/>
      </w:pPr>
      <w:r w:rsidRPr="00353D6B">
        <w:t>«18.5.6.2</w:t>
      </w:r>
      <w:r w:rsidRPr="00353D6B">
        <w:tab/>
        <w:t>ПОД (</w:t>
      </w:r>
      <w:proofErr w:type="gramStart"/>
      <w:r w:rsidRPr="00353D6B">
        <w:t>срабатывающий</w:t>
      </w:r>
      <w:proofErr w:type="gramEnd"/>
      <w:r w:rsidRPr="00353D6B">
        <w:t xml:space="preserve"> при определенном давлении) устанавливают… пункта 18.5.5 выше.</w:t>
      </w:r>
    </w:p>
    <w:p w:rsidR="00D667A7" w:rsidRPr="00353D6B" w:rsidRDefault="00D667A7" w:rsidP="00F51D3A">
      <w:pPr>
        <w:pStyle w:val="SingleTxt"/>
        <w:ind w:left="2218" w:hanging="951"/>
        <w:rPr>
          <w:i/>
        </w:rPr>
      </w:pPr>
      <w:r w:rsidRPr="00353D6B">
        <w:tab/>
      </w:r>
      <w:r w:rsidRPr="00353D6B">
        <w:tab/>
        <w:t xml:space="preserve">Однако в случае транспортных средств категорий </w:t>
      </w:r>
      <w:r w:rsidRPr="00353D6B">
        <w:rPr>
          <w:lang w:val="en-US"/>
        </w:rPr>
        <w:t>M</w:t>
      </w:r>
      <w:r w:rsidRPr="00353D6B">
        <w:t xml:space="preserve"> и </w:t>
      </w:r>
      <w:r w:rsidRPr="00353D6B">
        <w:rPr>
          <w:lang w:val="en-US"/>
        </w:rPr>
        <w:t>N</w:t>
      </w:r>
      <w:r w:rsidRPr="00353D6B">
        <w:t>, если резерв</w:t>
      </w:r>
      <w:r w:rsidRPr="00353D6B">
        <w:t>у</w:t>
      </w:r>
      <w:r w:rsidRPr="00353D6B">
        <w:t>а</w:t>
      </w:r>
      <w:proofErr w:type="gramStart"/>
      <w:r w:rsidRPr="00353D6B">
        <w:t>р(</w:t>
      </w:r>
      <w:proofErr w:type="gramEnd"/>
      <w:r w:rsidRPr="00353D6B">
        <w:t>ы) установлен(ы) снаружи транспортного средства и на крыше либо в верхней части кузова транспортного средства, предохранительный ограничитель давления (срабатывающий при</w:t>
      </w:r>
      <w:r w:rsidR="00F51D3A">
        <w:t xml:space="preserve"> </w:t>
      </w:r>
      <w:r w:rsidRPr="00353D6B">
        <w:t>определенном давлении) устанавливают на топливном(</w:t>
      </w:r>
      <w:proofErr w:type="spellStart"/>
      <w:r w:rsidRPr="00353D6B">
        <w:t>ых</w:t>
      </w:r>
      <w:proofErr w:type="spellEnd"/>
      <w:r w:rsidRPr="00353D6B">
        <w:t>) резервуаре(ах) таким образом, чтобы КПГ отводился только в направлении вертикально вверх».</w:t>
      </w:r>
    </w:p>
    <w:p w:rsidR="00D667A7" w:rsidRPr="00353D6B" w:rsidRDefault="00D667A7" w:rsidP="00D667A7">
      <w:pPr>
        <w:pStyle w:val="SingleTxt"/>
      </w:pPr>
      <w:r w:rsidRPr="00353D6B">
        <w:rPr>
          <w:i/>
        </w:rPr>
        <w:t>Пункт 24.3</w:t>
      </w:r>
      <w:r w:rsidRPr="00353D6B">
        <w:t xml:space="preserve"> изменить следующим образом:</w:t>
      </w:r>
    </w:p>
    <w:p w:rsidR="00D667A7" w:rsidRPr="00353D6B" w:rsidRDefault="00D667A7" w:rsidP="00F51D3A">
      <w:pPr>
        <w:pStyle w:val="SingleTxt"/>
        <w:ind w:left="2218" w:hanging="951"/>
      </w:pPr>
      <w:proofErr w:type="gramStart"/>
      <w:r w:rsidRPr="00353D6B">
        <w:t>«24.3</w:t>
      </w:r>
      <w:r w:rsidRPr="00353D6B">
        <w:tab/>
        <w:t>Официальные утверждения типа элементов оборудования, за исключ</w:t>
      </w:r>
      <w:r w:rsidRPr="00353D6B">
        <w:t>е</w:t>
      </w:r>
      <w:r w:rsidRPr="00353D6B">
        <w:t>нием топливной рампы, определенной в пункте 4.7</w:t>
      </w:r>
      <w:r w:rsidR="00F51D3A">
        <w:t>2</w:t>
      </w:r>
      <w:r w:rsidRPr="00353D6B">
        <w:t>, которые были предоставлены на основании настоящих Правил в их первоначальном варианте, либо официальные утверждения типа элементов оборудов</w:t>
      </w:r>
      <w:r w:rsidRPr="00353D6B">
        <w:t>а</w:t>
      </w:r>
      <w:r w:rsidRPr="00353D6B">
        <w:t>ния, предоставленные на основании поправок серии 01, остаются в силе и принимаются для целей установки элементов оборудования на транспортных средствах, если требования, предъявляемые к конкре</w:t>
      </w:r>
      <w:r w:rsidRPr="00353D6B">
        <w:t>т</w:t>
      </w:r>
      <w:r w:rsidRPr="00353D6B">
        <w:t>ному элементу оборудования, не изменяются на</w:t>
      </w:r>
      <w:proofErr w:type="gramEnd"/>
      <w:r w:rsidRPr="00353D6B">
        <w:t xml:space="preserve"> </w:t>
      </w:r>
      <w:proofErr w:type="gramStart"/>
      <w:r w:rsidRPr="00353D6B">
        <w:t>основании</w:t>
      </w:r>
      <w:proofErr w:type="gramEnd"/>
      <w:r w:rsidRPr="00353D6B">
        <w:t xml:space="preserve"> любой с</w:t>
      </w:r>
      <w:r w:rsidRPr="00353D6B">
        <w:t>е</w:t>
      </w:r>
      <w:r w:rsidRPr="00353D6B">
        <w:t>рии поправок».</w:t>
      </w:r>
    </w:p>
    <w:p w:rsidR="00D667A7" w:rsidRPr="00353D6B" w:rsidRDefault="00D667A7" w:rsidP="006D3B14">
      <w:pPr>
        <w:pStyle w:val="SingleTxt"/>
        <w:rPr>
          <w:i/>
        </w:rPr>
      </w:pPr>
      <w:r w:rsidRPr="00353D6B">
        <w:rPr>
          <w:i/>
        </w:rPr>
        <w:t>Включить новые пункты 24.8−24.1</w:t>
      </w:r>
      <w:r w:rsidR="006D3B14">
        <w:rPr>
          <w:i/>
        </w:rPr>
        <w:t>4</w:t>
      </w:r>
      <w:r w:rsidRPr="00353D6B">
        <w:rPr>
          <w:i/>
        </w:rPr>
        <w:t xml:space="preserve"> </w:t>
      </w:r>
      <w:r w:rsidRPr="00353D6B">
        <w:rPr>
          <w:iCs/>
        </w:rPr>
        <w:t>следующего содержания:</w:t>
      </w:r>
    </w:p>
    <w:p w:rsidR="00D667A7" w:rsidRDefault="00D667A7" w:rsidP="00F51D3A">
      <w:pPr>
        <w:pStyle w:val="SingleTxt"/>
        <w:ind w:left="2218" w:hanging="951"/>
      </w:pPr>
      <w:r w:rsidRPr="00353D6B">
        <w:t>«24.8</w:t>
      </w:r>
      <w:proofErr w:type="gramStart"/>
      <w:r w:rsidRPr="00353D6B">
        <w:tab/>
        <w:t>Н</w:t>
      </w:r>
      <w:proofErr w:type="gramEnd"/>
      <w:r w:rsidRPr="00353D6B">
        <w:t>ачиная с официальной даты вступления в силу поправок серии 02 к настоящим Правилам ни одна из Договаривающихся сторон, примен</w:t>
      </w:r>
      <w:r w:rsidRPr="00353D6B">
        <w:t>я</w:t>
      </w:r>
      <w:r w:rsidRPr="00353D6B">
        <w:t>ющих настоящие Правила, не отказывает в предоставлении или пр</w:t>
      </w:r>
      <w:r w:rsidRPr="00353D6B">
        <w:t>и</w:t>
      </w:r>
      <w:r w:rsidRPr="00353D6B">
        <w:t>знании официального утверждения типа на основании настоящих Пр</w:t>
      </w:r>
      <w:r w:rsidRPr="00353D6B">
        <w:t>а</w:t>
      </w:r>
      <w:r w:rsidRPr="00353D6B">
        <w:t>вил с внесенными в них поправками серии 02.</w:t>
      </w:r>
    </w:p>
    <w:p w:rsidR="00BA555F" w:rsidRPr="00BA555F" w:rsidRDefault="00BA555F" w:rsidP="00BA555F">
      <w:pPr>
        <w:pStyle w:val="SingleTxt"/>
        <w:ind w:left="2218" w:hanging="951"/>
      </w:pPr>
      <w:r w:rsidRPr="00BA555F">
        <w:t>24.9</w:t>
      </w:r>
      <w:proofErr w:type="gramStart"/>
      <w:r w:rsidRPr="00BA555F">
        <w:tab/>
      </w:r>
      <w:r w:rsidRPr="00BA555F">
        <w:tab/>
        <w:t>Н</w:t>
      </w:r>
      <w:proofErr w:type="gramEnd"/>
      <w:r w:rsidRPr="00BA555F">
        <w:t>ачиная с 1 сентября 2017 года Договаривающиеся стороны, прим</w:t>
      </w:r>
      <w:r w:rsidRPr="00BA555F">
        <w:t>е</w:t>
      </w:r>
      <w:r w:rsidRPr="00BA555F">
        <w:t>няющие настоящие Правила, предоставляют официальные утвержд</w:t>
      </w:r>
      <w:r w:rsidRPr="00BA555F">
        <w:t>е</w:t>
      </w:r>
      <w:r w:rsidRPr="00BA555F">
        <w:t>ния только в том случае, если подлежащий официальному утвержд</w:t>
      </w:r>
      <w:r w:rsidRPr="00BA555F">
        <w:t>е</w:t>
      </w:r>
      <w:r w:rsidRPr="00BA555F">
        <w:t>нию тип элементов оборудования отвечает требованиям части I наст</w:t>
      </w:r>
      <w:r w:rsidRPr="00BA555F">
        <w:t>о</w:t>
      </w:r>
      <w:r w:rsidRPr="00BA555F">
        <w:t>ящих Правил с поправками серии 02 к настоящим Правилам.</w:t>
      </w:r>
    </w:p>
    <w:p w:rsidR="00BA555F" w:rsidRPr="00353D6B" w:rsidRDefault="00BA555F" w:rsidP="00BA555F">
      <w:pPr>
        <w:pStyle w:val="SingleTxt"/>
        <w:ind w:left="2218" w:hanging="951"/>
      </w:pPr>
      <w:r w:rsidRPr="00BA555F">
        <w:t>24.10</w:t>
      </w:r>
      <w:proofErr w:type="gramStart"/>
      <w:r w:rsidRPr="00BA555F">
        <w:tab/>
        <w:t>Н</w:t>
      </w:r>
      <w:proofErr w:type="gramEnd"/>
      <w:r w:rsidRPr="00BA555F">
        <w:t>ачиная с 1 сентября 2018 года Договаривающиеся стороны, прим</w:t>
      </w:r>
      <w:r w:rsidRPr="00BA555F">
        <w:t>е</w:t>
      </w:r>
      <w:r w:rsidRPr="00BA555F">
        <w:t>няющие настоящие Правила, предоставляют официальные утвержд</w:t>
      </w:r>
      <w:r w:rsidRPr="00BA555F">
        <w:t>е</w:t>
      </w:r>
      <w:r w:rsidRPr="00BA555F">
        <w:t>ния только в том случае, если подлежащий официальному утвержд</w:t>
      </w:r>
      <w:r w:rsidRPr="00BA555F">
        <w:t>е</w:t>
      </w:r>
      <w:r w:rsidRPr="00BA555F">
        <w:t>нию тип транспортного средства отвечает требованиям части II наст</w:t>
      </w:r>
      <w:r w:rsidRPr="00BA555F">
        <w:t>о</w:t>
      </w:r>
      <w:r w:rsidRPr="00BA555F">
        <w:t>ящих Правил с поправками серии 02 к настоящим Правилам.</w:t>
      </w:r>
    </w:p>
    <w:p w:rsidR="00D667A7" w:rsidRPr="00353D6B" w:rsidRDefault="00D667A7" w:rsidP="00F51D3A">
      <w:pPr>
        <w:pStyle w:val="SingleTxt"/>
        <w:ind w:left="2218" w:hanging="951"/>
        <w:rPr>
          <w:iCs/>
        </w:rPr>
      </w:pPr>
      <w:r w:rsidRPr="00353D6B">
        <w:rPr>
          <w:iCs/>
        </w:rPr>
        <w:lastRenderedPageBreak/>
        <w:t>24.11</w:t>
      </w:r>
      <w:proofErr w:type="gramStart"/>
      <w:r w:rsidRPr="00353D6B">
        <w:rPr>
          <w:iCs/>
        </w:rPr>
        <w:tab/>
        <w:t>Н</w:t>
      </w:r>
      <w:proofErr w:type="gramEnd"/>
      <w:r w:rsidRPr="00353D6B">
        <w:rPr>
          <w:iCs/>
        </w:rPr>
        <w:t>ачиная с 1 сентября 2019 года Договаривающиеся стороны, прим</w:t>
      </w:r>
      <w:r w:rsidRPr="00353D6B">
        <w:rPr>
          <w:iCs/>
        </w:rPr>
        <w:t>е</w:t>
      </w:r>
      <w:r w:rsidRPr="00353D6B">
        <w:rPr>
          <w:iCs/>
        </w:rPr>
        <w:t>няющие настоящие Правила, могут отказывать в признании официал</w:t>
      </w:r>
      <w:r w:rsidRPr="00353D6B">
        <w:rPr>
          <w:iCs/>
        </w:rPr>
        <w:t>ь</w:t>
      </w:r>
      <w:r w:rsidRPr="00353D6B">
        <w:rPr>
          <w:iCs/>
        </w:rPr>
        <w:t>ных утверждений типа транспортного средства, которые не были предоставлены в соответствии с частью II настоящих Правил с п</w:t>
      </w:r>
      <w:r w:rsidRPr="00353D6B">
        <w:rPr>
          <w:iCs/>
        </w:rPr>
        <w:t>о</w:t>
      </w:r>
      <w:r w:rsidRPr="00353D6B">
        <w:rPr>
          <w:iCs/>
        </w:rPr>
        <w:t>правками серии 02 к настоящим Правилам.</w:t>
      </w:r>
    </w:p>
    <w:p w:rsidR="00D667A7" w:rsidRPr="00353D6B" w:rsidRDefault="00D667A7" w:rsidP="00F51D3A">
      <w:pPr>
        <w:pStyle w:val="SingleTxt"/>
        <w:ind w:left="2218" w:hanging="951"/>
        <w:rPr>
          <w:i/>
        </w:rPr>
      </w:pPr>
      <w:r w:rsidRPr="00353D6B">
        <w:rPr>
          <w:iCs/>
        </w:rPr>
        <w:t>24.12</w:t>
      </w:r>
      <w:r w:rsidRPr="00353D6B">
        <w:rPr>
          <w:iCs/>
        </w:rPr>
        <w:tab/>
        <w:t>Договаривающиеся стороны, применяющие настоящие Правила, не о</w:t>
      </w:r>
      <w:r w:rsidRPr="00353D6B">
        <w:rPr>
          <w:iCs/>
        </w:rPr>
        <w:t>т</w:t>
      </w:r>
      <w:r w:rsidRPr="00353D6B">
        <w:rPr>
          <w:iCs/>
        </w:rPr>
        <w:t>казывают в распространении официальных утверждений на существ</w:t>
      </w:r>
      <w:r w:rsidRPr="00353D6B">
        <w:rPr>
          <w:iCs/>
        </w:rPr>
        <w:t>у</w:t>
      </w:r>
      <w:r w:rsidRPr="00353D6B">
        <w:rPr>
          <w:iCs/>
        </w:rPr>
        <w:t>ющие типы элементов оборудования или типы транспортных средств, предоставленных в соответствии с настоящими Правилами, без учета положений поправок серии 02 к настоящим Правилам.</w:t>
      </w:r>
    </w:p>
    <w:p w:rsidR="00D667A7" w:rsidRPr="00353D6B" w:rsidRDefault="00D667A7" w:rsidP="00F51D3A">
      <w:pPr>
        <w:pStyle w:val="SingleTxt"/>
        <w:ind w:left="2218" w:hanging="951"/>
        <w:rPr>
          <w:iCs/>
        </w:rPr>
      </w:pPr>
      <w:r w:rsidRPr="00353D6B">
        <w:rPr>
          <w:iCs/>
        </w:rPr>
        <w:t>24.13</w:t>
      </w:r>
      <w:r w:rsidRPr="00353D6B">
        <w:rPr>
          <w:iCs/>
        </w:rPr>
        <w:tab/>
        <w:t>Независимо от пунктов 24.11 и 24.12 Договаривающиеся стороны, применяющие настоящие Правила, продолжают признавать официал</w:t>
      </w:r>
      <w:r w:rsidRPr="00353D6B">
        <w:rPr>
          <w:iCs/>
        </w:rPr>
        <w:t>ь</w:t>
      </w:r>
      <w:r w:rsidRPr="00353D6B">
        <w:rPr>
          <w:iCs/>
        </w:rPr>
        <w:t>ные утверждения типа, предоставленные на основании поправок предыдущих серий, которые не затронуты поправками серии 02.</w:t>
      </w:r>
    </w:p>
    <w:p w:rsidR="00D667A7" w:rsidRPr="00353D6B" w:rsidRDefault="00D667A7" w:rsidP="00F51D3A">
      <w:pPr>
        <w:pStyle w:val="SingleTxt"/>
        <w:ind w:left="2218" w:hanging="951"/>
        <w:rPr>
          <w:iCs/>
        </w:rPr>
      </w:pPr>
      <w:r w:rsidRPr="00353D6B">
        <w:rPr>
          <w:rFonts w:hint="eastAsia"/>
          <w:iCs/>
        </w:rPr>
        <w:t>24</w:t>
      </w:r>
      <w:r w:rsidRPr="00353D6B">
        <w:rPr>
          <w:iCs/>
        </w:rPr>
        <w:t>.14</w:t>
      </w:r>
      <w:r w:rsidRPr="00353D6B">
        <w:rPr>
          <w:iCs/>
        </w:rPr>
        <w:tab/>
        <w:t>Независимо от переходных положений, изложенных выше, Договар</w:t>
      </w:r>
      <w:r w:rsidRPr="00353D6B">
        <w:rPr>
          <w:iCs/>
        </w:rPr>
        <w:t>и</w:t>
      </w:r>
      <w:r w:rsidRPr="00353D6B">
        <w:rPr>
          <w:iCs/>
        </w:rPr>
        <w:t>вающиеся стороны, для которых настоящие Правила начинают прим</w:t>
      </w:r>
      <w:r w:rsidRPr="00353D6B">
        <w:rPr>
          <w:iCs/>
        </w:rPr>
        <w:t>е</w:t>
      </w:r>
      <w:r w:rsidRPr="00353D6B">
        <w:rPr>
          <w:iCs/>
        </w:rPr>
        <w:t>няться после даты вступления в силу самой последней серии попр</w:t>
      </w:r>
      <w:r w:rsidRPr="00353D6B">
        <w:rPr>
          <w:iCs/>
        </w:rPr>
        <w:t>а</w:t>
      </w:r>
      <w:r w:rsidRPr="00353D6B">
        <w:rPr>
          <w:iCs/>
        </w:rPr>
        <w:t>вок, обязаны признавать только официальные утверждения типа, кот</w:t>
      </w:r>
      <w:r w:rsidRPr="00353D6B">
        <w:rPr>
          <w:iCs/>
        </w:rPr>
        <w:t>о</w:t>
      </w:r>
      <w:r w:rsidRPr="00353D6B">
        <w:rPr>
          <w:iCs/>
        </w:rPr>
        <w:t>рые были предоставлены в соответствии с поправками серии 02»</w:t>
      </w:r>
      <w:r w:rsidRPr="00353D6B">
        <w:t>.</w:t>
      </w:r>
    </w:p>
    <w:p w:rsidR="00D667A7" w:rsidRPr="00353D6B" w:rsidRDefault="00D667A7" w:rsidP="00D667A7">
      <w:pPr>
        <w:pStyle w:val="SingleTxt"/>
      </w:pPr>
      <w:r w:rsidRPr="00353D6B">
        <w:rPr>
          <w:i/>
        </w:rPr>
        <w:t xml:space="preserve">По всему тексту приложений 2А и 2С </w:t>
      </w:r>
      <w:r w:rsidRPr="00353D6B">
        <w:t>заменить обозначение «01» на «02» (д</w:t>
      </w:r>
      <w:r w:rsidRPr="00353D6B">
        <w:t>е</w:t>
      </w:r>
      <w:r w:rsidRPr="00353D6B">
        <w:t>вять раз).</w:t>
      </w:r>
    </w:p>
    <w:p w:rsidR="00F51D3A" w:rsidRDefault="00D667A7" w:rsidP="00D667A7">
      <w:pPr>
        <w:pStyle w:val="SingleTxt"/>
        <w:rPr>
          <w:i/>
        </w:rPr>
      </w:pPr>
      <w:r w:rsidRPr="00353D6B">
        <w:rPr>
          <w:i/>
        </w:rPr>
        <w:t>Приложение 3</w:t>
      </w:r>
    </w:p>
    <w:p w:rsidR="00D667A7" w:rsidRPr="00353D6B" w:rsidRDefault="00F51D3A" w:rsidP="00D667A7">
      <w:pPr>
        <w:pStyle w:val="SingleTxt"/>
      </w:pPr>
      <w:r>
        <w:rPr>
          <w:i/>
        </w:rPr>
        <w:t>П</w:t>
      </w:r>
      <w:r w:rsidR="00D667A7" w:rsidRPr="00353D6B">
        <w:rPr>
          <w:i/>
        </w:rPr>
        <w:t>ункт 1.</w:t>
      </w:r>
      <w:r w:rsidR="00D667A7" w:rsidRPr="00353D6B">
        <w:rPr>
          <w:rFonts w:hint="eastAsia"/>
          <w:i/>
        </w:rPr>
        <w:t>1</w:t>
      </w:r>
      <w:r w:rsidR="00D667A7" w:rsidRPr="00353D6B">
        <w:rPr>
          <w:i/>
        </w:rPr>
        <w:t xml:space="preserve"> </w:t>
      </w:r>
      <w:r w:rsidR="00D667A7" w:rsidRPr="00353D6B">
        <w:t>изменить следующим образом:</w:t>
      </w:r>
    </w:p>
    <w:p w:rsidR="00D667A7" w:rsidRPr="00353D6B" w:rsidRDefault="00D667A7" w:rsidP="00F51D3A">
      <w:pPr>
        <w:pStyle w:val="SingleTxt"/>
        <w:ind w:left="2218" w:hanging="951"/>
      </w:pPr>
      <w:r w:rsidRPr="00353D6B">
        <w:t>«</w:t>
      </w:r>
      <w:r w:rsidRPr="00353D6B">
        <w:rPr>
          <w:rFonts w:hint="eastAsia"/>
        </w:rPr>
        <w:t>1.1</w:t>
      </w:r>
      <w:proofErr w:type="gramStart"/>
      <w:r w:rsidRPr="00353D6B">
        <w:tab/>
      </w:r>
      <w:r w:rsidRPr="00353D6B">
        <w:tab/>
        <w:t>В</w:t>
      </w:r>
      <w:proofErr w:type="gramEnd"/>
      <w:r w:rsidRPr="00353D6B">
        <w:t xml:space="preserve"> приложении 3А излагаются минимальные требования, предъявля</w:t>
      </w:r>
      <w:r w:rsidRPr="00353D6B">
        <w:t>е</w:t>
      </w:r>
      <w:r w:rsidRPr="00353D6B">
        <w:t>мые к легким заряжаемым газовым баллонам. Такие баллоны предн</w:t>
      </w:r>
      <w:r w:rsidRPr="00353D6B">
        <w:t>а</w:t>
      </w:r>
      <w:r w:rsidRPr="00353D6B">
        <w:t>значены для использования только в целях бортового хранения ко</w:t>
      </w:r>
      <w:r w:rsidRPr="00353D6B">
        <w:t>м</w:t>
      </w:r>
      <w:r w:rsidRPr="00353D6B">
        <w:t>примированного природного газа под высоким давлением в качестве топлива для автотранспортных средств, на которых эти баллоны уст</w:t>
      </w:r>
      <w:r w:rsidRPr="00353D6B">
        <w:t>а</w:t>
      </w:r>
      <w:r w:rsidRPr="00353D6B">
        <w:t>навливаются. Баллоны могут быть изготовлены любым методом из любой марки стали, алюминия или неметаллического материала и иметь любую конструкцию, которая соответствует установленным условиям эксплуатации. Настоящее приложение распространяется также на металлические корпуса из нержавеющей стали, имеющие бесшовную конструкцию».</w:t>
      </w:r>
    </w:p>
    <w:p w:rsidR="00D667A7" w:rsidRPr="00353D6B" w:rsidRDefault="00D667A7" w:rsidP="00D667A7">
      <w:pPr>
        <w:pStyle w:val="SingleTxt"/>
        <w:rPr>
          <w:i/>
        </w:rPr>
      </w:pPr>
      <w:r w:rsidRPr="00353D6B">
        <w:rPr>
          <w:i/>
        </w:rPr>
        <w:t>Приложение 3</w:t>
      </w:r>
      <w:r w:rsidRPr="00353D6B">
        <w:rPr>
          <w:rFonts w:hint="eastAsia"/>
          <w:i/>
          <w:lang w:val="en-GB"/>
        </w:rPr>
        <w:t>A</w:t>
      </w:r>
    </w:p>
    <w:p w:rsidR="00D667A7" w:rsidRPr="00353D6B" w:rsidRDefault="00D667A7" w:rsidP="00D667A7">
      <w:pPr>
        <w:pStyle w:val="SingleTxt"/>
      </w:pPr>
      <w:r w:rsidRPr="00353D6B">
        <w:rPr>
          <w:i/>
        </w:rPr>
        <w:t>Пункты 6.3.2.4 и 6.3.2.5</w:t>
      </w:r>
      <w:r w:rsidRPr="00353D6B">
        <w:t xml:space="preserve"> исключить.</w:t>
      </w:r>
    </w:p>
    <w:p w:rsidR="00D667A7" w:rsidRPr="00353D6B" w:rsidRDefault="00D667A7" w:rsidP="00F51D3A">
      <w:pPr>
        <w:pStyle w:val="SingleTxt"/>
      </w:pPr>
      <w:r w:rsidRPr="00353D6B">
        <w:rPr>
          <w:i/>
        </w:rPr>
        <w:t>Пункт 6.3.2.</w:t>
      </w:r>
      <w:r w:rsidRPr="00353D6B">
        <w:rPr>
          <w:rFonts w:hint="eastAsia"/>
          <w:i/>
        </w:rPr>
        <w:t>6</w:t>
      </w:r>
      <w:r w:rsidRPr="00353D6B">
        <w:rPr>
          <w:i/>
        </w:rPr>
        <w:t xml:space="preserve"> (прежний)</w:t>
      </w:r>
      <w:r w:rsidRPr="00353D6B">
        <w:t>, изменить нумерацию на 6.3.2.</w:t>
      </w:r>
      <w:r w:rsidRPr="00353D6B">
        <w:rPr>
          <w:rFonts w:hint="eastAsia"/>
        </w:rPr>
        <w:t>4</w:t>
      </w:r>
      <w:r w:rsidRPr="00353D6B">
        <w:t>, а те</w:t>
      </w:r>
      <w:proofErr w:type="gramStart"/>
      <w:r w:rsidRPr="00353D6B">
        <w:t>кст сл</w:t>
      </w:r>
      <w:proofErr w:type="gramEnd"/>
      <w:r w:rsidRPr="00353D6B">
        <w:t>едующим о</w:t>
      </w:r>
      <w:r w:rsidRPr="00353D6B">
        <w:t>б</w:t>
      </w:r>
      <w:r w:rsidRPr="00353D6B">
        <w:t>разом</w:t>
      </w:r>
      <w:r w:rsidRPr="00353D6B">
        <w:rPr>
          <w:rFonts w:hint="eastAsia"/>
        </w:rPr>
        <w:t>:</w:t>
      </w:r>
    </w:p>
    <w:p w:rsidR="00D667A7" w:rsidRPr="00353D6B" w:rsidRDefault="00D667A7" w:rsidP="00F51D3A">
      <w:pPr>
        <w:pStyle w:val="SingleTxt"/>
      </w:pPr>
      <w:r w:rsidRPr="00353D6B">
        <w:t>«6.3.2.</w:t>
      </w:r>
      <w:r w:rsidRPr="00353D6B">
        <w:rPr>
          <w:rFonts w:hint="eastAsia"/>
        </w:rPr>
        <w:t>4</w:t>
      </w:r>
      <w:r w:rsidRPr="00353D6B">
        <w:tab/>
        <w:t>Сопротивление растрескиванию под действием сульфидов</w:t>
      </w:r>
    </w:p>
    <w:p w:rsidR="00D667A7" w:rsidRPr="00353D6B" w:rsidRDefault="00D667A7" w:rsidP="00F51D3A">
      <w:pPr>
        <w:pStyle w:val="SingleTxt"/>
        <w:ind w:left="2218" w:hanging="951"/>
      </w:pPr>
      <w:r w:rsidRPr="00353D6B">
        <w:tab/>
      </w:r>
      <w:r w:rsidRPr="00353D6B">
        <w:tab/>
        <w:t>Предел прочности на растяжение изготовленного баллона из стали не должен превышать 1 200 МПа. Если верхнее значение предписанных пределов прочности на растяжение для стали превышает 950</w:t>
      </w:r>
      <w:r w:rsidRPr="00353D6B">
        <w:rPr>
          <w:lang w:val="en-GB"/>
        </w:rPr>
        <w:t> </w:t>
      </w:r>
      <w:r w:rsidRPr="00353D6B">
        <w:t>МПа, то сталь, из которой изготовлен баллон, подвергают испытанию на сопр</w:t>
      </w:r>
      <w:r w:rsidRPr="00353D6B">
        <w:t>о</w:t>
      </w:r>
      <w:r w:rsidRPr="00353D6B">
        <w:t>тивление растрескиванию под действием сульфидов в соответствии с пунктом</w:t>
      </w:r>
      <w:r w:rsidRPr="00353D6B">
        <w:rPr>
          <w:lang w:val="en-GB"/>
        </w:rPr>
        <w:t> A</w:t>
      </w:r>
      <w:r w:rsidRPr="00353D6B">
        <w:t>.3 добавлени</w:t>
      </w:r>
      <w:r w:rsidR="00F51D3A">
        <w:t>я</w:t>
      </w:r>
      <w:r w:rsidRPr="00353D6B">
        <w:t xml:space="preserve"> </w:t>
      </w:r>
      <w:r w:rsidRPr="00353D6B">
        <w:rPr>
          <w:lang w:val="en-GB"/>
        </w:rPr>
        <w:t>A</w:t>
      </w:r>
      <w:r w:rsidRPr="00353D6B">
        <w:t xml:space="preserve"> к настоящему </w:t>
      </w:r>
      <w:proofErr w:type="gramStart"/>
      <w:r w:rsidRPr="00353D6B">
        <w:t>приложению</w:t>
      </w:r>
      <w:proofErr w:type="gramEnd"/>
      <w:r w:rsidRPr="00353D6B">
        <w:t xml:space="preserve"> и она должна удовлетворять содержащимся в нем требованиям».</w:t>
      </w:r>
    </w:p>
    <w:p w:rsidR="00D667A7" w:rsidRPr="00353D6B" w:rsidRDefault="00D667A7" w:rsidP="00D667A7">
      <w:pPr>
        <w:pStyle w:val="SingleTxt"/>
        <w:rPr>
          <w:iCs/>
        </w:rPr>
      </w:pPr>
      <w:r w:rsidRPr="00353D6B">
        <w:rPr>
          <w:i/>
        </w:rPr>
        <w:t xml:space="preserve">Пункт 6.12, </w:t>
      </w:r>
      <w:r w:rsidRPr="00353D6B">
        <w:rPr>
          <w:iCs/>
        </w:rPr>
        <w:t>заменить «Внешнюю защиту можно обеспечить» на «Внешнюю з</w:t>
      </w:r>
      <w:r w:rsidRPr="00353D6B">
        <w:rPr>
          <w:iCs/>
        </w:rPr>
        <w:t>а</w:t>
      </w:r>
      <w:r w:rsidRPr="00353D6B">
        <w:rPr>
          <w:iCs/>
        </w:rPr>
        <w:t>щиту обеспечивают».</w:t>
      </w:r>
    </w:p>
    <w:p w:rsidR="00D667A7" w:rsidRPr="00353D6B" w:rsidRDefault="0039167D" w:rsidP="00D667A7">
      <w:pPr>
        <w:pStyle w:val="SingleTxt"/>
      </w:pPr>
      <w:r>
        <w:rPr>
          <w:i/>
        </w:rPr>
        <w:br w:type="page"/>
      </w:r>
      <w:r w:rsidR="00D667A7" w:rsidRPr="00353D6B">
        <w:rPr>
          <w:i/>
        </w:rPr>
        <w:lastRenderedPageBreak/>
        <w:t>Таблицу 6.1</w:t>
      </w:r>
      <w:r w:rsidR="00D667A7" w:rsidRPr="00353D6B">
        <w:t xml:space="preserve"> изменить следующим образом: </w:t>
      </w:r>
    </w:p>
    <w:p w:rsidR="00D667A7" w:rsidRPr="00F51D3A" w:rsidRDefault="00D667A7" w:rsidP="00F51D3A">
      <w:pPr>
        <w:pStyle w:val="SingleTxt"/>
        <w:jc w:val="left"/>
        <w:rPr>
          <w:b/>
          <w:bCs/>
        </w:rPr>
      </w:pPr>
      <w:r w:rsidRPr="00353D6B">
        <w:t>«Таблица 6.1</w:t>
      </w:r>
      <w:r w:rsidRPr="00353D6B">
        <w:br/>
      </w:r>
      <w:r w:rsidRPr="00F51D3A">
        <w:rPr>
          <w:b/>
          <w:bCs/>
        </w:rPr>
        <w:t xml:space="preserve">Испытание на проверку соответствия материалов конструкции </w:t>
      </w:r>
      <w:r w:rsidR="007369AF">
        <w:rPr>
          <w:b/>
          <w:bCs/>
        </w:rPr>
        <w:br/>
      </w:r>
      <w:r w:rsidRPr="00F51D3A">
        <w:rPr>
          <w:b/>
          <w:bCs/>
        </w:rPr>
        <w:t>установленным требованиям</w:t>
      </w:r>
    </w:p>
    <w:p w:rsidR="00D667A7" w:rsidRPr="00F51D3A" w:rsidRDefault="00D667A7" w:rsidP="00F51D3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792"/>
        <w:gridCol w:w="783"/>
        <w:gridCol w:w="819"/>
        <w:gridCol w:w="742"/>
        <w:gridCol w:w="900"/>
      </w:tblGrid>
      <w:tr w:rsidR="00D667A7" w:rsidRPr="00353D6B" w:rsidTr="00F51D3A">
        <w:trPr>
          <w:cantSplit/>
          <w:tblHeader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80" w:after="80" w:line="160" w:lineRule="exact"/>
              <w:ind w:left="72" w:right="0"/>
              <w:jc w:val="left"/>
              <w:rPr>
                <w:i/>
                <w:sz w:val="14"/>
                <w:szCs w:val="14"/>
              </w:rPr>
            </w:pP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80" w:after="80" w:line="160" w:lineRule="exact"/>
              <w:ind w:left="0" w:right="0"/>
              <w:jc w:val="center"/>
              <w:rPr>
                <w:i/>
                <w:sz w:val="14"/>
                <w:szCs w:val="14"/>
                <w:lang w:val="en-US"/>
              </w:rPr>
            </w:pPr>
            <w:r w:rsidRPr="00353D6B">
              <w:rPr>
                <w:i/>
                <w:sz w:val="14"/>
                <w:szCs w:val="14"/>
              </w:rPr>
              <w:t>Соответствующий пункт настоящего приложения</w:t>
            </w:r>
          </w:p>
        </w:tc>
      </w:tr>
      <w:tr w:rsidR="00D667A7" w:rsidRPr="00353D6B" w:rsidTr="00F51D3A">
        <w:trPr>
          <w:cantSplit/>
          <w:tblHeader/>
        </w:trPr>
        <w:tc>
          <w:tcPr>
            <w:tcW w:w="35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80" w:after="80" w:line="160" w:lineRule="exact"/>
              <w:ind w:left="72" w:right="0"/>
              <w:jc w:val="left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80" w:after="80" w:line="160" w:lineRule="exact"/>
              <w:ind w:left="0" w:right="0"/>
              <w:jc w:val="center"/>
              <w:rPr>
                <w:i/>
                <w:sz w:val="14"/>
                <w:szCs w:val="14"/>
              </w:rPr>
            </w:pPr>
            <w:r w:rsidRPr="00353D6B">
              <w:rPr>
                <w:i/>
                <w:sz w:val="14"/>
                <w:szCs w:val="14"/>
              </w:rPr>
              <w:t>Сталь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80" w:after="80" w:line="160" w:lineRule="exact"/>
              <w:ind w:left="0" w:right="0"/>
              <w:jc w:val="center"/>
              <w:rPr>
                <w:i/>
                <w:sz w:val="14"/>
                <w:szCs w:val="14"/>
              </w:rPr>
            </w:pPr>
            <w:r w:rsidRPr="00353D6B">
              <w:rPr>
                <w:i/>
                <w:sz w:val="14"/>
                <w:szCs w:val="14"/>
              </w:rPr>
              <w:t>Алюминий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80" w:after="80" w:line="160" w:lineRule="exact"/>
              <w:ind w:left="0" w:right="0"/>
              <w:jc w:val="center"/>
              <w:rPr>
                <w:i/>
                <w:sz w:val="14"/>
                <w:szCs w:val="14"/>
              </w:rPr>
            </w:pPr>
            <w:r w:rsidRPr="00353D6B">
              <w:rPr>
                <w:i/>
                <w:sz w:val="14"/>
                <w:szCs w:val="14"/>
              </w:rPr>
              <w:t>Смолы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80" w:after="80" w:line="160" w:lineRule="exact"/>
              <w:ind w:left="0" w:right="0"/>
              <w:jc w:val="center"/>
              <w:rPr>
                <w:i/>
                <w:sz w:val="14"/>
                <w:szCs w:val="14"/>
              </w:rPr>
            </w:pPr>
            <w:r w:rsidRPr="00353D6B">
              <w:rPr>
                <w:i/>
                <w:sz w:val="14"/>
                <w:szCs w:val="14"/>
              </w:rPr>
              <w:t>Волокна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A7" w:rsidRPr="00353D6B" w:rsidRDefault="00D667A7" w:rsidP="00F51D3A">
            <w:pPr>
              <w:pStyle w:val="SingleTxt"/>
              <w:spacing w:before="80" w:after="80" w:line="160" w:lineRule="exact"/>
              <w:ind w:left="0" w:right="0"/>
              <w:jc w:val="center"/>
              <w:rPr>
                <w:i/>
                <w:sz w:val="14"/>
                <w:szCs w:val="14"/>
              </w:rPr>
            </w:pPr>
            <w:r w:rsidRPr="00353D6B">
              <w:rPr>
                <w:i/>
                <w:sz w:val="14"/>
                <w:szCs w:val="14"/>
              </w:rPr>
              <w:t>Пластич</w:t>
            </w:r>
            <w:r w:rsidRPr="00353D6B">
              <w:rPr>
                <w:i/>
                <w:sz w:val="14"/>
                <w:szCs w:val="14"/>
              </w:rPr>
              <w:t>е</w:t>
            </w:r>
            <w:r w:rsidRPr="00353D6B">
              <w:rPr>
                <w:i/>
                <w:sz w:val="14"/>
                <w:szCs w:val="14"/>
              </w:rPr>
              <w:t>ские корпуса</w:t>
            </w:r>
          </w:p>
        </w:tc>
      </w:tr>
      <w:tr w:rsidR="00D667A7" w:rsidRPr="00353D6B" w:rsidTr="00F51D3A">
        <w:trPr>
          <w:cantSplit/>
          <w:trHeight w:hRule="exact" w:val="115"/>
          <w:tblHeader/>
        </w:trPr>
        <w:tc>
          <w:tcPr>
            <w:tcW w:w="35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after="0"/>
              <w:ind w:left="72" w:right="0"/>
              <w:jc w:val="left"/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A7" w:rsidRPr="00353D6B" w:rsidRDefault="00D667A7" w:rsidP="00F51D3A">
            <w:pPr>
              <w:pStyle w:val="SingleTxt"/>
              <w:spacing w:after="0"/>
              <w:ind w:left="0" w:right="0"/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A7" w:rsidRPr="00353D6B" w:rsidRDefault="00D667A7" w:rsidP="00F51D3A">
            <w:pPr>
              <w:pStyle w:val="SingleTxt"/>
              <w:spacing w:after="0"/>
              <w:ind w:left="0" w:right="0"/>
              <w:jc w:val="center"/>
            </w:pP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A7" w:rsidRPr="00353D6B" w:rsidRDefault="00D667A7" w:rsidP="00F51D3A">
            <w:pPr>
              <w:pStyle w:val="SingleTxt"/>
              <w:spacing w:after="0"/>
              <w:ind w:left="0" w:right="0"/>
              <w:jc w:val="center"/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A7" w:rsidRPr="00353D6B" w:rsidRDefault="00D667A7" w:rsidP="00F51D3A">
            <w:pPr>
              <w:pStyle w:val="SingleTxt"/>
              <w:spacing w:after="0"/>
              <w:ind w:left="0" w:right="0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A7" w:rsidRPr="00353D6B" w:rsidRDefault="00D667A7" w:rsidP="00F51D3A">
            <w:pPr>
              <w:pStyle w:val="SingleTxt"/>
              <w:spacing w:after="0"/>
              <w:ind w:left="0" w:right="0"/>
              <w:jc w:val="center"/>
            </w:pPr>
          </w:p>
        </w:tc>
      </w:tr>
      <w:tr w:rsidR="00D667A7" w:rsidRPr="00353D6B" w:rsidTr="00F51D3A">
        <w:trPr>
          <w:cantSplit/>
        </w:trPr>
        <w:tc>
          <w:tcPr>
            <w:tcW w:w="3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30" w:after="30"/>
              <w:ind w:left="72" w:right="0"/>
              <w:jc w:val="left"/>
            </w:pPr>
            <w:r w:rsidRPr="00353D6B">
              <w:t>Растяжимость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6.3.2.2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6.3.3.4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6.3.6</w:t>
            </w:r>
          </w:p>
        </w:tc>
      </w:tr>
      <w:tr w:rsidR="00D667A7" w:rsidRPr="00353D6B" w:rsidTr="00F51D3A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30" w:after="30"/>
              <w:ind w:left="72" w:right="0"/>
              <w:jc w:val="left"/>
            </w:pPr>
            <w:proofErr w:type="spellStart"/>
            <w:r w:rsidRPr="00353D6B">
              <w:t>Ударопрочность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6.3.2.3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</w:tr>
      <w:tr w:rsidR="00D667A7" w:rsidRPr="00353D6B" w:rsidTr="00F51D3A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30" w:after="30"/>
              <w:ind w:left="72" w:right="0"/>
              <w:jc w:val="left"/>
            </w:pPr>
            <w:proofErr w:type="spellStart"/>
            <w:r w:rsidRPr="00353D6B">
              <w:t>Трещиностойкость</w:t>
            </w:r>
            <w:proofErr w:type="spellEnd"/>
            <w:r w:rsidRPr="00353D6B">
              <w:t xml:space="preserve"> в условиях </w:t>
            </w:r>
            <w:r w:rsidRPr="00353D6B">
              <w:br/>
              <w:t>действия сульфидов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6.3.2.4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</w:tr>
      <w:tr w:rsidR="00D667A7" w:rsidRPr="00353D6B" w:rsidTr="00F51D3A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30" w:after="30"/>
              <w:ind w:left="72" w:right="0"/>
              <w:jc w:val="left"/>
            </w:pPr>
            <w:proofErr w:type="spellStart"/>
            <w:r w:rsidRPr="00353D6B">
              <w:t>Трещиностойкость</w:t>
            </w:r>
            <w:proofErr w:type="spellEnd"/>
            <w:r w:rsidRPr="00353D6B">
              <w:t xml:space="preserve"> в условиях </w:t>
            </w:r>
            <w:r w:rsidRPr="00353D6B">
              <w:br/>
              <w:t>действия постоянной нагрузки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6.3.3.3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</w:tr>
      <w:tr w:rsidR="00D667A7" w:rsidRPr="00353D6B" w:rsidTr="00F51D3A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30" w:after="30"/>
              <w:ind w:left="72" w:right="0"/>
              <w:jc w:val="left"/>
            </w:pPr>
            <w:r w:rsidRPr="00353D6B">
              <w:t>Коррозионное растрескивание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6.3.3.2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</w:tr>
      <w:tr w:rsidR="00D667A7" w:rsidRPr="00353D6B" w:rsidTr="00F51D3A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30" w:after="30"/>
              <w:ind w:left="72" w:right="0"/>
              <w:jc w:val="left"/>
            </w:pPr>
            <w:r w:rsidRPr="00353D6B">
              <w:t>Предел прочности при сдвиге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6.3.4.2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</w:tr>
      <w:tr w:rsidR="00D667A7" w:rsidRPr="00353D6B" w:rsidTr="00F51D3A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30" w:after="30"/>
              <w:ind w:left="72" w:right="0"/>
              <w:jc w:val="left"/>
            </w:pPr>
            <w:r w:rsidRPr="00353D6B">
              <w:t>Температура стеклования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6.3.4.3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</w:tr>
      <w:tr w:rsidR="00D667A7" w:rsidRPr="00353D6B" w:rsidTr="00F51D3A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30" w:after="30"/>
              <w:ind w:left="72" w:right="0"/>
              <w:jc w:val="left"/>
            </w:pPr>
            <w:r w:rsidRPr="00353D6B">
              <w:t>Температура размягчения/плавления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6.3.6</w:t>
            </w:r>
          </w:p>
        </w:tc>
      </w:tr>
      <w:tr w:rsidR="00D667A7" w:rsidRPr="00353D6B" w:rsidTr="00F51D3A">
        <w:trPr>
          <w:cantSplit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A7" w:rsidRPr="00353D6B" w:rsidRDefault="00D667A7" w:rsidP="00F51D3A">
            <w:pPr>
              <w:pStyle w:val="SingleTxt"/>
              <w:spacing w:before="30" w:after="30"/>
              <w:ind w:left="72" w:right="0"/>
              <w:jc w:val="left"/>
            </w:pPr>
            <w:r w:rsidRPr="00353D6B">
              <w:t>Механика разрушения*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  <w:r w:rsidRPr="00353D6B">
              <w:t>6.7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67A7" w:rsidRPr="00353D6B" w:rsidRDefault="00D667A7" w:rsidP="00F51D3A">
            <w:pPr>
              <w:pStyle w:val="SingleTxt"/>
              <w:spacing w:before="30" w:after="30"/>
              <w:ind w:left="0" w:right="0"/>
              <w:jc w:val="center"/>
            </w:pPr>
          </w:p>
        </w:tc>
      </w:tr>
    </w:tbl>
    <w:p w:rsidR="0039167D" w:rsidRPr="0039167D" w:rsidRDefault="0039167D" w:rsidP="0039167D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hanging="288"/>
        <w:rPr>
          <w:sz w:val="10"/>
        </w:rPr>
      </w:pPr>
    </w:p>
    <w:p w:rsidR="00F962BD" w:rsidRPr="00353D6B" w:rsidRDefault="00F962BD" w:rsidP="00F51D3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353D6B">
        <w:tab/>
        <w:t>*</w:t>
      </w:r>
      <w:r w:rsidRPr="00353D6B">
        <w:tab/>
        <w:t xml:space="preserve">Не требуется в случае проведения испытания баллона на </w:t>
      </w:r>
      <w:proofErr w:type="spellStart"/>
      <w:r w:rsidRPr="00353D6B">
        <w:t>трещиностойкость</w:t>
      </w:r>
      <w:proofErr w:type="spellEnd"/>
      <w:r w:rsidRPr="00353D6B">
        <w:t xml:space="preserve">, </w:t>
      </w:r>
      <w:r w:rsidR="0039167D">
        <w:br/>
      </w:r>
      <w:r w:rsidRPr="00353D6B">
        <w:t xml:space="preserve">предусмотренного в пункте </w:t>
      </w:r>
      <w:r w:rsidRPr="00353D6B">
        <w:rPr>
          <w:lang w:val="en-GB"/>
        </w:rPr>
        <w:t>A</w:t>
      </w:r>
      <w:r w:rsidRPr="00353D6B">
        <w:t xml:space="preserve">.7 добавления </w:t>
      </w:r>
      <w:r w:rsidRPr="00353D6B">
        <w:rPr>
          <w:lang w:val="en-GB"/>
        </w:rPr>
        <w:t>A</w:t>
      </w:r>
      <w:r w:rsidRPr="00353D6B">
        <w:t xml:space="preserve"> к настоящему приложению».</w:t>
      </w:r>
    </w:p>
    <w:p w:rsidR="0039167D" w:rsidRPr="0039167D" w:rsidRDefault="0039167D" w:rsidP="0039167D">
      <w:pPr>
        <w:pStyle w:val="SingleTxt"/>
        <w:spacing w:after="0" w:line="120" w:lineRule="exact"/>
        <w:rPr>
          <w:i/>
          <w:sz w:val="10"/>
        </w:rPr>
      </w:pPr>
    </w:p>
    <w:p w:rsidR="0039167D" w:rsidRPr="0039167D" w:rsidRDefault="0039167D" w:rsidP="0039167D">
      <w:pPr>
        <w:pStyle w:val="SingleTxt"/>
        <w:spacing w:after="0" w:line="120" w:lineRule="exact"/>
        <w:rPr>
          <w:i/>
          <w:sz w:val="10"/>
        </w:rPr>
      </w:pPr>
    </w:p>
    <w:p w:rsidR="00F962BD" w:rsidRPr="00353D6B" w:rsidRDefault="00F962BD" w:rsidP="00F962BD">
      <w:pPr>
        <w:pStyle w:val="SingleTxt"/>
        <w:rPr>
          <w:i/>
        </w:rPr>
      </w:pPr>
      <w:r w:rsidRPr="00353D6B">
        <w:rPr>
          <w:i/>
        </w:rPr>
        <w:t>Приложение 3</w:t>
      </w:r>
      <w:r w:rsidRPr="00353D6B">
        <w:rPr>
          <w:rFonts w:hint="eastAsia"/>
          <w:i/>
          <w:lang w:val="en-GB"/>
        </w:rPr>
        <w:t>A</w:t>
      </w:r>
      <w:r w:rsidRPr="00353D6B">
        <w:rPr>
          <w:rFonts w:hint="eastAsia"/>
          <w:i/>
        </w:rPr>
        <w:t xml:space="preserve"> </w:t>
      </w:r>
      <w:r w:rsidRPr="00353D6B">
        <w:rPr>
          <w:i/>
        </w:rPr>
        <w:t xml:space="preserve">– Добавление </w:t>
      </w:r>
      <w:r w:rsidRPr="00353D6B">
        <w:rPr>
          <w:i/>
          <w:lang w:val="en-GB"/>
        </w:rPr>
        <w:t>A</w:t>
      </w:r>
    </w:p>
    <w:p w:rsidR="00F962BD" w:rsidRPr="00353D6B" w:rsidRDefault="00F962BD" w:rsidP="00F962BD">
      <w:pPr>
        <w:pStyle w:val="SingleTxt"/>
      </w:pPr>
      <w:r w:rsidRPr="00353D6B">
        <w:rPr>
          <w:i/>
        </w:rPr>
        <w:t xml:space="preserve">Пункты </w:t>
      </w:r>
      <w:r w:rsidRPr="00353D6B">
        <w:rPr>
          <w:i/>
          <w:lang w:val="en-GB"/>
        </w:rPr>
        <w:t>A</w:t>
      </w:r>
      <w:r w:rsidRPr="00353D6B">
        <w:rPr>
          <w:i/>
        </w:rPr>
        <w:t xml:space="preserve">.1 и </w:t>
      </w:r>
      <w:r w:rsidRPr="00353D6B">
        <w:rPr>
          <w:i/>
          <w:lang w:val="en-GB"/>
        </w:rPr>
        <w:t>A</w:t>
      </w:r>
      <w:r w:rsidRPr="00353D6B">
        <w:rPr>
          <w:i/>
        </w:rPr>
        <w:t>.2</w:t>
      </w:r>
      <w:r w:rsidRPr="00353D6B">
        <w:t xml:space="preserve"> изменить следующим образом:</w:t>
      </w:r>
    </w:p>
    <w:p w:rsidR="00F962BD" w:rsidRPr="00353D6B" w:rsidRDefault="00F962BD" w:rsidP="0039167D">
      <w:pPr>
        <w:pStyle w:val="SingleTxt"/>
      </w:pPr>
      <w:r w:rsidRPr="00353D6B">
        <w:t>«A.1</w:t>
      </w:r>
      <w:r w:rsidRPr="00353D6B">
        <w:tab/>
      </w:r>
      <w:r w:rsidRPr="00353D6B">
        <w:tab/>
      </w:r>
      <w:r w:rsidRPr="0039167D">
        <w:t>Испытания на растяжение стальных и алюминиевых образцов</w:t>
      </w:r>
    </w:p>
    <w:p w:rsidR="00F962BD" w:rsidRPr="00353D6B" w:rsidRDefault="00F962BD" w:rsidP="0039167D">
      <w:pPr>
        <w:pStyle w:val="SingleTxt"/>
        <w:ind w:left="2218" w:hanging="951"/>
      </w:pPr>
      <w:r w:rsidRPr="00353D6B">
        <w:tab/>
      </w:r>
      <w:r w:rsidRPr="00353D6B">
        <w:tab/>
        <w:t>Испытание на растяжение проводят на материале цилиндрической ч</w:t>
      </w:r>
      <w:r w:rsidRPr="00353D6B">
        <w:t>а</w:t>
      </w:r>
      <w:r w:rsidRPr="00353D6B">
        <w:t>сти готового баллона с использованием прямоугольного испытательн</w:t>
      </w:r>
      <w:r w:rsidRPr="00353D6B">
        <w:t>о</w:t>
      </w:r>
      <w:r w:rsidRPr="00353D6B">
        <w:t>го образца, вырезанного с помощью метода, описанного в станда</w:t>
      </w:r>
      <w:r w:rsidRPr="00353D6B">
        <w:t>р</w:t>
      </w:r>
      <w:r w:rsidRPr="00353D6B">
        <w:t>те</w:t>
      </w:r>
      <w:r w:rsidR="0039167D">
        <w:t> </w:t>
      </w:r>
      <w:r w:rsidRPr="00353D6B">
        <w:t>ISO 9809 в случае стали и в стандарте ISO 7866 в случае алюминия. Обе стороны испытательного образца, представляющие внутреннюю и внешнюю поверхность баллона, механической обработке не подверг</w:t>
      </w:r>
      <w:r w:rsidRPr="00353D6B">
        <w:t>а</w:t>
      </w:r>
      <w:r w:rsidRPr="00353D6B">
        <w:t>ются. Испытание на растяжение проводят в соответствии со станда</w:t>
      </w:r>
      <w:r w:rsidRPr="00353D6B">
        <w:t>р</w:t>
      </w:r>
      <w:r w:rsidRPr="00353D6B">
        <w:t>том ISO 6892.</w:t>
      </w:r>
    </w:p>
    <w:p w:rsidR="00F962BD" w:rsidRPr="00353D6B" w:rsidRDefault="00F962BD" w:rsidP="0039167D">
      <w:pPr>
        <w:pStyle w:val="SingleTxt"/>
        <w:ind w:left="2218" w:hanging="951"/>
      </w:pPr>
      <w:r w:rsidRPr="00353D6B">
        <w:rPr>
          <w:i/>
        </w:rPr>
        <w:tab/>
      </w:r>
      <w:r w:rsidRPr="00353D6B">
        <w:rPr>
          <w:i/>
        </w:rPr>
        <w:tab/>
      </w:r>
      <w:r w:rsidR="0039167D" w:rsidRPr="0039167D">
        <w:rPr>
          <w:i/>
        </w:rPr>
        <w:t>Примечание</w:t>
      </w:r>
      <w:r w:rsidRPr="00353D6B">
        <w:rPr>
          <w:i/>
        </w:rPr>
        <w:t>:</w:t>
      </w:r>
      <w:r w:rsidRPr="00353D6B">
        <w:t xml:space="preserve"> </w:t>
      </w:r>
      <w:r w:rsidR="0039167D">
        <w:t>О</w:t>
      </w:r>
      <w:r w:rsidRPr="00353D6B">
        <w:t>бра</w:t>
      </w:r>
      <w:r w:rsidR="0039167D">
        <w:t>щается</w:t>
      </w:r>
      <w:r w:rsidRPr="00353D6B">
        <w:t xml:space="preserve"> внимание на метод замера удлинения, оп</w:t>
      </w:r>
      <w:r w:rsidRPr="00353D6B">
        <w:t>и</w:t>
      </w:r>
      <w:r w:rsidRPr="00353D6B">
        <w:t xml:space="preserve">санный в стандарте </w:t>
      </w:r>
      <w:r w:rsidRPr="00353D6B">
        <w:rPr>
          <w:lang w:val="en-GB"/>
        </w:rPr>
        <w:t>ISO </w:t>
      </w:r>
      <w:r w:rsidRPr="00353D6B">
        <w:t>6892, особенно в тех случаях, когда образец, используемый для проведения испытания на растяжение, сведен на к</w:t>
      </w:r>
      <w:r w:rsidRPr="00353D6B">
        <w:t>о</w:t>
      </w:r>
      <w:r w:rsidRPr="00353D6B">
        <w:t>нус, в результате чего точка разрыва расположена в стороне от центра базовой длины.</w:t>
      </w:r>
    </w:p>
    <w:p w:rsidR="00F962BD" w:rsidRPr="00353D6B" w:rsidRDefault="00F962BD" w:rsidP="0039167D">
      <w:pPr>
        <w:pStyle w:val="SingleTxt"/>
        <w:ind w:left="2218" w:hanging="951"/>
      </w:pPr>
      <w:r w:rsidRPr="00353D6B">
        <w:t>A.2</w:t>
      </w:r>
      <w:r w:rsidRPr="00353D6B">
        <w:tab/>
      </w:r>
      <w:r w:rsidRPr="00353D6B">
        <w:tab/>
      </w:r>
      <w:r w:rsidRPr="0039167D">
        <w:t xml:space="preserve">Испытание стальных баллонов и стальных корпусов баллонов </w:t>
      </w:r>
      <w:r w:rsidR="0039167D">
        <w:br/>
      </w:r>
      <w:r w:rsidRPr="0039167D">
        <w:t xml:space="preserve">на </w:t>
      </w:r>
      <w:proofErr w:type="spellStart"/>
      <w:r w:rsidRPr="0039167D">
        <w:t>ударопрочность</w:t>
      </w:r>
      <w:proofErr w:type="spellEnd"/>
    </w:p>
    <w:p w:rsidR="00F962BD" w:rsidRPr="00353D6B" w:rsidRDefault="00F962BD" w:rsidP="0039167D">
      <w:pPr>
        <w:pStyle w:val="SingleTxt"/>
        <w:ind w:left="2218" w:hanging="951"/>
      </w:pPr>
      <w:r w:rsidRPr="00353D6B">
        <w:tab/>
      </w:r>
      <w:r w:rsidRPr="00353D6B">
        <w:tab/>
        <w:t xml:space="preserve">Испытание на </w:t>
      </w:r>
      <w:proofErr w:type="spellStart"/>
      <w:r w:rsidRPr="00353D6B">
        <w:t>ударопрочность</w:t>
      </w:r>
      <w:proofErr w:type="spellEnd"/>
      <w:r w:rsidRPr="00353D6B">
        <w:t xml:space="preserve"> проводят на материале, вырезанном из цилиндрической части готового баллона, причем на трех испытател</w:t>
      </w:r>
      <w:r w:rsidRPr="00353D6B">
        <w:t>ь</w:t>
      </w:r>
      <w:r w:rsidRPr="00353D6B">
        <w:t xml:space="preserve">ных образцах в соответствии с </w:t>
      </w:r>
      <w:r w:rsidRPr="00353D6B">
        <w:rPr>
          <w:lang w:val="en-GB"/>
        </w:rPr>
        <w:t>ISO </w:t>
      </w:r>
      <w:r w:rsidRPr="00353D6B">
        <w:t xml:space="preserve">148. Образцы, предназначенные для испытания на </w:t>
      </w:r>
      <w:proofErr w:type="spellStart"/>
      <w:r w:rsidRPr="00353D6B">
        <w:t>ударопрочность</w:t>
      </w:r>
      <w:proofErr w:type="spellEnd"/>
      <w:r w:rsidRPr="00353D6B">
        <w:t>, вырезают в направлении, указа</w:t>
      </w:r>
      <w:r w:rsidRPr="00353D6B">
        <w:t>н</w:t>
      </w:r>
      <w:r w:rsidRPr="00353D6B">
        <w:t>ном в таблице 6.2 приложения 3</w:t>
      </w:r>
      <w:r w:rsidR="0039167D">
        <w:t>А</w:t>
      </w:r>
      <w:r w:rsidRPr="00353D6B">
        <w:t>, из стенки баллона. Надрез выпо</w:t>
      </w:r>
      <w:r w:rsidRPr="00353D6B">
        <w:t>л</w:t>
      </w:r>
      <w:r w:rsidRPr="00353D6B">
        <w:t xml:space="preserve">няют перпендикулярно стенке баллона. В случае испытаний по длине испытательный образец подвергают механической обработке со всех </w:t>
      </w:r>
      <w:r w:rsidRPr="00353D6B">
        <w:lastRenderedPageBreak/>
        <w:t>(шести) сторон. Если толщина стенки не позволяет получить конечный испытательный образец шириной</w:t>
      </w:r>
      <w:r w:rsidRPr="00353D6B">
        <w:rPr>
          <w:lang w:val="en-GB"/>
        </w:rPr>
        <w:t> </w:t>
      </w:r>
      <w:r w:rsidRPr="00353D6B">
        <w:t>10</w:t>
      </w:r>
      <w:r w:rsidRPr="00353D6B">
        <w:rPr>
          <w:lang w:val="en-GB"/>
        </w:rPr>
        <w:t> </w:t>
      </w:r>
      <w:r w:rsidRPr="00353D6B">
        <w:t>мм, то ширина образца должна в максимальной степени соответствовать номинальной толщине стенки баллона. Испытательные образцы, вырезанные в поперечном напра</w:t>
      </w:r>
      <w:r w:rsidRPr="00353D6B">
        <w:t>в</w:t>
      </w:r>
      <w:r w:rsidRPr="00353D6B">
        <w:t>лении, обрабатывают только с четырех сторон − внутренняя и внешняя стороны баллона остаются необработанными».</w:t>
      </w:r>
    </w:p>
    <w:p w:rsidR="00D667A7" w:rsidRPr="00353D6B" w:rsidRDefault="00F962BD" w:rsidP="00F962BD">
      <w:pPr>
        <w:pStyle w:val="SingleTxt"/>
        <w:rPr>
          <w:lang w:val="en-US"/>
        </w:rPr>
      </w:pPr>
      <w:r w:rsidRPr="00353D6B">
        <w:rPr>
          <w:i/>
        </w:rPr>
        <w:t xml:space="preserve">Пункт </w:t>
      </w:r>
      <w:r w:rsidRPr="00353D6B">
        <w:rPr>
          <w:i/>
          <w:lang w:val="en-GB"/>
        </w:rPr>
        <w:t>A</w:t>
      </w:r>
      <w:r w:rsidRPr="00353D6B">
        <w:rPr>
          <w:i/>
        </w:rPr>
        <w:t>.2</w:t>
      </w:r>
      <w:r w:rsidRPr="00353D6B">
        <w:rPr>
          <w:rFonts w:hint="eastAsia"/>
          <w:i/>
        </w:rPr>
        <w:t>8</w:t>
      </w:r>
      <w:r w:rsidRPr="00353D6B">
        <w:t xml:space="preserve"> исключить.</w:t>
      </w:r>
    </w:p>
    <w:p w:rsidR="00D667A7" w:rsidRPr="00353D6B" w:rsidRDefault="00F962BD" w:rsidP="00F962BD">
      <w:pPr>
        <w:pStyle w:val="SingleTxt"/>
        <w:spacing w:after="0" w:line="240" w:lineRule="auto"/>
        <w:rPr>
          <w:lang w:val="en-US"/>
        </w:rPr>
      </w:pPr>
      <w:r w:rsidRPr="00353D6B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3801" wp14:editId="22BE49F8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667A7" w:rsidRPr="00353D6B" w:rsidSect="00866C7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3A" w:rsidRDefault="00F51D3A" w:rsidP="008A1A7A">
      <w:pPr>
        <w:spacing w:line="240" w:lineRule="auto"/>
      </w:pPr>
      <w:r>
        <w:separator/>
      </w:r>
    </w:p>
  </w:endnote>
  <w:endnote w:type="continuationSeparator" w:id="0">
    <w:p w:rsidR="00F51D3A" w:rsidRDefault="00F51D3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51D3A" w:rsidTr="00866C7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51D3A" w:rsidRPr="00866C75" w:rsidRDefault="00F51D3A" w:rsidP="00866C7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D352B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3D352B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51D3A" w:rsidRPr="00866C75" w:rsidRDefault="00F51D3A" w:rsidP="00866C7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D3B14">
            <w:rPr>
              <w:b w:val="0"/>
              <w:color w:val="000000"/>
              <w:sz w:val="14"/>
            </w:rPr>
            <w:t>GE.15-22798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51D3A" w:rsidRPr="00866C75" w:rsidRDefault="00F51D3A" w:rsidP="00866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51D3A" w:rsidTr="00866C7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51D3A" w:rsidRPr="00866C75" w:rsidRDefault="00F51D3A" w:rsidP="00866C7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D3B14">
            <w:rPr>
              <w:b w:val="0"/>
              <w:color w:val="000000"/>
              <w:sz w:val="14"/>
            </w:rPr>
            <w:t>GE.15-22798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1D3A" w:rsidRPr="00866C75" w:rsidRDefault="00F51D3A" w:rsidP="00866C7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D352B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3D352B">
              <w:rPr>
                <w:noProof/>
              </w:rPr>
              <w:t>5</w:t>
            </w:r>
          </w:fldSimple>
        </w:p>
      </w:tc>
    </w:tr>
  </w:tbl>
  <w:p w:rsidR="00F51D3A" w:rsidRPr="00866C75" w:rsidRDefault="00F51D3A" w:rsidP="00866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51D3A" w:rsidTr="00866C75">
      <w:tc>
        <w:tcPr>
          <w:tcW w:w="3873" w:type="dxa"/>
        </w:tcPr>
        <w:p w:rsidR="00F51D3A" w:rsidRDefault="00F51D3A" w:rsidP="00866C7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DD9714B" wp14:editId="59DC159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1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1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GE.15-22798 (R)</w:t>
          </w:r>
          <w:r>
            <w:rPr>
              <w:color w:val="010000"/>
            </w:rPr>
            <w:t xml:space="preserve">    190116    190116</w:t>
          </w:r>
        </w:p>
        <w:p w:rsidR="00F51D3A" w:rsidRPr="00866C75" w:rsidRDefault="00F51D3A" w:rsidP="00866C7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*1522798*</w:t>
          </w:r>
        </w:p>
      </w:tc>
      <w:tc>
        <w:tcPr>
          <w:tcW w:w="5127" w:type="dxa"/>
        </w:tcPr>
        <w:p w:rsidR="00F51D3A" w:rsidRDefault="00F51D3A" w:rsidP="00866C7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B366A9F" wp14:editId="21A54B4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1D3A" w:rsidRPr="00866C75" w:rsidRDefault="00F51D3A" w:rsidP="00866C7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3A" w:rsidRPr="006D3B14" w:rsidRDefault="006D3B14" w:rsidP="006D3B14">
      <w:pPr>
        <w:pStyle w:val="Footer"/>
        <w:spacing w:after="80"/>
        <w:ind w:left="792"/>
        <w:rPr>
          <w:sz w:val="16"/>
        </w:rPr>
      </w:pPr>
      <w:r w:rsidRPr="006D3B14">
        <w:rPr>
          <w:sz w:val="16"/>
        </w:rPr>
        <w:t>__________________</w:t>
      </w:r>
    </w:p>
  </w:footnote>
  <w:footnote w:type="continuationSeparator" w:id="0">
    <w:p w:rsidR="00F51D3A" w:rsidRPr="006D3B14" w:rsidRDefault="006D3B14" w:rsidP="006D3B14">
      <w:pPr>
        <w:pStyle w:val="Footer"/>
        <w:spacing w:after="80"/>
        <w:ind w:left="792"/>
        <w:rPr>
          <w:sz w:val="16"/>
        </w:rPr>
      </w:pPr>
      <w:r w:rsidRPr="006D3B14">
        <w:rPr>
          <w:sz w:val="16"/>
        </w:rPr>
        <w:t>__________________</w:t>
      </w:r>
    </w:p>
  </w:footnote>
  <w:footnote w:id="1">
    <w:p w:rsidR="00F51D3A" w:rsidRPr="000D72FB" w:rsidRDefault="00F51D3A" w:rsidP="006D3B1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0D72FB">
        <w:t>*</w:t>
      </w:r>
      <w:r>
        <w:t xml:space="preserve"> </w:t>
      </w:r>
      <w:r w:rsidRPr="000D72FB">
        <w:tab/>
      </w:r>
      <w:r w:rsidRPr="00C06FA0">
        <w:t xml:space="preserve">В соответствии с программой работы Комитета по внутреннему транспорту </w:t>
      </w:r>
      <w:r w:rsidRPr="000D72FB">
        <w:br/>
      </w:r>
      <w:r w:rsidRPr="00C06FA0">
        <w:t>на 201</w:t>
      </w:r>
      <w:r>
        <w:t>4</w:t>
      </w:r>
      <w:r w:rsidRPr="00C06FA0">
        <w:t>−201</w:t>
      </w:r>
      <w:r>
        <w:t>8</w:t>
      </w:r>
      <w:r w:rsidRPr="00C06FA0">
        <w:t xml:space="preserve"> годы (ECE/TRANS/24</w:t>
      </w:r>
      <w:r>
        <w:t>0</w:t>
      </w:r>
      <w:r w:rsidRPr="00C06FA0">
        <w:t xml:space="preserve">, пункт </w:t>
      </w:r>
      <w:r>
        <w:t>105</w:t>
      </w:r>
      <w:r w:rsidRPr="00C06FA0">
        <w:t>, и ECE/TRANS/201</w:t>
      </w:r>
      <w:r>
        <w:t>4</w:t>
      </w:r>
      <w:r w:rsidRPr="00C06FA0">
        <w:t>/</w:t>
      </w:r>
      <w:r>
        <w:t>26</w:t>
      </w:r>
      <w:r w:rsidRPr="00C06FA0">
        <w:t>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 w:rsidRPr="00C06FA0">
        <w:t>соответствии с этим мандато</w:t>
      </w:r>
      <w:r>
        <w:t>м</w:t>
      </w:r>
      <w:r w:rsidRPr="000D72F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51D3A" w:rsidTr="00866C7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51D3A" w:rsidRPr="00866C75" w:rsidRDefault="00F51D3A" w:rsidP="00866C7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D3B14">
            <w:rPr>
              <w:b/>
            </w:rPr>
            <w:t>ECE/TRANS/WP.29/2016/13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51D3A" w:rsidRDefault="00F51D3A" w:rsidP="00866C75">
          <w:pPr>
            <w:pStyle w:val="Header"/>
          </w:pPr>
        </w:p>
      </w:tc>
    </w:tr>
  </w:tbl>
  <w:p w:rsidR="00F51D3A" w:rsidRPr="00866C75" w:rsidRDefault="00F51D3A" w:rsidP="00866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51D3A" w:rsidTr="00866C7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51D3A" w:rsidRDefault="00F51D3A" w:rsidP="00866C7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51D3A" w:rsidRPr="00866C75" w:rsidRDefault="00F51D3A" w:rsidP="00866C7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D3B14">
            <w:rPr>
              <w:b/>
            </w:rPr>
            <w:t>ECE/TRANS/WP.29/2016/13</w:t>
          </w:r>
          <w:r>
            <w:rPr>
              <w:b/>
            </w:rPr>
            <w:fldChar w:fldCharType="end"/>
          </w:r>
        </w:p>
      </w:tc>
    </w:tr>
  </w:tbl>
  <w:p w:rsidR="00F51D3A" w:rsidRPr="00866C75" w:rsidRDefault="00F51D3A" w:rsidP="00866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51D3A" w:rsidTr="00866C7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51D3A" w:rsidRPr="00866C75" w:rsidRDefault="00F51D3A" w:rsidP="00866C7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51D3A" w:rsidRDefault="00F51D3A" w:rsidP="00866C7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51D3A" w:rsidRPr="00866C75" w:rsidRDefault="00F51D3A" w:rsidP="00866C7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/TRANS/WP.29/2016/13</w:t>
          </w:r>
        </w:p>
      </w:tc>
    </w:tr>
    <w:tr w:rsidR="00F51D3A" w:rsidRPr="006D3B14" w:rsidTr="00866C7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1D3A" w:rsidRPr="00866C75" w:rsidRDefault="00F51D3A" w:rsidP="00866C7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DF99B05" wp14:editId="1BBD079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1D3A" w:rsidRPr="00866C75" w:rsidRDefault="00F51D3A" w:rsidP="00866C7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1D3A" w:rsidRPr="00866C75" w:rsidRDefault="00F51D3A" w:rsidP="00866C7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51D3A" w:rsidRPr="00D667A7" w:rsidRDefault="00F51D3A" w:rsidP="00866C75">
          <w:pPr>
            <w:pStyle w:val="Distribution"/>
            <w:rPr>
              <w:color w:val="000000"/>
              <w:lang w:val="en-US"/>
            </w:rPr>
          </w:pPr>
          <w:r w:rsidRPr="00D667A7">
            <w:rPr>
              <w:color w:val="000000"/>
              <w:lang w:val="en-US"/>
            </w:rPr>
            <w:t>Distr.: General</w:t>
          </w:r>
        </w:p>
        <w:p w:rsidR="00F51D3A" w:rsidRPr="00D667A7" w:rsidRDefault="00F51D3A" w:rsidP="00D667A7">
          <w:pPr>
            <w:pStyle w:val="Publication"/>
            <w:rPr>
              <w:color w:val="000000"/>
              <w:lang w:val="en-US"/>
            </w:rPr>
          </w:pPr>
          <w:r w:rsidRPr="00D667A7">
            <w:rPr>
              <w:color w:val="000000"/>
              <w:lang w:val="en-US"/>
            </w:rPr>
            <w:t>23 December 2015</w:t>
          </w:r>
        </w:p>
        <w:p w:rsidR="00F51D3A" w:rsidRPr="00D667A7" w:rsidRDefault="00F51D3A" w:rsidP="00866C75">
          <w:pPr>
            <w:rPr>
              <w:color w:val="000000"/>
              <w:lang w:val="en-US"/>
            </w:rPr>
          </w:pPr>
          <w:r w:rsidRPr="00D667A7">
            <w:rPr>
              <w:color w:val="000000"/>
              <w:lang w:val="en-US"/>
            </w:rPr>
            <w:t>Russian</w:t>
          </w:r>
        </w:p>
        <w:p w:rsidR="00F51D3A" w:rsidRPr="00D667A7" w:rsidRDefault="00F51D3A" w:rsidP="00866C75">
          <w:pPr>
            <w:pStyle w:val="Original"/>
            <w:rPr>
              <w:color w:val="000000"/>
              <w:lang w:val="en-US"/>
            </w:rPr>
          </w:pPr>
          <w:r w:rsidRPr="00D667A7">
            <w:rPr>
              <w:color w:val="000000"/>
              <w:lang w:val="en-US"/>
            </w:rPr>
            <w:t>Original: English</w:t>
          </w:r>
        </w:p>
        <w:p w:rsidR="00F51D3A" w:rsidRPr="00D667A7" w:rsidRDefault="00F51D3A" w:rsidP="00866C75">
          <w:pPr>
            <w:rPr>
              <w:lang w:val="en-US"/>
            </w:rPr>
          </w:pPr>
        </w:p>
      </w:tc>
    </w:tr>
  </w:tbl>
  <w:p w:rsidR="00F51D3A" w:rsidRPr="00D667A7" w:rsidRDefault="00F51D3A" w:rsidP="00866C7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98*"/>
    <w:docVar w:name="CreationDt" w:val="1/19/2016 11:22 AM"/>
    <w:docVar w:name="DocCategory" w:val="Doc"/>
    <w:docVar w:name="DocType" w:val="Final"/>
    <w:docVar w:name="DutyStation" w:val="Geneva"/>
    <w:docVar w:name="FooterJN" w:val="GE.15-22798"/>
    <w:docVar w:name="jobn" w:val="GE.15-22798 (R)"/>
    <w:docVar w:name="jobnDT" w:val="GE.15-22798 (R)   190116"/>
    <w:docVar w:name="jobnDTDT" w:val="GE.15-22798 (R)   190116   190116"/>
    <w:docVar w:name="JobNo" w:val="GE.1522798R"/>
    <w:docVar w:name="JobNo2" w:val="1529171R"/>
    <w:docVar w:name="LocalDrive" w:val="0"/>
    <w:docVar w:name="OandT" w:val=" "/>
    <w:docVar w:name="PaperSize" w:val="A4"/>
    <w:docVar w:name="sss1" w:val="ECE/TRANS/WP.29/2016/13"/>
    <w:docVar w:name="sss2" w:val="-"/>
    <w:docVar w:name="Symbol1" w:val="ECE/TRANS/WP.29/2016/13"/>
    <w:docVar w:name="Symbol2" w:val="-"/>
  </w:docVars>
  <w:rsids>
    <w:rsidRoot w:val="00064334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4334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500E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3D6B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167D"/>
    <w:rsid w:val="0039505F"/>
    <w:rsid w:val="003A150E"/>
    <w:rsid w:val="003A2730"/>
    <w:rsid w:val="003A3216"/>
    <w:rsid w:val="003B16B4"/>
    <w:rsid w:val="003B5A03"/>
    <w:rsid w:val="003B6E50"/>
    <w:rsid w:val="003C12AC"/>
    <w:rsid w:val="003C2842"/>
    <w:rsid w:val="003D0825"/>
    <w:rsid w:val="003D2003"/>
    <w:rsid w:val="003D352B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0AF7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3B14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9AF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66C75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D3587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1B6E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555F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355D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67A7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1D3A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62BD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6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7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7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2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6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7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7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7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2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4C92-A1A4-4136-96C2-49AAA7A9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Caillot</cp:lastModifiedBy>
  <cp:revision>2</cp:revision>
  <cp:lastPrinted>2016-01-19T13:27:00Z</cp:lastPrinted>
  <dcterms:created xsi:type="dcterms:W3CDTF">2016-02-24T09:32:00Z</dcterms:created>
  <dcterms:modified xsi:type="dcterms:W3CDTF">2016-02-24T09:32:00Z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1522798R</vt:lpwstr>
  </property>
  <property fmtid="{D5CDD505-2E9C-101B-9397-08002B2CF9AE}" pid="3" name="ODSRefJobNo">
    <vt:lpwstr>1529171R</vt:lpwstr>
  </property>
  <property fmtid="{D5CDD505-2E9C-101B-9397-08002B2CF9AE}" pid="4" name="Symbol1">
    <vt:lpwstr>ECE/TRANS/WP.29/2016/13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190116</vt:lpwstr>
  </property>
</Properties>
</file>