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64662F" w:rsidRPr="0079106A" w:rsidTr="00E60186">
        <w:trPr>
          <w:cantSplit/>
          <w:trHeight w:hRule="exact" w:val="851"/>
        </w:trPr>
        <w:tc>
          <w:tcPr>
            <w:tcW w:w="9781" w:type="dxa"/>
            <w:tcBorders>
              <w:bottom w:val="single" w:sz="4" w:space="0" w:color="auto"/>
            </w:tcBorders>
            <w:vAlign w:val="bottom"/>
          </w:tcPr>
          <w:p w:rsidR="0064662F" w:rsidRPr="0079106A" w:rsidRDefault="0064662F" w:rsidP="00E60186">
            <w:pPr>
              <w:suppressAutoHyphens/>
              <w:spacing w:line="240" w:lineRule="atLeast"/>
              <w:jc w:val="right"/>
              <w:rPr>
                <w:sz w:val="20"/>
                <w:lang w:val="en-GB"/>
              </w:rPr>
            </w:pPr>
            <w:r w:rsidRPr="0079106A">
              <w:rPr>
                <w:b/>
                <w:sz w:val="40"/>
                <w:szCs w:val="40"/>
                <w:lang w:val="en-GB"/>
              </w:rPr>
              <w:t>INF.</w:t>
            </w:r>
            <w:r>
              <w:rPr>
                <w:b/>
                <w:sz w:val="40"/>
                <w:szCs w:val="40"/>
                <w:lang w:val="en-GB"/>
              </w:rPr>
              <w:t>2</w:t>
            </w:r>
          </w:p>
        </w:tc>
      </w:tr>
      <w:tr w:rsidR="0064662F" w:rsidRPr="0079106A" w:rsidTr="001F4C2F">
        <w:trPr>
          <w:cantSplit/>
          <w:trHeight w:hRule="exact" w:val="326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DE3269" w:rsidRPr="0079106A" w:rsidTr="001F4C2F">
              <w:trPr>
                <w:cantSplit/>
                <w:trHeight w:hRule="exact" w:val="3260"/>
              </w:trPr>
              <w:tc>
                <w:tcPr>
                  <w:tcW w:w="7230" w:type="dxa"/>
                </w:tcPr>
                <w:p w:rsidR="00DE3269" w:rsidRPr="0064662F" w:rsidRDefault="00DE3269" w:rsidP="0064662F">
                  <w:pPr>
                    <w:suppressAutoHyphens/>
                    <w:spacing w:before="120" w:line="240" w:lineRule="atLeast"/>
                    <w:ind w:firstLine="0"/>
                    <w:jc w:val="left"/>
                    <w:rPr>
                      <w:b/>
                      <w:color w:val="auto"/>
                      <w:spacing w:val="0"/>
                      <w:sz w:val="28"/>
                      <w:szCs w:val="28"/>
                    </w:rPr>
                  </w:pPr>
                  <w:r w:rsidRPr="0064662F">
                    <w:rPr>
                      <w:b/>
                      <w:color w:val="auto"/>
                      <w:spacing w:val="0"/>
                      <w:sz w:val="28"/>
                      <w:szCs w:val="28"/>
                    </w:rPr>
                    <w:t>Commission économique pour l’Europe</w:t>
                  </w:r>
                </w:p>
                <w:p w:rsidR="00DE3269" w:rsidRPr="0064662F" w:rsidRDefault="00DE3269" w:rsidP="0064662F">
                  <w:pPr>
                    <w:suppressAutoHyphens/>
                    <w:spacing w:before="120" w:line="240" w:lineRule="atLeast"/>
                    <w:ind w:firstLine="0"/>
                    <w:jc w:val="left"/>
                    <w:rPr>
                      <w:color w:val="auto"/>
                      <w:spacing w:val="0"/>
                      <w:sz w:val="28"/>
                      <w:szCs w:val="28"/>
                    </w:rPr>
                  </w:pPr>
                  <w:r w:rsidRPr="0064662F">
                    <w:rPr>
                      <w:color w:val="auto"/>
                      <w:spacing w:val="0"/>
                      <w:sz w:val="28"/>
                      <w:szCs w:val="28"/>
                    </w:rPr>
                    <w:t>Comité des transports intérieurs</w:t>
                  </w:r>
                </w:p>
                <w:p w:rsidR="00DE3269" w:rsidRPr="0064662F" w:rsidRDefault="00DE3269" w:rsidP="0064662F">
                  <w:pPr>
                    <w:suppressAutoHyphens/>
                    <w:spacing w:before="120" w:line="240" w:lineRule="atLeast"/>
                    <w:ind w:firstLine="0"/>
                    <w:jc w:val="left"/>
                    <w:rPr>
                      <w:b/>
                      <w:color w:val="auto"/>
                      <w:spacing w:val="0"/>
                      <w:szCs w:val="24"/>
                    </w:rPr>
                  </w:pPr>
                  <w:r w:rsidRPr="0064662F">
                    <w:rPr>
                      <w:b/>
                      <w:color w:val="auto"/>
                      <w:spacing w:val="0"/>
                      <w:szCs w:val="24"/>
                    </w:rPr>
                    <w:t>Groupe de travail du transport des denrées périssables</w:t>
                  </w:r>
                </w:p>
                <w:p w:rsidR="00DE3269" w:rsidRDefault="00DE3269" w:rsidP="0064662F">
                  <w:pPr>
                    <w:suppressAutoHyphens/>
                    <w:spacing w:before="120" w:line="240" w:lineRule="atLeast"/>
                    <w:ind w:firstLine="0"/>
                    <w:jc w:val="left"/>
                    <w:rPr>
                      <w:b/>
                      <w:color w:val="auto"/>
                      <w:spacing w:val="0"/>
                      <w:sz w:val="20"/>
                      <w:lang w:val="fr-CH"/>
                    </w:rPr>
                  </w:pPr>
                  <w:r w:rsidRPr="0064662F">
                    <w:rPr>
                      <w:b/>
                      <w:bCs/>
                      <w:color w:val="auto"/>
                      <w:spacing w:val="0"/>
                      <w:sz w:val="20"/>
                      <w:lang w:val="fr-CH"/>
                    </w:rPr>
                    <w:t>Soixante douzième</w:t>
                  </w:r>
                  <w:r w:rsidRPr="0064662F">
                    <w:rPr>
                      <w:b/>
                      <w:color w:val="auto"/>
                      <w:spacing w:val="0"/>
                      <w:sz w:val="20"/>
                      <w:lang w:val="fr-CH"/>
                    </w:rPr>
                    <w:t xml:space="preserve"> session</w:t>
                  </w:r>
                </w:p>
                <w:p w:rsidR="00DE3269" w:rsidRPr="0064662F" w:rsidRDefault="00DE3269" w:rsidP="00DE3269">
                  <w:pPr>
                    <w:suppressAutoHyphens/>
                    <w:spacing w:line="240" w:lineRule="atLeast"/>
                    <w:ind w:firstLine="0"/>
                    <w:jc w:val="left"/>
                    <w:rPr>
                      <w:bCs/>
                      <w:color w:val="auto"/>
                      <w:spacing w:val="0"/>
                      <w:sz w:val="20"/>
                      <w:lang w:val="fr-CH"/>
                    </w:rPr>
                  </w:pPr>
                  <w:r w:rsidRPr="0064662F">
                    <w:rPr>
                      <w:color w:val="auto"/>
                      <w:spacing w:val="0"/>
                      <w:sz w:val="20"/>
                      <w:lang w:val="fr-CH"/>
                    </w:rPr>
                    <w:t>Genève, 4-7 octobre</w:t>
                  </w:r>
                  <w:r w:rsidRPr="0064662F">
                    <w:rPr>
                      <w:bCs/>
                      <w:color w:val="auto"/>
                      <w:spacing w:val="0"/>
                      <w:sz w:val="20"/>
                      <w:lang w:val="fr-CH"/>
                    </w:rPr>
                    <w:t xml:space="preserve"> 2016</w:t>
                  </w:r>
                </w:p>
                <w:p w:rsidR="00DE3269" w:rsidRPr="0098069B" w:rsidRDefault="001F4C2F" w:rsidP="00DE3269">
                  <w:pPr>
                    <w:suppressAutoHyphens/>
                    <w:spacing w:line="240" w:lineRule="atLeast"/>
                    <w:ind w:firstLine="0"/>
                    <w:jc w:val="left"/>
                    <w:rPr>
                      <w:color w:val="auto"/>
                      <w:spacing w:val="0"/>
                      <w:sz w:val="20"/>
                      <w:lang w:val="fr-CH"/>
                    </w:rPr>
                  </w:pPr>
                  <w:r w:rsidRPr="0098069B">
                    <w:rPr>
                      <w:color w:val="auto"/>
                      <w:spacing w:val="0"/>
                      <w:sz w:val="20"/>
                      <w:lang w:val="fr-CH"/>
                    </w:rPr>
                    <w:t>Point</w:t>
                  </w:r>
                  <w:r w:rsidR="00DE3269" w:rsidRPr="0098069B">
                    <w:rPr>
                      <w:color w:val="auto"/>
                      <w:spacing w:val="0"/>
                      <w:sz w:val="20"/>
                      <w:lang w:val="fr-CH"/>
                    </w:rPr>
                    <w:t xml:space="preserve"> </w:t>
                  </w:r>
                  <w:r w:rsidR="00DE3269" w:rsidRPr="0098069B">
                    <w:rPr>
                      <w:bCs/>
                      <w:color w:val="auto"/>
                      <w:spacing w:val="0"/>
                      <w:sz w:val="20"/>
                      <w:lang w:val="fr-CH"/>
                    </w:rPr>
                    <w:t xml:space="preserve">4 d) </w:t>
                  </w:r>
                  <w:r w:rsidRPr="0098069B">
                    <w:rPr>
                      <w:color w:val="auto"/>
                      <w:spacing w:val="0"/>
                      <w:sz w:val="20"/>
                      <w:lang w:val="fr-CH"/>
                    </w:rPr>
                    <w:t>de l'ordre du jour</w:t>
                  </w:r>
                  <w:r w:rsidR="00AD279A">
                    <w:rPr>
                      <w:color w:val="auto"/>
                      <w:spacing w:val="0"/>
                      <w:sz w:val="20"/>
                      <w:lang w:val="fr-CH"/>
                    </w:rPr>
                    <w:t xml:space="preserve"> provisoire</w:t>
                  </w:r>
                  <w:bookmarkStart w:id="0" w:name="_GoBack"/>
                  <w:bookmarkEnd w:id="0"/>
                </w:p>
                <w:p w:rsidR="00DE3269" w:rsidRDefault="001F4C2F" w:rsidP="00DE3269">
                  <w:pPr>
                    <w:suppressAutoHyphens/>
                    <w:spacing w:line="240" w:lineRule="atLeast"/>
                    <w:ind w:firstLine="0"/>
                    <w:jc w:val="left"/>
                    <w:rPr>
                      <w:b/>
                      <w:color w:val="auto"/>
                      <w:spacing w:val="0"/>
                      <w:sz w:val="20"/>
                      <w:lang w:val="fr-CH"/>
                    </w:rPr>
                  </w:pPr>
                  <w:r w:rsidRPr="001F4C2F">
                    <w:rPr>
                      <w:b/>
                      <w:color w:val="auto"/>
                      <w:spacing w:val="0"/>
                      <w:sz w:val="20"/>
                      <w:lang w:val="fr-CH"/>
                    </w:rPr>
                    <w:t xml:space="preserve">État et mise en œuvre de l’Accord relatif aux transports </w:t>
                  </w:r>
                  <w:r w:rsidRPr="001F4C2F">
                    <w:rPr>
                      <w:b/>
                      <w:color w:val="auto"/>
                      <w:spacing w:val="0"/>
                      <w:sz w:val="20"/>
                      <w:lang w:val="fr-CH"/>
                    </w:rPr>
                    <w:br/>
                    <w:t xml:space="preserve">internationaux de denrées périssables et aux engins </w:t>
                  </w:r>
                  <w:r w:rsidRPr="001F4C2F">
                    <w:rPr>
                      <w:b/>
                      <w:color w:val="auto"/>
                      <w:spacing w:val="0"/>
                      <w:sz w:val="20"/>
                      <w:lang w:val="fr-CH"/>
                    </w:rPr>
                    <w:br/>
                    <w:t>spéciaux à utiliser pour ces transports (ATP)</w:t>
                  </w:r>
                </w:p>
                <w:p w:rsidR="001F4C2F" w:rsidRPr="0064662F" w:rsidRDefault="001F4C2F" w:rsidP="00DE3269">
                  <w:pPr>
                    <w:suppressAutoHyphens/>
                    <w:spacing w:line="240" w:lineRule="atLeast"/>
                    <w:ind w:firstLine="0"/>
                    <w:jc w:val="left"/>
                    <w:rPr>
                      <w:b/>
                      <w:color w:val="auto"/>
                      <w:spacing w:val="0"/>
                      <w:sz w:val="20"/>
                      <w:lang w:val="fr-CH"/>
                    </w:rPr>
                  </w:pPr>
                  <w:r w:rsidRPr="001F4C2F">
                    <w:rPr>
                      <w:b/>
                      <w:color w:val="auto"/>
                      <w:spacing w:val="0"/>
                      <w:sz w:val="20"/>
                      <w:lang w:val="fr-CH"/>
                    </w:rPr>
                    <w:t>Échange d’informations entre les Parties en vertu de l’article 6 de l’ATP</w:t>
                  </w:r>
                </w:p>
              </w:tc>
              <w:tc>
                <w:tcPr>
                  <w:tcW w:w="2409" w:type="dxa"/>
                </w:tcPr>
                <w:p w:rsidR="00DE3269" w:rsidRDefault="00DE3269" w:rsidP="0016645C">
                  <w:pPr>
                    <w:suppressAutoHyphens/>
                    <w:spacing w:line="240" w:lineRule="atLeast"/>
                    <w:ind w:firstLine="0"/>
                    <w:jc w:val="left"/>
                    <w:rPr>
                      <w:b/>
                      <w:color w:val="auto"/>
                      <w:spacing w:val="0"/>
                      <w:sz w:val="20"/>
                      <w:lang w:val="fr-CH"/>
                    </w:rPr>
                  </w:pPr>
                </w:p>
                <w:p w:rsidR="00DE3269" w:rsidRDefault="00DE3269" w:rsidP="0016645C">
                  <w:pPr>
                    <w:suppressAutoHyphens/>
                    <w:spacing w:line="240" w:lineRule="atLeast"/>
                    <w:ind w:firstLine="0"/>
                    <w:jc w:val="left"/>
                    <w:rPr>
                      <w:b/>
                      <w:color w:val="auto"/>
                      <w:spacing w:val="0"/>
                      <w:sz w:val="20"/>
                      <w:lang w:val="fr-CH"/>
                    </w:rPr>
                  </w:pPr>
                </w:p>
                <w:p w:rsidR="00DE3269" w:rsidRPr="00DE3269" w:rsidRDefault="00DE3269" w:rsidP="0016645C">
                  <w:pPr>
                    <w:suppressAutoHyphens/>
                    <w:spacing w:line="240" w:lineRule="atLeast"/>
                    <w:ind w:firstLine="0"/>
                    <w:jc w:val="left"/>
                    <w:rPr>
                      <w:b/>
                      <w:color w:val="auto"/>
                      <w:spacing w:val="0"/>
                      <w:sz w:val="20"/>
                      <w:lang w:val="fr-CH"/>
                    </w:rPr>
                  </w:pPr>
                  <w:r w:rsidRPr="00DE3269">
                    <w:rPr>
                      <w:b/>
                      <w:color w:val="auto"/>
                      <w:spacing w:val="0"/>
                      <w:sz w:val="20"/>
                      <w:lang w:val="fr-CH"/>
                    </w:rPr>
                    <w:t>20 July 2016</w:t>
                  </w:r>
                </w:p>
              </w:tc>
            </w:tr>
            <w:tr w:rsidR="0064662F" w:rsidRPr="0079106A" w:rsidTr="00E60186">
              <w:trPr>
                <w:cantSplit/>
                <w:trHeight w:hRule="exact" w:val="2974"/>
              </w:trPr>
              <w:tc>
                <w:tcPr>
                  <w:tcW w:w="9639" w:type="dxa"/>
                  <w:gridSpan w:val="2"/>
                </w:tcPr>
                <w:p w:rsidR="0064662F" w:rsidRPr="0079106A" w:rsidRDefault="0064662F" w:rsidP="0064662F">
                  <w:pPr>
                    <w:suppressAutoHyphens/>
                    <w:spacing w:before="120" w:line="240" w:lineRule="atLeast"/>
                    <w:jc w:val="left"/>
                    <w:rPr>
                      <w:b/>
                      <w:sz w:val="28"/>
                      <w:szCs w:val="28"/>
                      <w:lang w:val="en-GB"/>
                    </w:rPr>
                  </w:pPr>
                  <w:r w:rsidRPr="0079106A">
                    <w:rPr>
                      <w:b/>
                      <w:sz w:val="28"/>
                      <w:szCs w:val="28"/>
                      <w:lang w:val="en-GB"/>
                    </w:rPr>
                    <w:t xml:space="preserve">             </w:t>
                  </w:r>
                </w:p>
              </w:tc>
            </w:tr>
            <w:tr w:rsidR="0064662F" w:rsidRPr="0079106A" w:rsidTr="00E60186">
              <w:trPr>
                <w:cantSplit/>
                <w:trHeight w:hRule="exact" w:val="2974"/>
              </w:trPr>
              <w:tc>
                <w:tcPr>
                  <w:tcW w:w="9639" w:type="dxa"/>
                  <w:gridSpan w:val="2"/>
                </w:tcPr>
                <w:p w:rsidR="0064662F" w:rsidRPr="0079106A" w:rsidRDefault="0064662F" w:rsidP="0064662F">
                  <w:pPr>
                    <w:suppressAutoHyphens/>
                    <w:spacing w:before="120" w:line="240" w:lineRule="atLeast"/>
                    <w:jc w:val="left"/>
                    <w:rPr>
                      <w:b/>
                      <w:sz w:val="28"/>
                      <w:szCs w:val="28"/>
                      <w:lang w:val="en-GB"/>
                    </w:rPr>
                  </w:pPr>
                </w:p>
              </w:tc>
            </w:tr>
          </w:tbl>
          <w:p w:rsidR="0064662F" w:rsidRPr="0079106A" w:rsidRDefault="0064662F" w:rsidP="00E60186">
            <w:pPr>
              <w:keepNext/>
              <w:keepLines/>
              <w:tabs>
                <w:tab w:val="right" w:pos="851"/>
              </w:tabs>
              <w:suppressAutoHyphens/>
              <w:spacing w:before="360" w:after="240" w:line="300" w:lineRule="exact"/>
              <w:ind w:left="1134" w:right="1134" w:hanging="1134"/>
              <w:jc w:val="left"/>
              <w:rPr>
                <w:b/>
                <w:sz w:val="28"/>
                <w:lang w:val="en-US"/>
              </w:rPr>
            </w:pPr>
          </w:p>
          <w:p w:rsidR="0064662F" w:rsidRPr="0079106A" w:rsidRDefault="0064662F" w:rsidP="00E60186">
            <w:pPr>
              <w:suppressAutoHyphens/>
              <w:spacing w:before="120" w:line="240" w:lineRule="atLeast"/>
              <w:ind w:right="425"/>
              <w:jc w:val="left"/>
              <w:rPr>
                <w:sz w:val="20"/>
                <w:lang w:val="en-GB"/>
              </w:rPr>
            </w:pPr>
          </w:p>
        </w:tc>
      </w:tr>
    </w:tbl>
    <w:p w:rsidR="0016645C" w:rsidRDefault="0016645C" w:rsidP="0016645C">
      <w:pPr>
        <w:pStyle w:val="HChG"/>
        <w:rPr>
          <w:lang w:val="fr-BE"/>
        </w:rPr>
      </w:pPr>
      <w:r>
        <w:rPr>
          <w:lang w:val="fr-BE"/>
        </w:rPr>
        <w:tab/>
      </w:r>
      <w:r>
        <w:rPr>
          <w:lang w:val="fr-BE"/>
        </w:rPr>
        <w:tab/>
      </w:r>
      <w:r>
        <w:rPr>
          <w:lang w:val="fr-BE"/>
        </w:rPr>
        <w:tab/>
        <w:t>Réponses au questionnaire sur la mise en œuvre de l'ATP</w:t>
      </w:r>
    </w:p>
    <w:p w:rsidR="0064662F" w:rsidRDefault="0064662F" w:rsidP="0064662F">
      <w:pPr>
        <w:pStyle w:val="HChG"/>
        <w:rPr>
          <w:lang w:val="fr-BE"/>
        </w:rPr>
      </w:pPr>
      <w:r>
        <w:rPr>
          <w:lang w:val="fr-BE"/>
        </w:rPr>
        <w:tab/>
      </w:r>
      <w:r>
        <w:rPr>
          <w:lang w:val="fr-BE"/>
        </w:rPr>
        <w:tab/>
        <w:t xml:space="preserve">ANNEXE 2 de l’arrêté royal du … relatif au transport routier international de denrées périssables et à l’utilisation </w:t>
      </w:r>
      <w:r w:rsidRPr="0064662F">
        <w:t>de</w:t>
      </w:r>
      <w:r>
        <w:rPr>
          <w:lang w:val="fr-BE"/>
        </w:rPr>
        <w:t xml:space="preserve"> moyens spéciaux pour ce transport et modifiant l'arrêté royal du 19 juillet 2000 relatif à la perception et à la consignation d'une somme lors de la constatation de certaines infractions en matière de transport par route</w:t>
      </w:r>
    </w:p>
    <w:p w:rsidR="0016645C" w:rsidRPr="001F4C2F" w:rsidRDefault="0016645C" w:rsidP="0016645C">
      <w:pPr>
        <w:pStyle w:val="H1G"/>
        <w:rPr>
          <w:lang w:val="en-GB"/>
        </w:rPr>
      </w:pPr>
      <w:r>
        <w:rPr>
          <w:lang w:val="fr-BE"/>
        </w:rPr>
        <w:tab/>
      </w:r>
      <w:r>
        <w:rPr>
          <w:lang w:val="fr-BE"/>
        </w:rPr>
        <w:tab/>
      </w:r>
      <w:r w:rsidRPr="001F4C2F">
        <w:rPr>
          <w:lang w:val="en-GB"/>
        </w:rPr>
        <w:t>Transmitted by the Government of Belgium</w:t>
      </w:r>
    </w:p>
    <w:p w:rsidR="00BA5DFA" w:rsidRPr="00AD785D" w:rsidRDefault="00AD785D" w:rsidP="00AD785D">
      <w:pPr>
        <w:pStyle w:val="SingleTxtG"/>
        <w:rPr>
          <w:lang w:val="fr-BE"/>
        </w:rPr>
      </w:pPr>
      <w:r>
        <w:rPr>
          <w:lang w:val="fr-BE"/>
        </w:rPr>
        <w:t>«</w:t>
      </w:r>
      <w:r w:rsidR="00BA5DFA">
        <w:rPr>
          <w:lang w:val="fr-BE"/>
        </w:rPr>
        <w:t xml:space="preserve"> </w:t>
      </w:r>
      <w:proofErr w:type="gramStart"/>
      <w:r w:rsidR="00BA5DFA">
        <w:rPr>
          <w:lang w:val="fr-BE"/>
        </w:rPr>
        <w:t>j</w:t>
      </w:r>
      <w:proofErr w:type="gramEnd"/>
      <w:r w:rsidR="00BA5DFA">
        <w:rPr>
          <w:lang w:val="fr-BE"/>
        </w:rPr>
        <w:t xml:space="preserve">) Transport routier international de denrées </w:t>
      </w:r>
      <w:r w:rsidR="00BA5DFA" w:rsidRPr="00AD785D">
        <w:t>périssables</w:t>
      </w:r>
      <w:r w:rsidR="00BA5DFA">
        <w:rPr>
          <w:lang w:val="fr-BE"/>
        </w:rPr>
        <w:t xml:space="preserve"> et utilisation de moyens spéciaux pour ce transport (ATP).</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73"/>
        <w:gridCol w:w="3598"/>
        <w:gridCol w:w="1753"/>
        <w:gridCol w:w="1546"/>
      </w:tblGrid>
      <w:tr w:rsidR="00AD785D" w:rsidRPr="00AD785D" w:rsidTr="00AD785D">
        <w:trPr>
          <w:trHeight w:val="432"/>
          <w:tblHeader/>
        </w:trPr>
        <w:tc>
          <w:tcPr>
            <w:tcW w:w="646" w:type="dxa"/>
            <w:tcBorders>
              <w:top w:val="single" w:sz="4" w:space="0" w:color="auto"/>
              <w:bottom w:val="single" w:sz="12" w:space="0" w:color="auto"/>
            </w:tcBorders>
            <w:shd w:val="clear" w:color="auto" w:fill="auto"/>
            <w:vAlign w:val="bottom"/>
          </w:tcPr>
          <w:p w:rsidR="00AD785D" w:rsidRPr="00AD785D" w:rsidRDefault="00AD785D" w:rsidP="00AD785D">
            <w:pPr>
              <w:pStyle w:val="FootnoteText"/>
              <w:spacing w:before="80" w:after="80" w:line="200" w:lineRule="exact"/>
              <w:ind w:right="113" w:firstLine="0"/>
              <w:jc w:val="left"/>
              <w:rPr>
                <w:i/>
                <w:color w:val="auto"/>
                <w:spacing w:val="0"/>
                <w:sz w:val="16"/>
                <w:szCs w:val="22"/>
                <w:lang w:val="fr-BE"/>
              </w:rPr>
            </w:pPr>
          </w:p>
        </w:tc>
        <w:tc>
          <w:tcPr>
            <w:tcW w:w="4959" w:type="dxa"/>
            <w:tcBorders>
              <w:top w:val="single" w:sz="4" w:space="0" w:color="auto"/>
              <w:bottom w:val="single" w:sz="12" w:space="0" w:color="auto"/>
            </w:tcBorders>
            <w:shd w:val="clear" w:color="auto" w:fill="auto"/>
            <w:vAlign w:val="bottom"/>
            <w:hideMark/>
          </w:tcPr>
          <w:p w:rsidR="00AD785D" w:rsidRPr="00AD785D" w:rsidRDefault="00AD785D" w:rsidP="00AD785D">
            <w:pPr>
              <w:pStyle w:val="FootnoteText"/>
              <w:spacing w:before="80" w:after="80" w:line="200" w:lineRule="exact"/>
              <w:ind w:right="113" w:firstLine="0"/>
              <w:jc w:val="left"/>
              <w:rPr>
                <w:i/>
                <w:color w:val="auto"/>
                <w:spacing w:val="0"/>
                <w:sz w:val="16"/>
                <w:szCs w:val="22"/>
                <w:lang w:val="nl-BE"/>
              </w:rPr>
            </w:pPr>
            <w:proofErr w:type="spellStart"/>
            <w:r w:rsidRPr="00AD785D">
              <w:rPr>
                <w:i/>
                <w:color w:val="auto"/>
                <w:spacing w:val="0"/>
                <w:sz w:val="16"/>
                <w:szCs w:val="22"/>
                <w:lang w:val="nl-BE"/>
              </w:rPr>
              <w:t>Infraction</w:t>
            </w:r>
            <w:proofErr w:type="spellEnd"/>
          </w:p>
        </w:tc>
        <w:tc>
          <w:tcPr>
            <w:tcW w:w="2412" w:type="dxa"/>
            <w:tcBorders>
              <w:top w:val="single" w:sz="4" w:space="0" w:color="auto"/>
              <w:bottom w:val="single" w:sz="12" w:space="0" w:color="auto"/>
            </w:tcBorders>
            <w:shd w:val="clear" w:color="auto" w:fill="auto"/>
            <w:vAlign w:val="bottom"/>
            <w:hideMark/>
          </w:tcPr>
          <w:p w:rsidR="00AD785D" w:rsidRPr="00AD785D" w:rsidRDefault="00AD785D" w:rsidP="00AD785D">
            <w:pPr>
              <w:pStyle w:val="FootnoteText"/>
              <w:spacing w:before="80" w:after="80" w:line="200" w:lineRule="exact"/>
              <w:ind w:right="113" w:firstLine="0"/>
              <w:jc w:val="left"/>
              <w:rPr>
                <w:i/>
                <w:color w:val="auto"/>
                <w:spacing w:val="0"/>
                <w:sz w:val="16"/>
                <w:szCs w:val="22"/>
                <w:lang w:val="nl-BE"/>
              </w:rPr>
            </w:pPr>
            <w:proofErr w:type="spellStart"/>
            <w:r w:rsidRPr="00AD785D">
              <w:rPr>
                <w:i/>
                <w:color w:val="auto"/>
                <w:spacing w:val="0"/>
                <w:sz w:val="16"/>
                <w:szCs w:val="22"/>
                <w:lang w:val="nl-BE"/>
              </w:rPr>
              <w:t>Réglementation</w:t>
            </w:r>
            <w:proofErr w:type="spellEnd"/>
          </w:p>
        </w:tc>
        <w:tc>
          <w:tcPr>
            <w:tcW w:w="2127" w:type="dxa"/>
            <w:tcBorders>
              <w:top w:val="single" w:sz="4" w:space="0" w:color="auto"/>
              <w:bottom w:val="single" w:sz="12" w:space="0" w:color="auto"/>
            </w:tcBorders>
            <w:shd w:val="clear" w:color="auto" w:fill="auto"/>
            <w:vAlign w:val="bottom"/>
            <w:hideMark/>
          </w:tcPr>
          <w:p w:rsidR="00AD785D" w:rsidRPr="00AD785D" w:rsidRDefault="00AD785D" w:rsidP="00AD785D">
            <w:pPr>
              <w:pStyle w:val="FootnoteText"/>
              <w:spacing w:before="80" w:after="80" w:line="200" w:lineRule="exact"/>
              <w:ind w:right="113" w:firstLine="0"/>
              <w:jc w:val="right"/>
              <w:rPr>
                <w:i/>
                <w:color w:val="auto"/>
                <w:spacing w:val="0"/>
                <w:sz w:val="16"/>
                <w:szCs w:val="22"/>
                <w:lang w:val="nl-BE"/>
              </w:rPr>
            </w:pPr>
            <w:r w:rsidRPr="00AD785D">
              <w:rPr>
                <w:i/>
                <w:color w:val="auto"/>
                <w:spacing w:val="0"/>
                <w:sz w:val="16"/>
                <w:szCs w:val="22"/>
                <w:lang w:val="nl-BE"/>
              </w:rPr>
              <w:t xml:space="preserve">Somme à </w:t>
            </w:r>
            <w:proofErr w:type="spellStart"/>
            <w:r w:rsidRPr="00AD785D">
              <w:rPr>
                <w:i/>
                <w:color w:val="auto"/>
                <w:spacing w:val="0"/>
                <w:sz w:val="16"/>
                <w:szCs w:val="22"/>
                <w:lang w:val="nl-BE"/>
              </w:rPr>
              <w:t>percevoir</w:t>
            </w:r>
            <w:proofErr w:type="spellEnd"/>
          </w:p>
        </w:tc>
      </w:tr>
      <w:tr w:rsidR="00AD785D" w:rsidRPr="00AD785D" w:rsidTr="00AD785D">
        <w:tc>
          <w:tcPr>
            <w:tcW w:w="646" w:type="dxa"/>
            <w:tcBorders>
              <w:top w:val="single" w:sz="12" w:space="0" w:color="auto"/>
            </w:tcBorders>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nl-BE"/>
              </w:rPr>
            </w:pPr>
            <w:r w:rsidRPr="00AD785D">
              <w:rPr>
                <w:color w:val="auto"/>
                <w:spacing w:val="0"/>
                <w:szCs w:val="22"/>
                <w:lang w:val="nl-BE"/>
              </w:rPr>
              <w:t>1</w:t>
            </w:r>
          </w:p>
        </w:tc>
        <w:tc>
          <w:tcPr>
            <w:tcW w:w="4959" w:type="dxa"/>
            <w:tcBorders>
              <w:top w:val="single" w:sz="12" w:space="0" w:color="auto"/>
            </w:tcBorders>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Il n'y a pas de certificat belge ATP (ou une copie certifiée conforme ou un duplicata de celui-ci) dans l’engin destiné au transport routier immatriculé ou enregistré en Belgique. Toutefois si une plaque ATP, visée au point B de l’appendice 3 de l’annexe 1 de l’Accord, est apposée sur l’engin, elle sera acceptée au même titre que le certificat ATP.</w:t>
            </w:r>
          </w:p>
        </w:tc>
        <w:tc>
          <w:tcPr>
            <w:tcW w:w="2412" w:type="dxa"/>
            <w:tcBorders>
              <w:top w:val="single" w:sz="12" w:space="0" w:color="auto"/>
            </w:tcBorders>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Accord (1), Annexe 1, Appendice 1, §3 et point B de l’appendice 3.</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 xml:space="preserve">AR. du … (2), art. 10 </w:t>
            </w:r>
          </w:p>
        </w:tc>
        <w:tc>
          <w:tcPr>
            <w:tcW w:w="2127" w:type="dxa"/>
            <w:tcBorders>
              <w:top w:val="single" w:sz="12" w:space="0" w:color="auto"/>
            </w:tcBorders>
            <w:shd w:val="clear" w:color="auto" w:fill="auto"/>
          </w:tcPr>
          <w:p w:rsidR="00AD785D" w:rsidRPr="00AD785D" w:rsidRDefault="00AD785D" w:rsidP="00AD785D">
            <w:pPr>
              <w:pStyle w:val="FootnoteText"/>
              <w:spacing w:before="40" w:after="120" w:line="220" w:lineRule="exact"/>
              <w:ind w:right="113" w:firstLine="0"/>
              <w:jc w:val="right"/>
              <w:rPr>
                <w:color w:val="auto"/>
                <w:spacing w:val="0"/>
                <w:szCs w:val="22"/>
                <w:lang w:val="fr-BE"/>
              </w:rPr>
            </w:pPr>
          </w:p>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2</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 xml:space="preserve">Il n'y a pas de certificat ATP (ou une copie certifiée conforme ou un </w:t>
            </w:r>
            <w:r w:rsidR="00AF423E" w:rsidRPr="00AD785D">
              <w:rPr>
                <w:color w:val="auto"/>
                <w:spacing w:val="0"/>
                <w:szCs w:val="22"/>
                <w:lang w:val="fr-BE"/>
              </w:rPr>
              <w:t>duplicata</w:t>
            </w:r>
            <w:r w:rsidRPr="00AD785D">
              <w:rPr>
                <w:color w:val="auto"/>
                <w:spacing w:val="0"/>
                <w:szCs w:val="22"/>
                <w:lang w:val="fr-BE"/>
              </w:rPr>
              <w:t xml:space="preserve"> de celui-ci) dans l’engin destiné au transport routier qui n'a pas été immatriculé ou enregistré en Belgique. Toutefois si une plaque ATP, visée au point B de l’appendice 3 de l’annexe 1 de l’Accord, est apposée sur l’engin, elle sera acceptée au même titre que le certificat ATP.</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Accord (1), Annexe 1, Appendice 1, §3, et point B de l’appendice 3.</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 (2), art. 10</w:t>
            </w:r>
          </w:p>
        </w:tc>
        <w:tc>
          <w:tcPr>
            <w:tcW w:w="2127" w:type="dxa"/>
            <w:shd w:val="clear" w:color="auto" w:fill="auto"/>
          </w:tcPr>
          <w:p w:rsidR="00AD785D" w:rsidRPr="00AD785D" w:rsidRDefault="00AD785D" w:rsidP="00AD785D">
            <w:pPr>
              <w:pStyle w:val="FootnoteText"/>
              <w:spacing w:before="40" w:after="120" w:line="220" w:lineRule="exact"/>
              <w:ind w:right="113" w:firstLine="0"/>
              <w:jc w:val="right"/>
              <w:rPr>
                <w:color w:val="auto"/>
                <w:spacing w:val="0"/>
                <w:szCs w:val="22"/>
                <w:lang w:val="fr-BE"/>
              </w:rPr>
            </w:pPr>
          </w:p>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971D82">
            <w:pPr>
              <w:pStyle w:val="FootnoteText"/>
              <w:keepNext/>
              <w:keepLines/>
              <w:spacing w:before="40" w:after="120" w:line="220" w:lineRule="exact"/>
              <w:ind w:right="113" w:firstLine="0"/>
              <w:jc w:val="left"/>
              <w:rPr>
                <w:color w:val="auto"/>
                <w:spacing w:val="0"/>
                <w:szCs w:val="22"/>
                <w:lang w:val="fr-BE"/>
              </w:rPr>
            </w:pPr>
            <w:r w:rsidRPr="00AD785D">
              <w:rPr>
                <w:color w:val="auto"/>
                <w:spacing w:val="0"/>
                <w:szCs w:val="22"/>
                <w:lang w:val="fr-BE"/>
              </w:rPr>
              <w:lastRenderedPageBreak/>
              <w:t>3.</w:t>
            </w:r>
          </w:p>
        </w:tc>
        <w:tc>
          <w:tcPr>
            <w:tcW w:w="4959" w:type="dxa"/>
            <w:shd w:val="clear" w:color="auto" w:fill="auto"/>
            <w:hideMark/>
          </w:tcPr>
          <w:p w:rsidR="00AD785D" w:rsidRPr="00AD785D" w:rsidRDefault="00AD785D" w:rsidP="00971D82">
            <w:pPr>
              <w:pStyle w:val="FootnoteText"/>
              <w:keepNext/>
              <w:keepLines/>
              <w:spacing w:before="40" w:after="120" w:line="220" w:lineRule="exact"/>
              <w:ind w:right="113" w:firstLine="0"/>
              <w:jc w:val="left"/>
              <w:rPr>
                <w:color w:val="auto"/>
                <w:spacing w:val="0"/>
                <w:szCs w:val="22"/>
                <w:lang w:val="fr-BE"/>
              </w:rPr>
            </w:pPr>
            <w:r w:rsidRPr="00AD785D">
              <w:rPr>
                <w:color w:val="auto"/>
                <w:spacing w:val="0"/>
                <w:szCs w:val="22"/>
                <w:lang w:val="fr-BE"/>
              </w:rPr>
              <w:t>Le certificat ATP présenté (ou une copie certifiée conforme de celui-ci ou un duplicata) est expiré.</w:t>
            </w:r>
          </w:p>
        </w:tc>
        <w:tc>
          <w:tcPr>
            <w:tcW w:w="2412" w:type="dxa"/>
            <w:shd w:val="clear" w:color="auto" w:fill="auto"/>
            <w:hideMark/>
          </w:tcPr>
          <w:p w:rsidR="00AD785D" w:rsidRPr="00AD785D" w:rsidRDefault="00AD785D" w:rsidP="00971D82">
            <w:pPr>
              <w:pStyle w:val="FootnoteText"/>
              <w:keepNext/>
              <w:keepLines/>
              <w:numPr>
                <w:ilvl w:val="0"/>
                <w:numId w:val="1"/>
              </w:numPr>
              <w:tabs>
                <w:tab w:val="clear" w:pos="720"/>
                <w:tab w:val="left" w:pos="342"/>
              </w:tabs>
              <w:spacing w:before="40" w:after="120" w:line="220" w:lineRule="exact"/>
              <w:ind w:left="327" w:right="113" w:hanging="327"/>
              <w:jc w:val="left"/>
              <w:rPr>
                <w:color w:val="auto"/>
                <w:spacing w:val="0"/>
                <w:szCs w:val="22"/>
                <w:lang w:val="nl-BE"/>
              </w:rPr>
            </w:pPr>
            <w:r w:rsidRPr="00AD785D">
              <w:rPr>
                <w:color w:val="auto"/>
                <w:spacing w:val="0"/>
                <w:szCs w:val="22"/>
                <w:lang w:val="fr-BE"/>
              </w:rPr>
              <w:t>Accord (1), Annexe 1, Append</w:t>
            </w:r>
            <w:r w:rsidRPr="00AD785D">
              <w:rPr>
                <w:color w:val="auto"/>
                <w:spacing w:val="0"/>
                <w:szCs w:val="22"/>
                <w:lang w:val="nl-BE"/>
              </w:rPr>
              <w:t>ice 1, §1 et 3.</w:t>
            </w:r>
          </w:p>
          <w:p w:rsidR="00AD785D" w:rsidRPr="00AD785D" w:rsidRDefault="00AD785D" w:rsidP="00971D82">
            <w:pPr>
              <w:pStyle w:val="FootnoteText"/>
              <w:keepNext/>
              <w:keepLines/>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 (2), art.4, § 2, deuxième alinéa.</w:t>
            </w:r>
          </w:p>
        </w:tc>
        <w:tc>
          <w:tcPr>
            <w:tcW w:w="2127" w:type="dxa"/>
            <w:shd w:val="clear" w:color="auto" w:fill="auto"/>
            <w:hideMark/>
          </w:tcPr>
          <w:p w:rsidR="00AD785D" w:rsidRPr="00AD785D" w:rsidRDefault="00AD785D" w:rsidP="00971D82">
            <w:pPr>
              <w:pStyle w:val="FootnoteText"/>
              <w:keepNext/>
              <w:keepLines/>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4.a.</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Absence de marques d’identification sur l’engin destiné au transport routier.</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Accord (1), Annexe 1, Appendice 1, §4 et Appendice 4.</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r w:rsidRPr="00AD785D">
              <w:rPr>
                <w:color w:val="auto"/>
                <w:spacing w:val="0"/>
                <w:szCs w:val="22"/>
                <w:lang w:val="nl-BE"/>
              </w:rPr>
              <w:t>AR. du … (2), art. 11, § 1.</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nl-BE"/>
              </w:rPr>
            </w:pPr>
            <w:r w:rsidRPr="00AD785D">
              <w:rPr>
                <w:color w:val="auto"/>
                <w:spacing w:val="0"/>
                <w:szCs w:val="22"/>
                <w:lang w:val="nl-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nl-BE"/>
              </w:rPr>
            </w:pPr>
            <w:r w:rsidRPr="00AD785D">
              <w:rPr>
                <w:color w:val="auto"/>
                <w:spacing w:val="0"/>
                <w:szCs w:val="22"/>
                <w:lang w:val="nl-BE"/>
              </w:rPr>
              <w:t>4.b.</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Les marques d'identification sont erronées ou incomplètes ou non conformes avec les données du certificat ATP (ou une copie certifiée conforme ou un duplicata de celui-ci).</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Accord (1), Annexe 1, Appendice 1, §4 et Appendice 4.</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r w:rsidRPr="00AD785D">
              <w:rPr>
                <w:color w:val="auto"/>
                <w:spacing w:val="0"/>
                <w:szCs w:val="22"/>
                <w:lang w:val="nl-BE"/>
              </w:rPr>
              <w:t>AR. du … (2), art. 11, § 1.</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nl-BE"/>
              </w:rPr>
            </w:pPr>
            <w:r w:rsidRPr="00AD785D">
              <w:rPr>
                <w:color w:val="auto"/>
                <w:spacing w:val="0"/>
                <w:szCs w:val="22"/>
                <w:lang w:val="nl-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nl-BE"/>
              </w:rPr>
            </w:pPr>
            <w:r w:rsidRPr="00AD785D">
              <w:rPr>
                <w:color w:val="auto"/>
                <w:spacing w:val="0"/>
                <w:szCs w:val="22"/>
                <w:lang w:val="nl-BE"/>
              </w:rPr>
              <w:t>5.a.</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Absence d’une plaque d’identification apposée sur l’engin destiné au transport routier.</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1, </w:t>
            </w:r>
            <w:proofErr w:type="spellStart"/>
            <w:r w:rsidRPr="00AD785D">
              <w:rPr>
                <w:color w:val="auto"/>
                <w:spacing w:val="0"/>
                <w:szCs w:val="22"/>
                <w:lang w:val="nl-BE"/>
              </w:rPr>
              <w:t>Appendice</w:t>
            </w:r>
            <w:proofErr w:type="spellEnd"/>
            <w:r w:rsidRPr="00AD785D">
              <w:rPr>
                <w:color w:val="auto"/>
                <w:spacing w:val="0"/>
                <w:szCs w:val="22"/>
                <w:lang w:val="nl-BE"/>
              </w:rPr>
              <w:t xml:space="preserve"> 1, §5;</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…(2), art. 11, § 2.</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5.b.</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La plaque d’identification est erronée ou incomplète ou non conforme avec les données du certificat ATP (ou une copie certifiée conforme ou un duplicata de celui-ci).</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1, </w:t>
            </w:r>
            <w:proofErr w:type="spellStart"/>
            <w:r w:rsidRPr="00AD785D">
              <w:rPr>
                <w:color w:val="auto"/>
                <w:spacing w:val="0"/>
                <w:szCs w:val="22"/>
                <w:lang w:val="nl-BE"/>
              </w:rPr>
              <w:t>Appendice</w:t>
            </w:r>
            <w:proofErr w:type="spellEnd"/>
            <w:r w:rsidRPr="00AD785D">
              <w:rPr>
                <w:color w:val="auto"/>
                <w:spacing w:val="0"/>
                <w:szCs w:val="22"/>
                <w:lang w:val="nl-BE"/>
              </w:rPr>
              <w:t xml:space="preserve"> 1, §5;</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…(2), art. 11, § 2.</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6</w:t>
            </w:r>
          </w:p>
        </w:tc>
        <w:tc>
          <w:tcPr>
            <w:tcW w:w="4959" w:type="dxa"/>
            <w:shd w:val="clear" w:color="auto" w:fill="auto"/>
            <w:hideMark/>
          </w:tcPr>
          <w:p w:rsidR="00AD785D" w:rsidRPr="00DE3269" w:rsidRDefault="00AD785D" w:rsidP="00AD785D">
            <w:pPr>
              <w:pStyle w:val="FootnoteText"/>
              <w:spacing w:before="40" w:after="120" w:line="220" w:lineRule="exact"/>
              <w:ind w:right="113" w:firstLine="0"/>
              <w:jc w:val="left"/>
              <w:rPr>
                <w:color w:val="auto"/>
                <w:spacing w:val="-4"/>
                <w:szCs w:val="22"/>
                <w:lang w:val="fr-BE"/>
              </w:rPr>
            </w:pPr>
            <w:r w:rsidRPr="00DE3269">
              <w:rPr>
                <w:color w:val="auto"/>
                <w:spacing w:val="-4"/>
                <w:szCs w:val="22"/>
                <w:lang w:val="fr-BE"/>
              </w:rPr>
              <w:t>L’engin destiné au transport routier ne possède pas la classe ou la catégorie appropriée afin de se conformer aux règles de température requises pour le transport des denrées périssables surgelées et congelées figurant à l'annexe 2 de l'Accord (1).</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2;</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…(2), art. 2.</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7</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Les exigences, relatives aux températures pour le transport des denrées périssables surgelées et congelées figurant à l'annexe 2 de l'Accord (1), ne sont pas respectées.</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2;</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…(2), art. 2.</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DE3269">
            <w:pPr>
              <w:pStyle w:val="FootnoteText"/>
              <w:keepNext/>
              <w:keepLines/>
              <w:spacing w:before="40" w:after="120" w:line="220" w:lineRule="exact"/>
              <w:ind w:right="113" w:firstLine="0"/>
              <w:jc w:val="left"/>
              <w:rPr>
                <w:color w:val="auto"/>
                <w:spacing w:val="0"/>
                <w:szCs w:val="22"/>
                <w:lang w:val="fr-BE"/>
              </w:rPr>
            </w:pPr>
            <w:r w:rsidRPr="00AD785D">
              <w:rPr>
                <w:color w:val="auto"/>
                <w:spacing w:val="0"/>
                <w:szCs w:val="22"/>
                <w:lang w:val="fr-BE"/>
              </w:rPr>
              <w:lastRenderedPageBreak/>
              <w:t>8</w:t>
            </w:r>
          </w:p>
        </w:tc>
        <w:tc>
          <w:tcPr>
            <w:tcW w:w="4959" w:type="dxa"/>
            <w:shd w:val="clear" w:color="auto" w:fill="auto"/>
            <w:hideMark/>
          </w:tcPr>
          <w:p w:rsidR="00AD785D" w:rsidRPr="00AD785D" w:rsidRDefault="00AD785D" w:rsidP="00DE3269">
            <w:pPr>
              <w:pStyle w:val="FootnoteText"/>
              <w:keepNext/>
              <w:keepLines/>
              <w:spacing w:before="40" w:after="120" w:line="220" w:lineRule="exact"/>
              <w:ind w:right="113" w:firstLine="0"/>
              <w:jc w:val="left"/>
              <w:rPr>
                <w:color w:val="auto"/>
                <w:spacing w:val="0"/>
                <w:szCs w:val="22"/>
                <w:lang w:val="fr-BE"/>
              </w:rPr>
            </w:pPr>
            <w:r w:rsidRPr="00AD785D">
              <w:rPr>
                <w:color w:val="auto"/>
                <w:spacing w:val="0"/>
                <w:szCs w:val="22"/>
                <w:lang w:val="fr-BE"/>
              </w:rPr>
              <w:t>Absence de l'appareil de mesure pour le con-contrôle de la température prescrite pour le transport de denrées périssables surgelées .</w:t>
            </w:r>
          </w:p>
        </w:tc>
        <w:tc>
          <w:tcPr>
            <w:tcW w:w="2412" w:type="dxa"/>
            <w:shd w:val="clear" w:color="auto" w:fill="auto"/>
            <w:hideMark/>
          </w:tcPr>
          <w:p w:rsidR="00AD785D" w:rsidRPr="00AD785D" w:rsidRDefault="00AD785D" w:rsidP="00DE3269">
            <w:pPr>
              <w:pStyle w:val="FootnoteText"/>
              <w:keepNext/>
              <w:keepLines/>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2, </w:t>
            </w:r>
            <w:proofErr w:type="spellStart"/>
            <w:r w:rsidRPr="00AD785D">
              <w:rPr>
                <w:color w:val="auto"/>
                <w:spacing w:val="0"/>
                <w:szCs w:val="22"/>
                <w:lang w:val="nl-BE"/>
              </w:rPr>
              <w:t>Appendice</w:t>
            </w:r>
            <w:proofErr w:type="spellEnd"/>
            <w:r w:rsidRPr="00AD785D">
              <w:rPr>
                <w:color w:val="auto"/>
                <w:spacing w:val="0"/>
                <w:szCs w:val="22"/>
                <w:lang w:val="nl-BE"/>
              </w:rPr>
              <w:t xml:space="preserve"> 1.</w:t>
            </w:r>
          </w:p>
          <w:p w:rsidR="00AD785D" w:rsidRPr="00AD785D" w:rsidRDefault="00AD785D" w:rsidP="00DE3269">
            <w:pPr>
              <w:pStyle w:val="FootnoteText"/>
              <w:keepNext/>
              <w:keepLines/>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…(2), art.11, § 3, premier alinéa.</w:t>
            </w:r>
          </w:p>
        </w:tc>
        <w:tc>
          <w:tcPr>
            <w:tcW w:w="2127" w:type="dxa"/>
            <w:shd w:val="clear" w:color="auto" w:fill="auto"/>
            <w:hideMark/>
          </w:tcPr>
          <w:p w:rsidR="00AD785D" w:rsidRPr="00AD785D" w:rsidRDefault="00AD785D" w:rsidP="00DE3269">
            <w:pPr>
              <w:pStyle w:val="FootnoteText"/>
              <w:keepNext/>
              <w:keepLines/>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9</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L’engin destiné au transport routier ne possède pas la classe ou la catégorie appropriée afin de se conformer aux règles de température requises pour le transport de denrées périssables réfrigérées figurant à l'annexe 3 de l'Accord (1).</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3.</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fr-BE"/>
              </w:rPr>
            </w:pPr>
            <w:r w:rsidRPr="00AD785D">
              <w:rPr>
                <w:color w:val="auto"/>
                <w:spacing w:val="0"/>
                <w:szCs w:val="22"/>
                <w:lang w:val="fr-BE"/>
              </w:rPr>
              <w:t>AR. du …(2), art. 2.</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fr-BE"/>
              </w:rPr>
            </w:pPr>
            <w:r w:rsidRPr="00AD785D">
              <w:rPr>
                <w:color w:val="auto"/>
                <w:spacing w:val="0"/>
                <w:szCs w:val="22"/>
                <w:lang w:val="fr-BE"/>
              </w:rPr>
              <w:t>115 EUR</w:t>
            </w:r>
          </w:p>
        </w:tc>
      </w:tr>
      <w:tr w:rsidR="00AD785D" w:rsidRPr="00AD785D" w:rsidTr="00AD785D">
        <w:tc>
          <w:tcPr>
            <w:tcW w:w="646"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10</w:t>
            </w:r>
          </w:p>
        </w:tc>
        <w:tc>
          <w:tcPr>
            <w:tcW w:w="4959" w:type="dxa"/>
            <w:shd w:val="clear" w:color="auto" w:fill="auto"/>
            <w:hideMark/>
          </w:tcPr>
          <w:p w:rsidR="00AD785D" w:rsidRPr="00AD785D" w:rsidRDefault="00AD785D" w:rsidP="00AD785D">
            <w:pPr>
              <w:pStyle w:val="FootnoteText"/>
              <w:spacing w:before="40" w:after="120" w:line="220" w:lineRule="exact"/>
              <w:ind w:right="113" w:firstLine="0"/>
              <w:jc w:val="left"/>
              <w:rPr>
                <w:color w:val="auto"/>
                <w:spacing w:val="0"/>
                <w:szCs w:val="22"/>
                <w:lang w:val="fr-BE"/>
              </w:rPr>
            </w:pPr>
            <w:r w:rsidRPr="00AD785D">
              <w:rPr>
                <w:color w:val="auto"/>
                <w:spacing w:val="0"/>
                <w:szCs w:val="22"/>
                <w:lang w:val="fr-BE"/>
              </w:rPr>
              <w:t>Les exigences, relatives aux températures pour le transport des denrées périssables réfrigérées et congelées figurant à l'annexe 3 de l’Accord (1), ne sont pas respectées.</w:t>
            </w:r>
          </w:p>
        </w:tc>
        <w:tc>
          <w:tcPr>
            <w:tcW w:w="2412" w:type="dxa"/>
            <w:shd w:val="clear" w:color="auto" w:fill="auto"/>
            <w:hideMark/>
          </w:tcPr>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proofErr w:type="spellStart"/>
            <w:r w:rsidRPr="00AD785D">
              <w:rPr>
                <w:color w:val="auto"/>
                <w:spacing w:val="0"/>
                <w:szCs w:val="22"/>
                <w:lang w:val="nl-BE"/>
              </w:rPr>
              <w:t>Accord</w:t>
            </w:r>
            <w:proofErr w:type="spellEnd"/>
            <w:r w:rsidRPr="00AD785D">
              <w:rPr>
                <w:color w:val="auto"/>
                <w:spacing w:val="0"/>
                <w:szCs w:val="22"/>
                <w:lang w:val="nl-BE"/>
              </w:rPr>
              <w:t xml:space="preserve"> (1), Annexe 3;</w:t>
            </w:r>
          </w:p>
          <w:p w:rsidR="00AD785D" w:rsidRPr="00AD785D" w:rsidRDefault="00AD785D" w:rsidP="00971D82">
            <w:pPr>
              <w:pStyle w:val="FootnoteText"/>
              <w:numPr>
                <w:ilvl w:val="0"/>
                <w:numId w:val="1"/>
              </w:numPr>
              <w:tabs>
                <w:tab w:val="clear" w:pos="720"/>
                <w:tab w:val="left" w:pos="342"/>
              </w:tabs>
              <w:spacing w:before="40" w:after="120" w:line="220" w:lineRule="exact"/>
              <w:ind w:left="327" w:right="113" w:hanging="327"/>
              <w:jc w:val="left"/>
              <w:rPr>
                <w:color w:val="auto"/>
                <w:spacing w:val="0"/>
                <w:szCs w:val="22"/>
                <w:lang w:val="nl-BE"/>
              </w:rPr>
            </w:pPr>
            <w:r w:rsidRPr="00AD785D">
              <w:rPr>
                <w:color w:val="auto"/>
                <w:spacing w:val="0"/>
                <w:szCs w:val="22"/>
                <w:lang w:val="nl-BE"/>
              </w:rPr>
              <w:t>AR. du …(2), art. 2.</w:t>
            </w:r>
          </w:p>
        </w:tc>
        <w:tc>
          <w:tcPr>
            <w:tcW w:w="2127" w:type="dxa"/>
            <w:shd w:val="clear" w:color="auto" w:fill="auto"/>
            <w:hideMark/>
          </w:tcPr>
          <w:p w:rsidR="00AD785D" w:rsidRPr="00AD785D" w:rsidRDefault="00AD785D" w:rsidP="00AD785D">
            <w:pPr>
              <w:pStyle w:val="FootnoteText"/>
              <w:spacing w:before="40" w:after="120" w:line="220" w:lineRule="exact"/>
              <w:ind w:right="113" w:firstLine="0"/>
              <w:jc w:val="right"/>
              <w:rPr>
                <w:color w:val="auto"/>
                <w:spacing w:val="0"/>
                <w:szCs w:val="22"/>
                <w:lang w:val="nl-BE"/>
              </w:rPr>
            </w:pPr>
            <w:r w:rsidRPr="00AD785D">
              <w:rPr>
                <w:color w:val="auto"/>
                <w:spacing w:val="0"/>
                <w:szCs w:val="22"/>
                <w:lang w:val="nl-BE"/>
              </w:rPr>
              <w:t>115 EUR</w:t>
            </w:r>
          </w:p>
        </w:tc>
      </w:tr>
    </w:tbl>
    <w:p w:rsidR="00BA5DFA" w:rsidRDefault="00AD785D" w:rsidP="00971D82">
      <w:pPr>
        <w:pStyle w:val="SingleTxtG"/>
        <w:spacing w:before="240"/>
      </w:pPr>
      <w:r>
        <w:t>1)</w:t>
      </w:r>
      <w:r>
        <w:tab/>
      </w:r>
      <w:r w:rsidR="00BA5DFA">
        <w:t>Accord relatif aux transports internationaux de denrées périssables et aux engins spéciaux à utiliser pour ces transports (ATP), fait à Genève le 1er septembre 1970 et approuvé par la loi du 11 juillet 1979, dans la version qui est en vigueur</w:t>
      </w:r>
    </w:p>
    <w:p w:rsidR="00BA5DFA" w:rsidRDefault="00AD785D" w:rsidP="00AD785D">
      <w:pPr>
        <w:pStyle w:val="SingleTxtG"/>
      </w:pPr>
      <w:r>
        <w:t>2)</w:t>
      </w:r>
      <w:r>
        <w:tab/>
      </w:r>
      <w:r w:rsidR="00BA5DFA">
        <w:t>Arrêté royal du … relatif au transport international de denrées périssables et à l’utilisation de moyens spéciaux pour ce transport et modifiant l'arrêté royal du 19 j</w:t>
      </w:r>
      <w:r w:rsidR="00CA4DD2">
        <w:t>uillet 2000 relatif à la percep</w:t>
      </w:r>
      <w:r w:rsidR="00BA5DFA">
        <w:t>tion et à la consignation d'une somme lors de la constatation de certaines infractions en matière de transport par route.</w:t>
      </w:r>
    </w:p>
    <w:p w:rsidR="00BA5DFA" w:rsidRDefault="00BA5DFA" w:rsidP="00AD785D">
      <w:pPr>
        <w:pStyle w:val="SingleTxtG"/>
      </w:pPr>
      <w:r>
        <w:t>Vu pour être annexé à l’arrêté royal du</w:t>
      </w:r>
      <w:proofErr w:type="gramStart"/>
      <w:r>
        <w:t xml:space="preserve"> ….</w:t>
      </w:r>
      <w:proofErr w:type="gramEnd"/>
      <w:r>
        <w:t>relatif au transport routier international de denrées périssables et à l’utilisation de moyens spéciaux pour ce transport et modifiant l'arrêté royal du 19 juillet 2000 relatif à la perception et à la consignation d'une somme lors de la constatation de certaines infractions en matière de transport par route</w:t>
      </w:r>
    </w:p>
    <w:p w:rsidR="00604269" w:rsidRPr="00AF423E" w:rsidRDefault="00AF423E" w:rsidP="00AF423E">
      <w:pPr>
        <w:pStyle w:val="SingleTxtG"/>
        <w:spacing w:before="240" w:after="0"/>
        <w:jc w:val="center"/>
        <w:rPr>
          <w:u w:val="single"/>
        </w:rPr>
      </w:pPr>
      <w:r>
        <w:rPr>
          <w:u w:val="single"/>
        </w:rPr>
        <w:tab/>
      </w:r>
      <w:r>
        <w:rPr>
          <w:u w:val="single"/>
        </w:rPr>
        <w:tab/>
      </w:r>
      <w:r>
        <w:rPr>
          <w:u w:val="single"/>
        </w:rPr>
        <w:tab/>
      </w:r>
    </w:p>
    <w:sectPr w:rsidR="00604269" w:rsidRPr="00AF423E" w:rsidSect="00AF423E">
      <w:headerReference w:type="even" r:id="rId7"/>
      <w:headerReference w:type="default" r:id="rId8"/>
      <w:footerReference w:type="even" r:id="rId9"/>
      <w:footerReference w:type="defaul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3E" w:rsidRDefault="00AF423E" w:rsidP="00AF423E">
      <w:r>
        <w:separator/>
      </w:r>
    </w:p>
  </w:endnote>
  <w:endnote w:type="continuationSeparator" w:id="0">
    <w:p w:rsidR="00AF423E" w:rsidRDefault="00AF423E" w:rsidP="00AF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3E" w:rsidRDefault="00AF423E" w:rsidP="00AF423E">
    <w:pPr>
      <w:pStyle w:val="Footer"/>
      <w:jc w:val="left"/>
    </w:pPr>
    <w:r w:rsidRPr="00E11F69">
      <w:rPr>
        <w:b/>
        <w:sz w:val="18"/>
      </w:rPr>
      <w:fldChar w:fldCharType="begin"/>
    </w:r>
    <w:r w:rsidRPr="00E11F69">
      <w:rPr>
        <w:b/>
        <w:sz w:val="18"/>
      </w:rPr>
      <w:instrText xml:space="preserve"> PAGE  \* MERGEFORMAT </w:instrText>
    </w:r>
    <w:r w:rsidRPr="00E11F69">
      <w:rPr>
        <w:b/>
        <w:sz w:val="18"/>
      </w:rPr>
      <w:fldChar w:fldCharType="separate"/>
    </w:r>
    <w:r w:rsidR="00AD279A">
      <w:rPr>
        <w:b/>
        <w:noProof/>
        <w:sz w:val="18"/>
      </w:rPr>
      <w:t>2</w:t>
    </w:r>
    <w:r w:rsidRPr="00E11F6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3E" w:rsidRDefault="00AF423E" w:rsidP="00AF423E">
    <w:pPr>
      <w:pStyle w:val="Footer"/>
      <w:jc w:val="right"/>
    </w:pPr>
    <w:r w:rsidRPr="00E11F69">
      <w:rPr>
        <w:b/>
        <w:sz w:val="18"/>
      </w:rPr>
      <w:fldChar w:fldCharType="begin"/>
    </w:r>
    <w:r w:rsidRPr="00E11F69">
      <w:rPr>
        <w:b/>
        <w:sz w:val="18"/>
      </w:rPr>
      <w:instrText xml:space="preserve"> PAGE  \* MERGEFORMAT </w:instrText>
    </w:r>
    <w:r w:rsidRPr="00E11F69">
      <w:rPr>
        <w:b/>
        <w:sz w:val="18"/>
      </w:rPr>
      <w:fldChar w:fldCharType="separate"/>
    </w:r>
    <w:r w:rsidR="00AD279A">
      <w:rPr>
        <w:b/>
        <w:noProof/>
        <w:sz w:val="18"/>
      </w:rPr>
      <w:t>3</w:t>
    </w:r>
    <w:r w:rsidRPr="00E11F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3E" w:rsidRDefault="00AF423E" w:rsidP="00AF423E">
    <w:pPr>
      <w:pStyle w:val="Footer"/>
      <w:jc w:val="right"/>
    </w:pPr>
    <w:r w:rsidRPr="00E11F69">
      <w:rPr>
        <w:b/>
        <w:sz w:val="18"/>
      </w:rPr>
      <w:fldChar w:fldCharType="begin"/>
    </w:r>
    <w:r w:rsidRPr="00E11F69">
      <w:rPr>
        <w:b/>
        <w:sz w:val="18"/>
      </w:rPr>
      <w:instrText xml:space="preserve"> PAGE  \* MERGEFORMAT </w:instrText>
    </w:r>
    <w:r w:rsidRPr="00E11F69">
      <w:rPr>
        <w:b/>
        <w:sz w:val="18"/>
      </w:rPr>
      <w:fldChar w:fldCharType="separate"/>
    </w:r>
    <w:r w:rsidR="00AD279A">
      <w:rPr>
        <w:b/>
        <w:noProof/>
        <w:sz w:val="18"/>
      </w:rPr>
      <w:t>1</w:t>
    </w:r>
    <w:r w:rsidRPr="00E11F6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3E" w:rsidRDefault="00AF423E" w:rsidP="00AF423E">
      <w:r>
        <w:separator/>
      </w:r>
    </w:p>
  </w:footnote>
  <w:footnote w:type="continuationSeparator" w:id="0">
    <w:p w:rsidR="00AF423E" w:rsidRDefault="00AF423E" w:rsidP="00AF4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3E" w:rsidRPr="00E11F69" w:rsidRDefault="00AF423E" w:rsidP="00AF423E">
    <w:pPr>
      <w:pStyle w:val="Header"/>
      <w:pBdr>
        <w:bottom w:val="single" w:sz="4" w:space="1" w:color="auto"/>
      </w:pBdr>
      <w:rPr>
        <w:b/>
        <w:sz w:val="18"/>
        <w:szCs w:val="18"/>
        <w:lang w:val="fr-CH"/>
      </w:rPr>
    </w:pPr>
    <w:r>
      <w:rPr>
        <w:b/>
        <w:sz w:val="18"/>
        <w:szCs w:val="18"/>
        <w:lang w:val="fr-CH"/>
      </w:rPr>
      <w:t>WP.11-72-INF.2</w:t>
    </w:r>
  </w:p>
  <w:p w:rsidR="00AF423E" w:rsidRDefault="00AF4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3E" w:rsidRPr="00E11F69" w:rsidRDefault="00AF423E" w:rsidP="00971D82">
    <w:pPr>
      <w:pStyle w:val="Header"/>
      <w:pBdr>
        <w:bottom w:val="single" w:sz="4" w:space="1" w:color="auto"/>
      </w:pBdr>
      <w:jc w:val="right"/>
      <w:rPr>
        <w:b/>
        <w:sz w:val="18"/>
        <w:szCs w:val="18"/>
        <w:lang w:val="fr-CH"/>
      </w:rPr>
    </w:pPr>
    <w:r>
      <w:rPr>
        <w:b/>
        <w:sz w:val="18"/>
        <w:szCs w:val="18"/>
        <w:lang w:val="fr-CH"/>
      </w:rPr>
      <w:t>WP.11-72-INF.2</w:t>
    </w:r>
  </w:p>
  <w:p w:rsidR="00AF423E" w:rsidRDefault="00AF4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1120"/>
    <w:multiLevelType w:val="hybridMultilevel"/>
    <w:tmpl w:val="E28229C6"/>
    <w:lvl w:ilvl="0" w:tplc="0D90AC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95BD9"/>
    <w:multiLevelType w:val="hybridMultilevel"/>
    <w:tmpl w:val="796A3C24"/>
    <w:lvl w:ilvl="0" w:tplc="A6A456B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FA"/>
    <w:rsid w:val="0016645C"/>
    <w:rsid w:val="0019013D"/>
    <w:rsid w:val="001F4C2F"/>
    <w:rsid w:val="0046630D"/>
    <w:rsid w:val="004C28EA"/>
    <w:rsid w:val="0064662F"/>
    <w:rsid w:val="006A3572"/>
    <w:rsid w:val="00971D82"/>
    <w:rsid w:val="0098069B"/>
    <w:rsid w:val="00AD279A"/>
    <w:rsid w:val="00AD785D"/>
    <w:rsid w:val="00AF423E"/>
    <w:rsid w:val="00BA5DFA"/>
    <w:rsid w:val="00CA4DD2"/>
    <w:rsid w:val="00DE3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E688"/>
  <w15:docId w15:val="{5E1B5206-FC2F-4E99-B35D-6564F589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FA"/>
    <w:pPr>
      <w:spacing w:after="0" w:line="240" w:lineRule="auto"/>
      <w:ind w:firstLine="284"/>
      <w:jc w:val="both"/>
    </w:pPr>
    <w:rPr>
      <w:rFonts w:ascii="Times New Roman" w:eastAsia="Times New Roman" w:hAnsi="Times New Roman" w:cs="Times New Roman"/>
      <w:color w:val="000000"/>
      <w:spacing w:val="-3"/>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A5DFA"/>
    <w:rPr>
      <w:sz w:val="20"/>
    </w:rPr>
  </w:style>
  <w:style w:type="character" w:customStyle="1" w:styleId="FootnoteTextChar">
    <w:name w:val="Footnote Text Char"/>
    <w:basedOn w:val="DefaultParagraphFont"/>
    <w:link w:val="FootnoteText"/>
    <w:semiHidden/>
    <w:rsid w:val="00BA5DFA"/>
    <w:rPr>
      <w:rFonts w:ascii="Times New Roman" w:eastAsia="Times New Roman" w:hAnsi="Times New Roman" w:cs="Times New Roman"/>
      <w:color w:val="000000"/>
      <w:spacing w:val="-3"/>
      <w:sz w:val="20"/>
      <w:szCs w:val="20"/>
      <w:lang w:val="fr-FR"/>
    </w:rPr>
  </w:style>
  <w:style w:type="paragraph" w:customStyle="1" w:styleId="HChG">
    <w:name w:val="_ H _Ch_G"/>
    <w:basedOn w:val="Normal"/>
    <w:next w:val="Normal"/>
    <w:rsid w:val="0064662F"/>
    <w:pPr>
      <w:keepNext/>
      <w:keepLines/>
      <w:tabs>
        <w:tab w:val="right" w:pos="851"/>
      </w:tabs>
      <w:suppressAutoHyphens/>
      <w:spacing w:before="360" w:after="240" w:line="300" w:lineRule="exact"/>
      <w:ind w:left="1134" w:right="1134" w:hanging="1134"/>
      <w:jc w:val="left"/>
    </w:pPr>
    <w:rPr>
      <w:b/>
      <w:color w:val="auto"/>
      <w:spacing w:val="0"/>
      <w:sz w:val="28"/>
      <w:lang w:val="fr-CH"/>
    </w:rPr>
  </w:style>
  <w:style w:type="paragraph" w:customStyle="1" w:styleId="SingleTxtG">
    <w:name w:val="_ Single Txt_G"/>
    <w:basedOn w:val="Normal"/>
    <w:rsid w:val="00AD785D"/>
    <w:pPr>
      <w:suppressAutoHyphens/>
      <w:spacing w:after="120" w:line="240" w:lineRule="atLeast"/>
      <w:ind w:left="1134" w:right="1134" w:firstLine="0"/>
    </w:pPr>
    <w:rPr>
      <w:color w:val="auto"/>
      <w:spacing w:val="0"/>
      <w:sz w:val="20"/>
      <w:lang w:val="fr-CH"/>
    </w:rPr>
  </w:style>
  <w:style w:type="paragraph" w:customStyle="1" w:styleId="H1G">
    <w:name w:val="_ H_1_G"/>
    <w:basedOn w:val="Normal"/>
    <w:next w:val="Normal"/>
    <w:rsid w:val="0016645C"/>
    <w:pPr>
      <w:keepNext/>
      <w:keepLines/>
      <w:tabs>
        <w:tab w:val="right" w:pos="851"/>
      </w:tabs>
      <w:suppressAutoHyphens/>
      <w:spacing w:before="360" w:after="240" w:line="270" w:lineRule="exact"/>
      <w:ind w:left="1134" w:right="1134" w:hanging="1134"/>
      <w:jc w:val="left"/>
    </w:pPr>
    <w:rPr>
      <w:b/>
      <w:color w:val="auto"/>
      <w:spacing w:val="0"/>
      <w:lang w:val="fr-CH"/>
    </w:rPr>
  </w:style>
  <w:style w:type="paragraph" w:styleId="Header">
    <w:name w:val="header"/>
    <w:basedOn w:val="Normal"/>
    <w:link w:val="HeaderChar"/>
    <w:uiPriority w:val="99"/>
    <w:unhideWhenUsed/>
    <w:rsid w:val="00AF423E"/>
    <w:pPr>
      <w:tabs>
        <w:tab w:val="center" w:pos="4680"/>
        <w:tab w:val="right" w:pos="9360"/>
      </w:tabs>
    </w:pPr>
  </w:style>
  <w:style w:type="character" w:customStyle="1" w:styleId="HeaderChar">
    <w:name w:val="Header Char"/>
    <w:basedOn w:val="DefaultParagraphFont"/>
    <w:link w:val="Header"/>
    <w:uiPriority w:val="99"/>
    <w:rsid w:val="00AF423E"/>
    <w:rPr>
      <w:rFonts w:ascii="Times New Roman" w:eastAsia="Times New Roman" w:hAnsi="Times New Roman" w:cs="Times New Roman"/>
      <w:color w:val="000000"/>
      <w:spacing w:val="-3"/>
      <w:sz w:val="24"/>
      <w:szCs w:val="20"/>
      <w:lang w:val="fr-FR"/>
    </w:rPr>
  </w:style>
  <w:style w:type="paragraph" w:styleId="Footer">
    <w:name w:val="footer"/>
    <w:basedOn w:val="Normal"/>
    <w:link w:val="FooterChar"/>
    <w:uiPriority w:val="99"/>
    <w:unhideWhenUsed/>
    <w:rsid w:val="00AF423E"/>
    <w:pPr>
      <w:tabs>
        <w:tab w:val="center" w:pos="4680"/>
        <w:tab w:val="right" w:pos="9360"/>
      </w:tabs>
    </w:pPr>
  </w:style>
  <w:style w:type="character" w:customStyle="1" w:styleId="FooterChar">
    <w:name w:val="Footer Char"/>
    <w:basedOn w:val="DefaultParagraphFont"/>
    <w:link w:val="Footer"/>
    <w:uiPriority w:val="99"/>
    <w:rsid w:val="00AF423E"/>
    <w:rPr>
      <w:rFonts w:ascii="Times New Roman" w:eastAsia="Times New Roman" w:hAnsi="Times New Roman" w:cs="Times New Roman"/>
      <w:color w:val="000000"/>
      <w:spacing w:val="-3"/>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Hogenboom</dc:creator>
  <cp:lastModifiedBy>Lucille Caillot</cp:lastModifiedBy>
  <cp:revision>12</cp:revision>
  <cp:lastPrinted>2016-07-20T13:29:00Z</cp:lastPrinted>
  <dcterms:created xsi:type="dcterms:W3CDTF">2016-07-20T13:13:00Z</dcterms:created>
  <dcterms:modified xsi:type="dcterms:W3CDTF">2016-09-30T12:33:00Z</dcterms:modified>
</cp:coreProperties>
</file>