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F0A3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F0A38" w:rsidP="00BF0A38">
            <w:pPr>
              <w:jc w:val="right"/>
            </w:pPr>
            <w:r w:rsidRPr="00BF0A38">
              <w:rPr>
                <w:sz w:val="40"/>
              </w:rPr>
              <w:t>ECE</w:t>
            </w:r>
            <w:r>
              <w:t>/TRANS/WP.11/2016/5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F0A38" w:rsidP="00892A2F">
            <w:pPr>
              <w:spacing w:before="240"/>
            </w:pPr>
            <w:r>
              <w:t>Distr. générale</w:t>
            </w:r>
          </w:p>
          <w:p w:rsidR="00BF0A38" w:rsidRDefault="00BF0A38" w:rsidP="00BF0A38">
            <w:pPr>
              <w:spacing w:line="240" w:lineRule="exact"/>
            </w:pPr>
            <w:r>
              <w:t>19 juillet 2016</w:t>
            </w:r>
          </w:p>
          <w:p w:rsidR="00BF0A38" w:rsidRDefault="00BF0A38" w:rsidP="00BF0A38">
            <w:pPr>
              <w:spacing w:line="240" w:lineRule="exact"/>
            </w:pPr>
            <w:r>
              <w:t>Français</w:t>
            </w:r>
          </w:p>
          <w:p w:rsidR="00BF0A38" w:rsidRPr="00DB58B5" w:rsidRDefault="00BF0A38" w:rsidP="00BF0A38">
            <w:pPr>
              <w:spacing w:line="240" w:lineRule="exact"/>
            </w:pPr>
            <w:r>
              <w:t>Original : russe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F0A3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F0A38" w:rsidRPr="00685843" w:rsidRDefault="00BF0A38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:rsidR="00BF0A38" w:rsidRPr="00F30D47" w:rsidRDefault="00BF0A38" w:rsidP="00305801">
      <w:pPr>
        <w:spacing w:before="120"/>
        <w:rPr>
          <w:b/>
        </w:rPr>
      </w:pPr>
      <w:r>
        <w:rPr>
          <w:b/>
        </w:rPr>
        <w:t xml:space="preserve">Soixante-douzième </w:t>
      </w:r>
      <w:r w:rsidRPr="00F30D47">
        <w:rPr>
          <w:b/>
        </w:rPr>
        <w:t>session</w:t>
      </w:r>
    </w:p>
    <w:p w:rsidR="00BF0A38" w:rsidRDefault="00BF0A38" w:rsidP="00305801">
      <w:r>
        <w:t>Genève, 4-7 octobre 2016</w:t>
      </w:r>
    </w:p>
    <w:p w:rsidR="00BF0A38" w:rsidRDefault="00BF0A38" w:rsidP="00305801">
      <w:r>
        <w:t>Point 6 de l’ordre du jour provisoire</w:t>
      </w:r>
    </w:p>
    <w:p w:rsidR="00330B60" w:rsidRPr="00BF0A38" w:rsidRDefault="005C6365" w:rsidP="00BF0A38">
      <w:pPr>
        <w:rPr>
          <w:b/>
          <w:lang w:val="fr-FR"/>
        </w:rPr>
      </w:pPr>
      <w:r w:rsidRPr="00BF0A38">
        <w:rPr>
          <w:b/>
          <w:lang w:val="fr-FR"/>
        </w:rPr>
        <w:t>Manuel ATP</w:t>
      </w:r>
    </w:p>
    <w:p w:rsidR="00330B60" w:rsidRPr="00BF0A38" w:rsidRDefault="005C6365" w:rsidP="00BF0A38">
      <w:pPr>
        <w:pStyle w:val="HChG"/>
        <w:rPr>
          <w:lang w:val="fr-FR"/>
        </w:rPr>
      </w:pPr>
      <w:r w:rsidRPr="00BF0A38">
        <w:rPr>
          <w:lang w:val="fr-FR"/>
        </w:rPr>
        <w:tab/>
      </w:r>
      <w:r w:rsidRPr="00BF0A38">
        <w:rPr>
          <w:lang w:val="fr-FR"/>
        </w:rPr>
        <w:tab/>
        <w:t>Introduction dans le Manuel ATP, à la suite de l</w:t>
      </w:r>
      <w:r w:rsidR="00BF0A38">
        <w:rPr>
          <w:lang w:val="fr-FR"/>
        </w:rPr>
        <w:t>’</w:t>
      </w:r>
      <w:r w:rsidRPr="00BF0A38">
        <w:rPr>
          <w:lang w:val="fr-FR"/>
        </w:rPr>
        <w:t>article</w:t>
      </w:r>
      <w:r w:rsidR="00703524">
        <w:rPr>
          <w:lang w:val="fr-FR"/>
        </w:rPr>
        <w:t> </w:t>
      </w:r>
      <w:r w:rsidRPr="00BF0A38">
        <w:rPr>
          <w:lang w:val="fr-FR"/>
        </w:rPr>
        <w:t>3, d</w:t>
      </w:r>
      <w:r w:rsidR="00BF0A38">
        <w:rPr>
          <w:lang w:val="fr-FR"/>
        </w:rPr>
        <w:t>’</w:t>
      </w:r>
      <w:r w:rsidRPr="00BF0A38">
        <w:rPr>
          <w:lang w:val="fr-FR"/>
        </w:rPr>
        <w:t>une observation</w:t>
      </w:r>
      <w:r w:rsidRPr="00BF0A38">
        <w:rPr>
          <w:lang w:val="fr-FR"/>
        </w:rPr>
        <w:t xml:space="preserve"> portant sur la définition du terme «</w:t>
      </w:r>
      <w:r w:rsidR="00CB2C2C">
        <w:rPr>
          <w:lang w:val="fr-FR"/>
        </w:rPr>
        <w:t> </w:t>
      </w:r>
      <w:r w:rsidRPr="00BF0A38">
        <w:rPr>
          <w:lang w:val="fr-FR"/>
        </w:rPr>
        <w:t>denrées périssables</w:t>
      </w:r>
      <w:r w:rsidR="00CB2C2C">
        <w:rPr>
          <w:lang w:val="fr-FR"/>
        </w:rPr>
        <w:t> </w:t>
      </w:r>
      <w:r w:rsidRPr="00BF0A38">
        <w:rPr>
          <w:lang w:val="fr-FR"/>
        </w:rPr>
        <w:t>»</w:t>
      </w:r>
    </w:p>
    <w:p w:rsidR="00330B60" w:rsidRDefault="005C6365" w:rsidP="00BF0A38">
      <w:pPr>
        <w:pStyle w:val="H1G"/>
        <w:rPr>
          <w:lang w:val="fr-FR"/>
        </w:rPr>
      </w:pPr>
      <w:r w:rsidRPr="00BF0A38">
        <w:rPr>
          <w:lang w:val="fr-FR"/>
        </w:rPr>
        <w:tab/>
      </w:r>
      <w:r w:rsidRPr="00BF0A38">
        <w:rPr>
          <w:lang w:val="fr-FR"/>
        </w:rPr>
        <w:tab/>
        <w:t>Communication de la Fédération de Russie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BF0A38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BF0A38" w:rsidRPr="000001E7" w:rsidRDefault="00BF0A38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BF0A38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BF0A38" w:rsidRPr="00BF0A38" w:rsidRDefault="00BF0A38" w:rsidP="00BF0A38">
            <w:pPr>
              <w:pStyle w:val="SingleTxtG"/>
              <w:tabs>
                <w:tab w:val="left" w:pos="2835"/>
              </w:tabs>
              <w:ind w:left="2835" w:hanging="2551"/>
              <w:rPr>
                <w:rFonts w:eastAsiaTheme="minorHAnsi"/>
              </w:rPr>
            </w:pPr>
            <w:r w:rsidRPr="00BF0A38">
              <w:rPr>
                <w:rFonts w:eastAsiaTheme="minorHAnsi"/>
                <w:b/>
              </w:rPr>
              <w:t>Résumé analytique</w:t>
            </w:r>
            <w:r>
              <w:rPr>
                <w:rFonts w:eastAsiaTheme="minorHAnsi"/>
                <w:b/>
              </w:rPr>
              <w:t> </w:t>
            </w:r>
            <w:r w:rsidRPr="00BF0A38">
              <w:rPr>
                <w:rFonts w:eastAsiaTheme="minorHAnsi"/>
                <w:b/>
              </w:rPr>
              <w:t>:</w:t>
            </w:r>
            <w:r w:rsidRPr="00BF0A38">
              <w:rPr>
                <w:rFonts w:eastAsiaTheme="minorHAnsi"/>
              </w:rPr>
              <w:tab/>
            </w:r>
            <w:r w:rsidRPr="00BF0A38">
              <w:rPr>
                <w:rFonts w:eastAsiaTheme="minorHAnsi"/>
              </w:rPr>
              <w:tab/>
              <w:t>Dans l</w:t>
            </w:r>
            <w:r>
              <w:rPr>
                <w:rFonts w:eastAsiaTheme="minorHAnsi"/>
              </w:rPr>
              <w:t>’</w:t>
            </w:r>
            <w:r w:rsidRPr="00BF0A38">
              <w:rPr>
                <w:rFonts w:eastAsiaTheme="minorHAnsi"/>
              </w:rPr>
              <w:t>ATP, qui est consacré aux transports internationaux de denrées périssables et aux engins spéciaux à utiliser pour ces transports, on ne trouve pas de définition de l</w:t>
            </w:r>
            <w:r>
              <w:rPr>
                <w:rFonts w:eastAsiaTheme="minorHAnsi"/>
              </w:rPr>
              <w:t>’</w:t>
            </w:r>
            <w:r w:rsidRPr="00BF0A38">
              <w:rPr>
                <w:rFonts w:eastAsiaTheme="minorHAnsi"/>
              </w:rPr>
              <w:t>expression «</w:t>
            </w:r>
            <w:r>
              <w:rPr>
                <w:rFonts w:eastAsiaTheme="minorHAnsi"/>
              </w:rPr>
              <w:t> </w:t>
            </w:r>
            <w:r w:rsidRPr="00BF0A38">
              <w:rPr>
                <w:rFonts w:eastAsiaTheme="minorHAnsi"/>
              </w:rPr>
              <w:t>denrées périssables</w:t>
            </w:r>
            <w:r>
              <w:rPr>
                <w:rFonts w:eastAsiaTheme="minorHAnsi"/>
              </w:rPr>
              <w:t> </w:t>
            </w:r>
            <w:r w:rsidRPr="00BF0A38">
              <w:rPr>
                <w:rFonts w:eastAsiaTheme="minorHAnsi"/>
              </w:rPr>
              <w:t>».</w:t>
            </w:r>
          </w:p>
        </w:tc>
      </w:tr>
      <w:tr w:rsidR="00BF0A38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BF0A38" w:rsidRPr="00BF0A38" w:rsidRDefault="00BF0A38" w:rsidP="00BF0A38">
            <w:pPr>
              <w:pStyle w:val="SingleTxtG"/>
              <w:tabs>
                <w:tab w:val="left" w:pos="2835"/>
              </w:tabs>
              <w:ind w:left="2835" w:hanging="2551"/>
              <w:rPr>
                <w:rFonts w:eastAsiaTheme="minorHAnsi"/>
              </w:rPr>
            </w:pPr>
            <w:r w:rsidRPr="00BF0A38">
              <w:rPr>
                <w:rFonts w:eastAsiaTheme="minorHAnsi"/>
                <w:b/>
              </w:rPr>
              <w:t>Mesures à prendre</w:t>
            </w:r>
            <w:r>
              <w:rPr>
                <w:rFonts w:eastAsiaTheme="minorHAnsi"/>
                <w:b/>
              </w:rPr>
              <w:t> </w:t>
            </w:r>
            <w:r w:rsidRPr="00BF0A38">
              <w:rPr>
                <w:rFonts w:eastAsiaTheme="minorHAnsi"/>
                <w:b/>
              </w:rPr>
              <w:t>:</w:t>
            </w:r>
            <w:r w:rsidRPr="00BF0A38">
              <w:rPr>
                <w:rFonts w:eastAsiaTheme="minorHAnsi"/>
              </w:rPr>
              <w:tab/>
            </w:r>
            <w:r w:rsidRPr="00BF0A38">
              <w:rPr>
                <w:rFonts w:eastAsiaTheme="minorHAnsi"/>
              </w:rPr>
              <w:tab/>
              <w:t>Introduire dans le Manuel ATP, à la suite de l</w:t>
            </w:r>
            <w:r>
              <w:rPr>
                <w:rFonts w:eastAsiaTheme="minorHAnsi"/>
              </w:rPr>
              <w:t>’</w:t>
            </w:r>
            <w:r w:rsidRPr="00BF0A38">
              <w:rPr>
                <w:rFonts w:eastAsiaTheme="minorHAnsi"/>
              </w:rPr>
              <w:t>article 3 de l</w:t>
            </w:r>
            <w:r>
              <w:rPr>
                <w:rFonts w:eastAsiaTheme="minorHAnsi"/>
              </w:rPr>
              <w:t>’</w:t>
            </w:r>
            <w:r w:rsidRPr="00BF0A38">
              <w:rPr>
                <w:rFonts w:eastAsiaTheme="minorHAnsi"/>
              </w:rPr>
              <w:t>ATP, une observation portant sur la définition du terme «</w:t>
            </w:r>
            <w:r w:rsidR="00650695">
              <w:rPr>
                <w:rFonts w:eastAsiaTheme="minorHAnsi"/>
              </w:rPr>
              <w:t> </w:t>
            </w:r>
            <w:r w:rsidRPr="00BF0A38">
              <w:rPr>
                <w:rFonts w:eastAsiaTheme="minorHAnsi"/>
              </w:rPr>
              <w:t>denrées périssables</w:t>
            </w:r>
            <w:r w:rsidR="00650695">
              <w:rPr>
                <w:rFonts w:eastAsiaTheme="minorHAnsi"/>
              </w:rPr>
              <w:t> </w:t>
            </w:r>
            <w:r w:rsidRPr="00BF0A38">
              <w:rPr>
                <w:rFonts w:eastAsiaTheme="minorHAnsi"/>
              </w:rPr>
              <w:t>».</w:t>
            </w:r>
          </w:p>
        </w:tc>
      </w:tr>
      <w:tr w:rsidR="00BF0A38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BF0A38" w:rsidRPr="00BF0A38" w:rsidRDefault="00BF0A38" w:rsidP="000527BB">
            <w:pPr>
              <w:pStyle w:val="SingleTxtG"/>
              <w:tabs>
                <w:tab w:val="left" w:pos="2835"/>
              </w:tabs>
              <w:ind w:left="2835" w:hanging="2551"/>
              <w:rPr>
                <w:rFonts w:eastAsiaTheme="minorHAnsi"/>
              </w:rPr>
            </w:pPr>
            <w:r w:rsidRPr="00BF0A38">
              <w:rPr>
                <w:rFonts w:eastAsiaTheme="minorHAnsi"/>
                <w:b/>
              </w:rPr>
              <w:t>Documents de référence</w:t>
            </w:r>
            <w:r>
              <w:rPr>
                <w:rFonts w:eastAsiaTheme="minorHAnsi"/>
                <w:b/>
              </w:rPr>
              <w:t> </w:t>
            </w:r>
            <w:r w:rsidRPr="00BF0A38">
              <w:rPr>
                <w:rFonts w:eastAsiaTheme="minorHAnsi"/>
                <w:b/>
              </w:rPr>
              <w:t>:</w:t>
            </w:r>
            <w:r w:rsidRPr="00BF0A38">
              <w:rPr>
                <w:rFonts w:eastAsiaTheme="minorHAnsi"/>
              </w:rPr>
              <w:tab/>
              <w:t>1.</w:t>
            </w:r>
            <w:r w:rsidRPr="00BF0A38">
              <w:rPr>
                <w:rFonts w:eastAsiaTheme="minorHAnsi"/>
              </w:rPr>
              <w:tab/>
            </w:r>
            <w:r w:rsidRPr="000527BB">
              <w:rPr>
                <w:rFonts w:eastAsiaTheme="minorHAnsi"/>
                <w:spacing w:val="-2"/>
              </w:rPr>
              <w:t>«</w:t>
            </w:r>
            <w:r w:rsidR="00650695" w:rsidRPr="000527BB">
              <w:rPr>
                <w:rFonts w:eastAsiaTheme="minorHAnsi"/>
                <w:spacing w:val="-2"/>
              </w:rPr>
              <w:t> </w:t>
            </w:r>
            <w:r w:rsidRPr="000527BB">
              <w:rPr>
                <w:rFonts w:eastAsiaTheme="minorHAnsi"/>
                <w:spacing w:val="-2"/>
              </w:rPr>
              <w:t>Accord concernant le transport international des marchandises par chemin de fer</w:t>
            </w:r>
            <w:r w:rsidR="00650695" w:rsidRPr="000527BB">
              <w:rPr>
                <w:rFonts w:eastAsiaTheme="minorHAnsi"/>
                <w:spacing w:val="-2"/>
              </w:rPr>
              <w:t> </w:t>
            </w:r>
            <w:r w:rsidRPr="000527BB">
              <w:rPr>
                <w:rFonts w:eastAsiaTheme="minorHAnsi"/>
                <w:spacing w:val="-2"/>
              </w:rPr>
              <w:t>»</w:t>
            </w:r>
            <w:r w:rsidR="00650695" w:rsidRPr="000527BB">
              <w:rPr>
                <w:rFonts w:eastAsiaTheme="minorHAnsi"/>
                <w:spacing w:val="-2"/>
              </w:rPr>
              <w:t>*</w:t>
            </w:r>
            <w:r w:rsidRPr="000527BB">
              <w:rPr>
                <w:rFonts w:eastAsiaTheme="minorHAnsi"/>
                <w:spacing w:val="-2"/>
              </w:rPr>
              <w:t xml:space="preserve"> (SMGS) (tel que modifié au 1</w:t>
            </w:r>
            <w:r w:rsidRPr="000527BB">
              <w:rPr>
                <w:rFonts w:eastAsiaTheme="minorHAnsi"/>
                <w:spacing w:val="-2"/>
                <w:vertAlign w:val="superscript"/>
              </w:rPr>
              <w:t>er</w:t>
            </w:r>
            <w:r w:rsidR="00650695" w:rsidRPr="000527BB">
              <w:rPr>
                <w:rFonts w:eastAsiaTheme="minorHAnsi"/>
                <w:spacing w:val="-2"/>
              </w:rPr>
              <w:t> </w:t>
            </w:r>
            <w:r w:rsidRPr="000527BB">
              <w:rPr>
                <w:rFonts w:eastAsiaTheme="minorHAnsi"/>
                <w:spacing w:val="-2"/>
              </w:rPr>
              <w:t>juillet</w:t>
            </w:r>
            <w:r w:rsidR="00650695" w:rsidRPr="000527BB">
              <w:rPr>
                <w:rFonts w:eastAsiaTheme="minorHAnsi"/>
                <w:spacing w:val="-2"/>
              </w:rPr>
              <w:t> </w:t>
            </w:r>
            <w:r w:rsidR="0002676F">
              <w:rPr>
                <w:rFonts w:eastAsiaTheme="minorHAnsi"/>
                <w:spacing w:val="-2"/>
              </w:rPr>
              <w:t>2015), titre </w:t>
            </w:r>
            <w:r w:rsidRPr="000527BB">
              <w:rPr>
                <w:rFonts w:eastAsiaTheme="minorHAnsi"/>
                <w:spacing w:val="-2"/>
              </w:rPr>
              <w:t>IV, «</w:t>
            </w:r>
            <w:r w:rsidR="00650695" w:rsidRPr="000527BB">
              <w:rPr>
                <w:rFonts w:eastAsiaTheme="minorHAnsi"/>
                <w:spacing w:val="-2"/>
              </w:rPr>
              <w:t> </w:t>
            </w:r>
            <w:r w:rsidRPr="000527BB">
              <w:rPr>
                <w:rFonts w:eastAsiaTheme="minorHAnsi"/>
                <w:spacing w:val="-2"/>
              </w:rPr>
              <w:t>Conditions spéciales de transport de certains types de marchandises</w:t>
            </w:r>
            <w:r w:rsidR="00650695" w:rsidRPr="000527BB">
              <w:rPr>
                <w:rFonts w:eastAsiaTheme="minorHAnsi"/>
                <w:spacing w:val="-2"/>
              </w:rPr>
              <w:t> </w:t>
            </w:r>
            <w:r w:rsidRPr="000527BB">
              <w:rPr>
                <w:rFonts w:eastAsiaTheme="minorHAnsi"/>
                <w:spacing w:val="-2"/>
              </w:rPr>
              <w:t>», point</w:t>
            </w:r>
            <w:r w:rsidR="000527BB" w:rsidRPr="000527BB">
              <w:rPr>
                <w:rFonts w:eastAsiaTheme="minorHAnsi"/>
                <w:spacing w:val="-2"/>
              </w:rPr>
              <w:t> </w:t>
            </w:r>
            <w:r w:rsidRPr="000527BB">
              <w:rPr>
                <w:rFonts w:eastAsiaTheme="minorHAnsi"/>
                <w:spacing w:val="-2"/>
              </w:rPr>
              <w:t>13, «</w:t>
            </w:r>
            <w:r w:rsidR="00650695" w:rsidRPr="000527BB">
              <w:rPr>
                <w:rFonts w:eastAsiaTheme="minorHAnsi"/>
                <w:spacing w:val="-2"/>
              </w:rPr>
              <w:t> </w:t>
            </w:r>
            <w:r w:rsidRPr="000527BB">
              <w:rPr>
                <w:rFonts w:eastAsiaTheme="minorHAnsi"/>
                <w:spacing w:val="-2"/>
              </w:rPr>
              <w:t>Marchandises périssables</w:t>
            </w:r>
            <w:r w:rsidR="00650695" w:rsidRPr="000527BB">
              <w:rPr>
                <w:rFonts w:eastAsiaTheme="minorHAnsi"/>
                <w:spacing w:val="-2"/>
              </w:rPr>
              <w:t> </w:t>
            </w:r>
            <w:r w:rsidRPr="000527BB">
              <w:rPr>
                <w:rFonts w:eastAsiaTheme="minorHAnsi"/>
                <w:spacing w:val="-2"/>
              </w:rPr>
              <w:t>»</w:t>
            </w:r>
            <w:r w:rsidR="00CB2C2C" w:rsidRPr="000527BB">
              <w:rPr>
                <w:rFonts w:eastAsiaTheme="minorHAnsi"/>
                <w:spacing w:val="-2"/>
              </w:rPr>
              <w:t> ;</w:t>
            </w:r>
          </w:p>
        </w:tc>
      </w:tr>
      <w:tr w:rsidR="00BF0A38" w:rsidTr="00BF0A38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BF0A38" w:rsidRPr="00BF0A38" w:rsidRDefault="00BF0A38" w:rsidP="00BF0A38">
            <w:pPr>
              <w:pStyle w:val="SingleTxtG"/>
              <w:tabs>
                <w:tab w:val="left" w:pos="2835"/>
              </w:tabs>
              <w:ind w:left="2835" w:hanging="2551"/>
              <w:rPr>
                <w:rFonts w:eastAsiaTheme="minorHAnsi"/>
              </w:rPr>
            </w:pPr>
            <w:r w:rsidRPr="00BF0A38">
              <w:rPr>
                <w:rFonts w:eastAsiaTheme="minorHAnsi"/>
              </w:rPr>
              <w:tab/>
              <w:t>2.</w:t>
            </w:r>
            <w:r w:rsidRPr="00BF0A38">
              <w:rPr>
                <w:rFonts w:eastAsiaTheme="minorHAnsi"/>
              </w:rPr>
              <w:tab/>
              <w:t xml:space="preserve">Loi fédérale de la Fédération de Russie </w:t>
            </w:r>
            <w:r w:rsidRPr="00BF0A38">
              <w:rPr>
                <w:rFonts w:eastAsia="MS Mincho"/>
              </w:rPr>
              <w:t>n</w:t>
            </w:r>
            <w:r w:rsidRPr="00BF0A38">
              <w:rPr>
                <w:rFonts w:eastAsia="MS Mincho"/>
                <w:vertAlign w:val="superscript"/>
              </w:rPr>
              <w:t>o</w:t>
            </w:r>
            <w:r>
              <w:rPr>
                <w:rFonts w:eastAsiaTheme="minorHAnsi"/>
              </w:rPr>
              <w:t> </w:t>
            </w:r>
            <w:r w:rsidRPr="00BF0A38">
              <w:rPr>
                <w:rFonts w:eastAsiaTheme="minorHAnsi"/>
              </w:rPr>
              <w:t>259-FЗ, réglementant le transport automobile et le transport terrestre urbain électrique, en date du 8 novembre</w:t>
            </w:r>
            <w:r w:rsidR="00650695">
              <w:rPr>
                <w:rFonts w:eastAsiaTheme="minorHAnsi"/>
              </w:rPr>
              <w:t xml:space="preserve"> 2007 (telle que modifiée au 13 </w:t>
            </w:r>
            <w:r w:rsidRPr="00BF0A38">
              <w:rPr>
                <w:rFonts w:eastAsiaTheme="minorHAnsi"/>
              </w:rPr>
              <w:t>juillet 2015) (texte en vigueur depuis le 19 octobre 2015)</w:t>
            </w:r>
            <w:r w:rsidR="00CB2C2C">
              <w:rPr>
                <w:rFonts w:eastAsiaTheme="minorHAnsi"/>
              </w:rPr>
              <w:t> ;</w:t>
            </w:r>
          </w:p>
        </w:tc>
      </w:tr>
      <w:tr w:rsidR="00BF0A38" w:rsidTr="00BF0A38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F0A38" w:rsidRPr="00BF0A38" w:rsidRDefault="00BF0A38" w:rsidP="00650695">
            <w:pPr>
              <w:pStyle w:val="SingleTxtG"/>
              <w:keepNext/>
              <w:tabs>
                <w:tab w:val="left" w:pos="2835"/>
              </w:tabs>
              <w:ind w:left="2835" w:hanging="2551"/>
              <w:rPr>
                <w:rFonts w:eastAsiaTheme="minorHAnsi"/>
              </w:rPr>
            </w:pPr>
            <w:r w:rsidRPr="00BF0A38">
              <w:rPr>
                <w:rFonts w:eastAsiaTheme="minorHAnsi"/>
              </w:rPr>
              <w:lastRenderedPageBreak/>
              <w:tab/>
              <w:t>3.</w:t>
            </w:r>
            <w:r w:rsidRPr="00BF0A38">
              <w:rPr>
                <w:rFonts w:eastAsiaTheme="minorHAnsi"/>
              </w:rPr>
              <w:tab/>
              <w:t>Règles relatives au transport des marchandises périssables par chemin de fer, fixées par l</w:t>
            </w:r>
            <w:r>
              <w:rPr>
                <w:rFonts w:eastAsiaTheme="minorHAnsi"/>
              </w:rPr>
              <w:t>’</w:t>
            </w:r>
            <w:r w:rsidRPr="00BF0A38">
              <w:rPr>
                <w:rFonts w:eastAsiaTheme="minorHAnsi"/>
              </w:rPr>
              <w:t xml:space="preserve">arrêté </w:t>
            </w:r>
            <w:r w:rsidRPr="00BF0A38">
              <w:rPr>
                <w:rFonts w:eastAsia="MS Mincho"/>
              </w:rPr>
              <w:t>n</w:t>
            </w:r>
            <w:r w:rsidRPr="00BF0A38">
              <w:rPr>
                <w:rFonts w:eastAsia="MS Mincho"/>
                <w:vertAlign w:val="superscript"/>
              </w:rPr>
              <w:t>o</w:t>
            </w:r>
            <w:r>
              <w:rPr>
                <w:rFonts w:eastAsiaTheme="minorHAnsi"/>
              </w:rPr>
              <w:t> </w:t>
            </w:r>
            <w:r w:rsidRPr="00BF0A38">
              <w:rPr>
                <w:rFonts w:eastAsiaTheme="minorHAnsi"/>
              </w:rPr>
              <w:t>37 du 18</w:t>
            </w:r>
            <w:r w:rsidR="00650695">
              <w:rPr>
                <w:rFonts w:eastAsiaTheme="minorHAnsi"/>
              </w:rPr>
              <w:t> </w:t>
            </w:r>
            <w:r w:rsidRPr="00BF0A38">
              <w:rPr>
                <w:rFonts w:eastAsiaTheme="minorHAnsi"/>
              </w:rPr>
              <w:t>juin</w:t>
            </w:r>
            <w:r w:rsidR="00650695">
              <w:rPr>
                <w:rFonts w:eastAsiaTheme="minorHAnsi"/>
              </w:rPr>
              <w:t> </w:t>
            </w:r>
            <w:r w:rsidRPr="00BF0A38">
              <w:rPr>
                <w:rFonts w:eastAsiaTheme="minorHAnsi"/>
              </w:rPr>
              <w:t>2003 du Ministère des transports de la Fédération de Russie (document enregistré par le Ministère de la justice le 19 juin 2003 sous le numéro</w:t>
            </w:r>
            <w:r w:rsidR="00650695">
              <w:rPr>
                <w:rFonts w:eastAsiaTheme="minorHAnsi"/>
              </w:rPr>
              <w:t> </w:t>
            </w:r>
            <w:r w:rsidRPr="00BF0A38">
              <w:rPr>
                <w:rFonts w:eastAsiaTheme="minorHAnsi"/>
              </w:rPr>
              <w:t>4762)</w:t>
            </w:r>
            <w:r w:rsidR="00CB2C2C">
              <w:rPr>
                <w:rFonts w:eastAsiaTheme="minorHAnsi"/>
              </w:rPr>
              <w:t> ;</w:t>
            </w:r>
          </w:p>
        </w:tc>
      </w:tr>
      <w:tr w:rsidR="00BF0A38" w:rsidTr="00BF0A38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BF0A38" w:rsidRPr="00BF0A38" w:rsidRDefault="00BF0A38" w:rsidP="00650695">
            <w:pPr>
              <w:pStyle w:val="SingleTxtG"/>
              <w:tabs>
                <w:tab w:val="left" w:pos="2835"/>
              </w:tabs>
              <w:ind w:left="2835" w:hanging="2551"/>
              <w:rPr>
                <w:lang w:val="fr-FR"/>
              </w:rPr>
            </w:pPr>
            <w:r>
              <w:rPr>
                <w:lang w:val="fr-FR"/>
              </w:rPr>
              <w:tab/>
            </w:r>
            <w:r w:rsidRPr="00BF0A38">
              <w:rPr>
                <w:lang w:val="fr-FR"/>
              </w:rPr>
              <w:t>4.</w:t>
            </w:r>
            <w:r>
              <w:rPr>
                <w:lang w:val="fr-FR"/>
              </w:rPr>
              <w:tab/>
            </w:r>
            <w:r w:rsidRPr="00BF0A38">
              <w:rPr>
                <w:rFonts w:eastAsiaTheme="minorHAnsi"/>
              </w:rPr>
              <w:t>Règles</w:t>
            </w:r>
            <w:r w:rsidRPr="00BF0A38">
              <w:rPr>
                <w:lang w:val="fr-FR"/>
              </w:rPr>
              <w:t xml:space="preserve"> applicables au transport routier de marchandises (telles que modifiées le 3</w:t>
            </w:r>
            <w:r w:rsidR="00650695">
              <w:rPr>
                <w:lang w:val="fr-FR"/>
              </w:rPr>
              <w:t> </w:t>
            </w:r>
            <w:r w:rsidRPr="00BF0A38">
              <w:rPr>
                <w:lang w:val="fr-FR"/>
              </w:rPr>
              <w:t>décembre</w:t>
            </w:r>
            <w:r w:rsidR="00650695">
              <w:rPr>
                <w:lang w:val="fr-FR"/>
              </w:rPr>
              <w:t> </w:t>
            </w:r>
            <w:r w:rsidRPr="00BF0A38">
              <w:rPr>
                <w:lang w:val="fr-FR"/>
              </w:rPr>
              <w:t xml:space="preserve">2015), </w:t>
            </w:r>
            <w:r w:rsidRPr="00BF0A38">
              <w:rPr>
                <w:rFonts w:eastAsiaTheme="minorHAnsi"/>
              </w:rPr>
              <w:t>fixées</w:t>
            </w:r>
            <w:r w:rsidRPr="00BF0A38">
              <w:rPr>
                <w:lang w:val="fr-FR"/>
              </w:rPr>
              <w:t xml:space="preserve"> par le décret gouvernemental de la Fédération de Russie </w:t>
            </w:r>
            <w:r w:rsidRPr="00BF0A38">
              <w:rPr>
                <w:rFonts w:eastAsia="MS Mincho"/>
              </w:rPr>
              <w:t>n</w:t>
            </w:r>
            <w:r w:rsidRPr="00BF0A38">
              <w:rPr>
                <w:rFonts w:eastAsia="MS Mincho"/>
                <w:vertAlign w:val="superscript"/>
              </w:rPr>
              <w:t>o</w:t>
            </w:r>
            <w:r>
              <w:rPr>
                <w:rFonts w:eastAsiaTheme="minorHAnsi"/>
              </w:rPr>
              <w:t> </w:t>
            </w:r>
            <w:r w:rsidRPr="00BF0A38">
              <w:rPr>
                <w:lang w:val="fr-FR"/>
              </w:rPr>
              <w:t>272 du 15</w:t>
            </w:r>
            <w:r w:rsidR="00650695">
              <w:rPr>
                <w:lang w:val="fr-FR"/>
              </w:rPr>
              <w:t> </w:t>
            </w:r>
            <w:r w:rsidRPr="00BF0A38">
              <w:rPr>
                <w:lang w:val="fr-FR"/>
              </w:rPr>
              <w:t>avril</w:t>
            </w:r>
            <w:r w:rsidR="00650695">
              <w:rPr>
                <w:lang w:val="fr-FR"/>
              </w:rPr>
              <w:t> </w:t>
            </w:r>
            <w:r w:rsidRPr="00BF0A38">
              <w:rPr>
                <w:lang w:val="fr-FR"/>
              </w:rPr>
              <w:t>2011.</w:t>
            </w:r>
          </w:p>
        </w:tc>
      </w:tr>
      <w:tr w:rsidR="00BF0A38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BF0A38" w:rsidRDefault="00BF0A38" w:rsidP="00216E0F"/>
        </w:tc>
      </w:tr>
    </w:tbl>
    <w:p w:rsidR="00330B60" w:rsidRPr="00BF0A38" w:rsidRDefault="005C6365" w:rsidP="00650695">
      <w:pPr>
        <w:pStyle w:val="HChG"/>
        <w:rPr>
          <w:lang w:val="fr-FR"/>
        </w:rPr>
      </w:pPr>
      <w:r w:rsidRPr="00BF0A38">
        <w:rPr>
          <w:lang w:val="fr-FR"/>
        </w:rPr>
        <w:tab/>
      </w:r>
      <w:r w:rsidRPr="00BF0A38">
        <w:rPr>
          <w:lang w:val="fr-FR"/>
        </w:rPr>
        <w:tab/>
      </w:r>
      <w:r w:rsidRPr="00650695">
        <w:t>Introduction</w:t>
      </w:r>
    </w:p>
    <w:p w:rsidR="00330B60" w:rsidRPr="00BF0A38" w:rsidRDefault="00BF0A38" w:rsidP="00BF0A38">
      <w:pPr>
        <w:pStyle w:val="SingleTxtG"/>
        <w:rPr>
          <w:lang w:val="fr-FR"/>
        </w:rPr>
      </w:pPr>
      <w:r>
        <w:rPr>
          <w:lang w:val="fr-FR"/>
        </w:rPr>
        <w:t>1.</w:t>
      </w:r>
      <w:r w:rsidR="005C6365" w:rsidRPr="00BF0A38">
        <w:rPr>
          <w:lang w:val="fr-FR"/>
        </w:rPr>
        <w:tab/>
        <w:t>À la</w:t>
      </w:r>
      <w:r w:rsidR="005C6365" w:rsidRPr="00BF0A38">
        <w:rPr>
          <w:lang w:val="fr-FR"/>
        </w:rPr>
        <w:t xml:space="preserve"> soixante et onzième session du WP.11, la Fédération de Russie a présenté le document ECE/TRANS/WP.11/2015/18, dans lequel les participants à la soixante-dixième session du Groupe de travail avaient décidé d</w:t>
      </w:r>
      <w:r>
        <w:rPr>
          <w:lang w:val="fr-FR"/>
        </w:rPr>
        <w:t>’</w:t>
      </w:r>
      <w:r w:rsidR="005C6365" w:rsidRPr="00BF0A38">
        <w:rPr>
          <w:lang w:val="fr-FR"/>
        </w:rPr>
        <w:t>un commun accord de proposer l</w:t>
      </w:r>
      <w:r>
        <w:rPr>
          <w:lang w:val="fr-FR"/>
        </w:rPr>
        <w:t>’</w:t>
      </w:r>
      <w:r w:rsidR="005C6365" w:rsidRPr="00BF0A38">
        <w:rPr>
          <w:lang w:val="fr-FR"/>
        </w:rPr>
        <w:t>ajout dans le Man</w:t>
      </w:r>
      <w:r w:rsidR="005C6365" w:rsidRPr="00BF0A38">
        <w:rPr>
          <w:lang w:val="fr-FR"/>
        </w:rPr>
        <w:t>uel ATP, à la suite de l</w:t>
      </w:r>
      <w:r>
        <w:rPr>
          <w:lang w:val="fr-FR"/>
        </w:rPr>
        <w:t>’</w:t>
      </w:r>
      <w:r w:rsidR="005C6365" w:rsidRPr="00BF0A38">
        <w:rPr>
          <w:lang w:val="fr-FR"/>
        </w:rPr>
        <w:t>article 3 et à titre d</w:t>
      </w:r>
      <w:r>
        <w:rPr>
          <w:lang w:val="fr-FR"/>
        </w:rPr>
        <w:t>’</w:t>
      </w:r>
      <w:r w:rsidR="005C6365" w:rsidRPr="00BF0A38">
        <w:rPr>
          <w:lang w:val="fr-FR"/>
        </w:rPr>
        <w:t>observation, la définition du terme «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denrées périssables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».</w:t>
      </w:r>
    </w:p>
    <w:p w:rsidR="00330B60" w:rsidRPr="00BF0A38" w:rsidRDefault="005C6365" w:rsidP="00BF0A38">
      <w:pPr>
        <w:pStyle w:val="SingleTxtG"/>
        <w:rPr>
          <w:lang w:val="fr-FR"/>
        </w:rPr>
      </w:pPr>
      <w:r w:rsidRPr="00BF0A38">
        <w:rPr>
          <w:lang w:val="fr-FR"/>
        </w:rPr>
        <w:t>2.</w:t>
      </w:r>
      <w:r w:rsidR="00BF0A38">
        <w:rPr>
          <w:lang w:val="fr-FR"/>
        </w:rPr>
        <w:tab/>
      </w:r>
      <w:r w:rsidRPr="00BF0A38">
        <w:rPr>
          <w:lang w:val="fr-FR"/>
        </w:rPr>
        <w:t>Pendant l</w:t>
      </w:r>
      <w:r w:rsidR="00BF0A38">
        <w:rPr>
          <w:lang w:val="fr-FR"/>
        </w:rPr>
        <w:t>’</w:t>
      </w:r>
      <w:r w:rsidRPr="00BF0A38">
        <w:rPr>
          <w:lang w:val="fr-FR"/>
        </w:rPr>
        <w:t>examen par le Groupe de travail à sa soixante et onzième session du document ECE/TRANS/WP.11/2015/18, un certain nombre de pays n</w:t>
      </w:r>
      <w:r w:rsidR="00BF0A38">
        <w:rPr>
          <w:lang w:val="fr-FR"/>
        </w:rPr>
        <w:t>’</w:t>
      </w:r>
      <w:r w:rsidRPr="00BF0A38">
        <w:rPr>
          <w:lang w:val="fr-FR"/>
        </w:rPr>
        <w:t xml:space="preserve">ont </w:t>
      </w:r>
      <w:r w:rsidRPr="00BF0A38">
        <w:rPr>
          <w:lang w:val="fr-FR"/>
        </w:rPr>
        <w:t>pas retrouvé, dans la définition proposée par la Fédération de Russie pour le terme «</w:t>
      </w:r>
      <w:r w:rsidR="00CB2C2C">
        <w:rPr>
          <w:lang w:val="fr-FR"/>
        </w:rPr>
        <w:t> </w:t>
      </w:r>
      <w:r w:rsidRPr="00BF0A38">
        <w:rPr>
          <w:lang w:val="fr-FR"/>
        </w:rPr>
        <w:t>denrées périssables</w:t>
      </w:r>
      <w:r w:rsidR="00CB2C2C">
        <w:rPr>
          <w:lang w:val="fr-FR"/>
        </w:rPr>
        <w:t> </w:t>
      </w:r>
      <w:r w:rsidRPr="00BF0A38">
        <w:rPr>
          <w:lang w:val="fr-FR"/>
        </w:rPr>
        <w:t>», la référence qui s</w:t>
      </w:r>
      <w:r w:rsidR="00BF0A38">
        <w:rPr>
          <w:lang w:val="fr-FR"/>
        </w:rPr>
        <w:t>’</w:t>
      </w:r>
      <w:r w:rsidRPr="00BF0A38">
        <w:rPr>
          <w:lang w:val="fr-FR"/>
        </w:rPr>
        <w:t xml:space="preserve">y trouvait auparavant à la nécessité de préserver la qualité des denrées périssables lors de leur transport, cela bien que le </w:t>
      </w:r>
      <w:r w:rsidRPr="00BF0A38">
        <w:rPr>
          <w:lang w:val="fr-FR"/>
        </w:rPr>
        <w:t>but de l</w:t>
      </w:r>
      <w:r w:rsidR="00BF0A38">
        <w:rPr>
          <w:lang w:val="fr-FR"/>
        </w:rPr>
        <w:t>’</w:t>
      </w:r>
      <w:r w:rsidRPr="00BF0A38">
        <w:rPr>
          <w:lang w:val="fr-FR"/>
        </w:rPr>
        <w:t>Accord, comme il est dit dans son préambule, consiste précisément à faire en sorte «</w:t>
      </w:r>
      <w:r w:rsidR="00650695">
        <w:rPr>
          <w:lang w:val="fr-FR"/>
        </w:rPr>
        <w:t> </w:t>
      </w:r>
      <w:r w:rsidRPr="00BF0A38">
        <w:rPr>
          <w:lang w:val="fr-FR"/>
        </w:rPr>
        <w:t>…</w:t>
      </w:r>
      <w:r w:rsidR="00650695">
        <w:rPr>
          <w:lang w:val="fr-FR"/>
        </w:rPr>
        <w:t> </w:t>
      </w:r>
      <w:r w:rsidRPr="00BF0A38">
        <w:rPr>
          <w:lang w:val="fr-FR"/>
        </w:rPr>
        <w:t>d</w:t>
      </w:r>
      <w:r w:rsidR="00BF0A38">
        <w:rPr>
          <w:lang w:val="fr-FR"/>
        </w:rPr>
        <w:t>’</w:t>
      </w:r>
      <w:r w:rsidRPr="00BF0A38">
        <w:rPr>
          <w:lang w:val="fr-FR"/>
        </w:rPr>
        <w:t>améliorer les conditions de conservation de la qualité des denrées périssables au cours de leurs transports…</w:t>
      </w:r>
      <w:r w:rsidR="00650695">
        <w:rPr>
          <w:lang w:val="fr-FR"/>
        </w:rPr>
        <w:t> </w:t>
      </w:r>
      <w:r w:rsidRPr="00BF0A38">
        <w:rPr>
          <w:lang w:val="fr-FR"/>
        </w:rPr>
        <w:t>».</w:t>
      </w:r>
    </w:p>
    <w:p w:rsidR="00330B60" w:rsidRPr="00BF0A38" w:rsidRDefault="00650695" w:rsidP="00BF0A38">
      <w:pPr>
        <w:pStyle w:val="SingleTxtG"/>
        <w:rPr>
          <w:lang w:val="fr-FR"/>
        </w:rPr>
      </w:pPr>
      <w:r>
        <w:rPr>
          <w:lang w:val="fr-FR"/>
        </w:rPr>
        <w:tab/>
      </w:r>
      <w:r w:rsidR="005C6365" w:rsidRPr="00BF0A38">
        <w:rPr>
          <w:lang w:val="fr-FR"/>
        </w:rPr>
        <w:t>Afin d</w:t>
      </w:r>
      <w:r w:rsidR="00BF0A38">
        <w:rPr>
          <w:lang w:val="fr-FR"/>
        </w:rPr>
        <w:t>’</w:t>
      </w:r>
      <w:r w:rsidR="005C6365" w:rsidRPr="00BF0A38">
        <w:rPr>
          <w:lang w:val="fr-FR"/>
        </w:rPr>
        <w:t>améliorer la définition du terme «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den</w:t>
      </w:r>
      <w:r w:rsidR="005C6365" w:rsidRPr="00BF0A38">
        <w:rPr>
          <w:lang w:val="fr-FR"/>
        </w:rPr>
        <w:t>rées périssables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», la Fédération de Russie a décidé de supprimer de la définition qu</w:t>
      </w:r>
      <w:r w:rsidR="00BF0A38">
        <w:rPr>
          <w:lang w:val="fr-FR"/>
        </w:rPr>
        <w:t>’</w:t>
      </w:r>
      <w:r w:rsidR="005C6365" w:rsidRPr="00BF0A38">
        <w:rPr>
          <w:lang w:val="fr-FR"/>
        </w:rPr>
        <w:t>elle avait proposée précédemment pour ce terme l</w:t>
      </w:r>
      <w:r w:rsidR="00BF0A38">
        <w:rPr>
          <w:lang w:val="fr-FR"/>
        </w:rPr>
        <w:t>’</w:t>
      </w:r>
      <w:r w:rsidR="005C6365" w:rsidRPr="00BF0A38">
        <w:rPr>
          <w:lang w:val="fr-FR"/>
        </w:rPr>
        <w:t>expression «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…</w:t>
      </w:r>
      <w:r w:rsidR="005C6365" w:rsidRPr="00BF0A38">
        <w:rPr>
          <w:i/>
          <w:lang w:val="fr-FR"/>
        </w:rPr>
        <w:t>для сохранения качества и безопасности…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» («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…</w:t>
      </w:r>
      <w:r w:rsidR="00CB2C2C">
        <w:rPr>
          <w:lang w:val="fr-FR"/>
        </w:rPr>
        <w:t xml:space="preserve"> </w:t>
      </w:r>
      <w:r w:rsidR="005C6365" w:rsidRPr="00BF0A38">
        <w:rPr>
          <w:i/>
          <w:lang w:val="fr-FR"/>
        </w:rPr>
        <w:t>aux fins de préservation de la qualité et de la sécurité san</w:t>
      </w:r>
      <w:r w:rsidR="005C6365" w:rsidRPr="00BF0A38">
        <w:rPr>
          <w:i/>
          <w:lang w:val="fr-FR"/>
        </w:rPr>
        <w:t>itaire</w:t>
      </w:r>
      <w:r w:rsidR="00CB2C2C">
        <w:rPr>
          <w:i/>
          <w:lang w:val="fr-FR"/>
        </w:rPr>
        <w:t> </w:t>
      </w:r>
      <w:r w:rsidR="005C6365" w:rsidRPr="00BF0A38">
        <w:rPr>
          <w:lang w:val="fr-FR"/>
        </w:rPr>
        <w:t>»).</w:t>
      </w:r>
    </w:p>
    <w:p w:rsidR="00330B60" w:rsidRPr="00BF0A38" w:rsidRDefault="005C6365" w:rsidP="00BF0A38">
      <w:pPr>
        <w:pStyle w:val="SingleTxtG"/>
        <w:rPr>
          <w:lang w:val="fr-FR"/>
        </w:rPr>
      </w:pPr>
      <w:r w:rsidRPr="00BF0A38">
        <w:rPr>
          <w:lang w:val="fr-FR"/>
        </w:rPr>
        <w:t xml:space="preserve">3. </w:t>
      </w:r>
      <w:r w:rsidRPr="00BF0A38">
        <w:rPr>
          <w:lang w:val="fr-FR"/>
        </w:rPr>
        <w:tab/>
        <w:t>À la soixante et onzième session du Groupe de travail, il a également été proposé d</w:t>
      </w:r>
      <w:r w:rsidR="00BF0A38">
        <w:rPr>
          <w:lang w:val="fr-FR"/>
        </w:rPr>
        <w:t>’</w:t>
      </w:r>
      <w:r w:rsidRPr="00BF0A38">
        <w:rPr>
          <w:lang w:val="fr-FR"/>
        </w:rPr>
        <w:t>utiliser la définition du terme «</w:t>
      </w:r>
      <w:r w:rsidR="00CB2C2C">
        <w:rPr>
          <w:i/>
          <w:lang w:val="fr-FR"/>
        </w:rPr>
        <w:t> </w:t>
      </w:r>
      <w:r w:rsidRPr="00BF0A38">
        <w:rPr>
          <w:lang w:val="fr-FR"/>
        </w:rPr>
        <w:t>denrées périssable</w:t>
      </w:r>
      <w:r w:rsidR="00CB2C2C">
        <w:rPr>
          <w:i/>
          <w:lang w:val="fr-FR"/>
        </w:rPr>
        <w:t> </w:t>
      </w:r>
      <w:r w:rsidRPr="00BF0A38">
        <w:rPr>
          <w:lang w:val="fr-FR"/>
        </w:rPr>
        <w:t>s» qui «</w:t>
      </w:r>
      <w:r w:rsidR="00CB2C2C">
        <w:rPr>
          <w:i/>
          <w:lang w:val="fr-FR"/>
        </w:rPr>
        <w:t> </w:t>
      </w:r>
      <w:r w:rsidRPr="00BF0A38">
        <w:rPr>
          <w:lang w:val="fr-FR"/>
        </w:rPr>
        <w:t>existe déjà</w:t>
      </w:r>
      <w:r w:rsidR="00CB2C2C">
        <w:rPr>
          <w:i/>
          <w:lang w:val="fr-FR"/>
        </w:rPr>
        <w:t> </w:t>
      </w:r>
      <w:r w:rsidRPr="00BF0A38">
        <w:rPr>
          <w:lang w:val="fr-FR"/>
        </w:rPr>
        <w:t>» dans le Codex alimentarius.</w:t>
      </w:r>
    </w:p>
    <w:p w:rsidR="00330B60" w:rsidRPr="00BF0A38" w:rsidRDefault="00650695" w:rsidP="00BF0A38">
      <w:pPr>
        <w:pStyle w:val="SingleTxtG"/>
        <w:rPr>
          <w:lang w:val="fr-FR"/>
        </w:rPr>
      </w:pPr>
      <w:r>
        <w:rPr>
          <w:lang w:val="fr-FR"/>
        </w:rPr>
        <w:tab/>
      </w:r>
      <w:r w:rsidR="005C6365" w:rsidRPr="00BF0A38">
        <w:rPr>
          <w:lang w:val="fr-FR"/>
        </w:rPr>
        <w:t>Toutefois, l</w:t>
      </w:r>
      <w:r w:rsidR="00BF0A38">
        <w:rPr>
          <w:lang w:val="fr-FR"/>
        </w:rPr>
        <w:t>’</w:t>
      </w:r>
      <w:r w:rsidR="005C6365" w:rsidRPr="00BF0A38">
        <w:rPr>
          <w:lang w:val="fr-FR"/>
        </w:rPr>
        <w:t xml:space="preserve">analyse des normes et autres documents </w:t>
      </w:r>
      <w:r w:rsidR="005C6365" w:rsidRPr="00BF0A38">
        <w:rPr>
          <w:lang w:val="fr-FR"/>
        </w:rPr>
        <w:t>associés au Codex alimentarius a révélé qu</w:t>
      </w:r>
      <w:r w:rsidR="00BF0A38">
        <w:rPr>
          <w:lang w:val="fr-FR"/>
        </w:rPr>
        <w:t>’</w:t>
      </w:r>
      <w:r w:rsidR="005C6365" w:rsidRPr="00BF0A38">
        <w:rPr>
          <w:lang w:val="fr-FR"/>
        </w:rPr>
        <w:t>ils ne contenaient pas le terme «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denrées périssables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», et donc pas de définition pour ce terme.</w:t>
      </w:r>
    </w:p>
    <w:p w:rsidR="00330B60" w:rsidRPr="00BF0A38" w:rsidRDefault="00650695" w:rsidP="00BF0A38">
      <w:pPr>
        <w:pStyle w:val="SingleTxtG"/>
        <w:rPr>
          <w:lang w:val="fr-FR"/>
        </w:rPr>
      </w:pPr>
      <w:r>
        <w:rPr>
          <w:lang w:val="fr-FR"/>
        </w:rPr>
        <w:tab/>
      </w:r>
      <w:r w:rsidR="005C6365" w:rsidRPr="00BF0A38">
        <w:rPr>
          <w:lang w:val="fr-FR"/>
        </w:rPr>
        <w:t>Dans le «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Manuel de procédure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» de la Commission du Codex Alimentarius, on trouve le terme «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denrée alimentaire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 xml:space="preserve">» </w:t>
      </w:r>
      <w:r w:rsidR="005C6365" w:rsidRPr="00BF0A38">
        <w:rPr>
          <w:lang w:val="fr-FR"/>
        </w:rPr>
        <w:t>et sa définition telle qu</w:t>
      </w:r>
      <w:r w:rsidR="00BF0A38">
        <w:rPr>
          <w:lang w:val="fr-FR"/>
        </w:rPr>
        <w:t>’</w:t>
      </w:r>
      <w:r w:rsidR="005C6365" w:rsidRPr="00BF0A38">
        <w:rPr>
          <w:lang w:val="fr-FR"/>
        </w:rPr>
        <w:t>adoptée aux fins des travaux menés dans le cadre du Codex, à savoir</w:t>
      </w:r>
      <w:r w:rsidR="00CB2C2C">
        <w:rPr>
          <w:lang w:val="fr-FR"/>
        </w:rPr>
        <w:t> :</w:t>
      </w:r>
      <w:r w:rsidR="005C6365" w:rsidRPr="00BF0A38">
        <w:rPr>
          <w:lang w:val="fr-FR"/>
        </w:rPr>
        <w:t xml:space="preserve"> «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On entend par denrée alimentaire toute substance traitée, partiellement traitée ou brute, destinée à l</w:t>
      </w:r>
      <w:r w:rsidR="00BF0A38">
        <w:rPr>
          <w:lang w:val="fr-FR"/>
        </w:rPr>
        <w:t>’</w:t>
      </w:r>
      <w:r w:rsidR="005C6365" w:rsidRPr="00BF0A38">
        <w:rPr>
          <w:lang w:val="fr-FR"/>
        </w:rPr>
        <w:t xml:space="preserve">alimentation humaine, et englobe [aussi] les boissons, </w:t>
      </w:r>
      <w:r w:rsidR="005C6365" w:rsidRPr="00BF0A38">
        <w:rPr>
          <w:lang w:val="fr-FR"/>
        </w:rPr>
        <w:t>le “chewing-gum” et toutes les substances utilisées dans la fabrication, la préparation et le traitement des aliments, à l</w:t>
      </w:r>
      <w:r w:rsidR="00BF0A38">
        <w:rPr>
          <w:lang w:val="fr-FR"/>
        </w:rPr>
        <w:t>’</w:t>
      </w:r>
      <w:r w:rsidR="005C6365" w:rsidRPr="00BF0A38">
        <w:rPr>
          <w:lang w:val="fr-FR"/>
        </w:rPr>
        <w:t>exclusion des substances employées uniquement sous forme de médicaments, de cosmétiques ou de tabac.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». Il est évident que cette défi</w:t>
      </w:r>
      <w:r w:rsidR="005C6365" w:rsidRPr="00BF0A38">
        <w:rPr>
          <w:lang w:val="fr-FR"/>
        </w:rPr>
        <w:t>nition englobe les «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denrées périssables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», terme utilisé dans l</w:t>
      </w:r>
      <w:r w:rsidR="00BF0A38">
        <w:rPr>
          <w:lang w:val="fr-FR"/>
        </w:rPr>
        <w:t>’</w:t>
      </w:r>
      <w:r w:rsidR="005C6365" w:rsidRPr="00BF0A38">
        <w:rPr>
          <w:lang w:val="fr-FR"/>
        </w:rPr>
        <w:t>ATP, tout au moins dans la partie générale de l</w:t>
      </w:r>
      <w:r w:rsidR="00BF0A38">
        <w:rPr>
          <w:lang w:val="fr-FR"/>
        </w:rPr>
        <w:t>’</w:t>
      </w:r>
      <w:r w:rsidR="005C6365" w:rsidRPr="00BF0A38">
        <w:rPr>
          <w:lang w:val="fr-FR"/>
        </w:rPr>
        <w:t>Accord.</w:t>
      </w:r>
    </w:p>
    <w:p w:rsidR="00330B60" w:rsidRPr="00BF0A38" w:rsidRDefault="00650695" w:rsidP="00184804">
      <w:pPr>
        <w:pStyle w:val="SingleTxtG"/>
        <w:keepNext/>
        <w:rPr>
          <w:lang w:val="fr-FR"/>
        </w:rPr>
      </w:pPr>
      <w:r>
        <w:rPr>
          <w:lang w:val="fr-FR"/>
        </w:rPr>
        <w:lastRenderedPageBreak/>
        <w:tab/>
      </w:r>
      <w:r w:rsidR="005C6365" w:rsidRPr="00BF0A38">
        <w:rPr>
          <w:lang w:val="fr-FR"/>
        </w:rPr>
        <w:t>Seules les trois normes ci-après du Codex Alimentarius concernent les termes et leurs définitions. Néanmoins, elles ne se rapportent p</w:t>
      </w:r>
      <w:r w:rsidR="005C6365" w:rsidRPr="00BF0A38">
        <w:rPr>
          <w:lang w:val="fr-FR"/>
        </w:rPr>
        <w:t>as, comme on peut le constater d</w:t>
      </w:r>
      <w:r w:rsidR="00BF0A38">
        <w:rPr>
          <w:lang w:val="fr-FR"/>
        </w:rPr>
        <w:t>’</w:t>
      </w:r>
      <w:r w:rsidR="005C6365" w:rsidRPr="00BF0A38">
        <w:rPr>
          <w:lang w:val="fr-FR"/>
        </w:rPr>
        <w:t>après leur intitulé, aux termes «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denrées périssables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» et «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denrée alimentaire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» ni à leur définition</w:t>
      </w:r>
      <w:r w:rsidR="00CB2C2C">
        <w:rPr>
          <w:lang w:val="fr-FR"/>
        </w:rPr>
        <w:t> :</w:t>
      </w:r>
      <w:r w:rsidR="005C6365" w:rsidRPr="00BF0A38">
        <w:rPr>
          <w:lang w:val="fr-FR"/>
        </w:rPr>
        <w:t xml:space="preserve"> </w:t>
      </w:r>
    </w:p>
    <w:p w:rsidR="00330B60" w:rsidRPr="00BF0A38" w:rsidRDefault="00650695" w:rsidP="00BF0A38">
      <w:pPr>
        <w:pStyle w:val="SingleTxtG"/>
        <w:rPr>
          <w:lang w:val="fr-FR"/>
        </w:rPr>
      </w:pPr>
      <w:r>
        <w:rPr>
          <w:lang w:val="fr-FR"/>
        </w:rPr>
        <w:tab/>
      </w:r>
      <w:r w:rsidR="005C6365" w:rsidRPr="00BF0A38">
        <w:rPr>
          <w:lang w:val="fr-FR"/>
        </w:rPr>
        <w:t>1) CAC/MISC 5-1993, «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Glossaire de termes et définitions (pour les résidus de médicaments vétérinaires dans les alim</w:t>
      </w:r>
      <w:r w:rsidR="005C6365" w:rsidRPr="00BF0A38">
        <w:rPr>
          <w:lang w:val="fr-FR"/>
        </w:rPr>
        <w:t>ents)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»</w:t>
      </w:r>
      <w:r w:rsidR="00CB2C2C">
        <w:rPr>
          <w:lang w:val="fr-FR"/>
        </w:rPr>
        <w:t> ;</w:t>
      </w:r>
    </w:p>
    <w:p w:rsidR="00330B60" w:rsidRPr="00BF0A38" w:rsidRDefault="00650695" w:rsidP="00BF0A38">
      <w:pPr>
        <w:pStyle w:val="SingleTxtG"/>
        <w:rPr>
          <w:lang w:val="fr-FR"/>
        </w:rPr>
      </w:pPr>
      <w:r>
        <w:rPr>
          <w:lang w:val="fr-FR"/>
        </w:rPr>
        <w:tab/>
      </w:r>
      <w:r w:rsidR="005C6365" w:rsidRPr="00BF0A38">
        <w:rPr>
          <w:lang w:val="fr-FR"/>
        </w:rPr>
        <w:t>2) CODEX STAN 206-1999, «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Norme générale Codex pour l</w:t>
      </w:r>
      <w:r w:rsidR="00BF0A38">
        <w:rPr>
          <w:lang w:val="fr-FR"/>
        </w:rPr>
        <w:t>’</w:t>
      </w:r>
      <w:r w:rsidR="005C6365" w:rsidRPr="00BF0A38">
        <w:rPr>
          <w:lang w:val="fr-FR"/>
        </w:rPr>
        <w:t>utilisation de termes de laiterie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»</w:t>
      </w:r>
      <w:r w:rsidR="00CB2C2C">
        <w:rPr>
          <w:lang w:val="fr-FR"/>
        </w:rPr>
        <w:t> ;</w:t>
      </w:r>
    </w:p>
    <w:p w:rsidR="00330B60" w:rsidRPr="00BF0A38" w:rsidRDefault="00650695" w:rsidP="00BF0A38">
      <w:pPr>
        <w:pStyle w:val="SingleTxtG"/>
        <w:rPr>
          <w:lang w:val="fr-FR"/>
        </w:rPr>
      </w:pPr>
      <w:r>
        <w:rPr>
          <w:lang w:val="fr-FR"/>
        </w:rPr>
        <w:tab/>
      </w:r>
      <w:r w:rsidR="005C6365" w:rsidRPr="00BF0A38">
        <w:rPr>
          <w:lang w:val="fr-FR"/>
        </w:rPr>
        <w:t>3) CAC/GL 24-1997,</w:t>
      </w:r>
      <w:r w:rsidR="00CB2C2C">
        <w:rPr>
          <w:lang w:val="fr-FR"/>
        </w:rPr>
        <w:t xml:space="preserve"> </w:t>
      </w:r>
      <w:r w:rsidR="005C6365" w:rsidRPr="00BF0A38">
        <w:rPr>
          <w:lang w:val="fr-FR"/>
        </w:rPr>
        <w:t>Directives générales pour l</w:t>
      </w:r>
      <w:r w:rsidR="00BF0A38">
        <w:rPr>
          <w:lang w:val="fr-FR"/>
        </w:rPr>
        <w:t>’</w:t>
      </w:r>
      <w:r w:rsidR="005C6365" w:rsidRPr="00BF0A38">
        <w:rPr>
          <w:lang w:val="fr-FR"/>
        </w:rPr>
        <w:t>utilisation du terme «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halal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 xml:space="preserve">». </w:t>
      </w:r>
    </w:p>
    <w:p w:rsidR="00330B60" w:rsidRPr="00BF0A38" w:rsidRDefault="00650695" w:rsidP="00BF0A38">
      <w:pPr>
        <w:pStyle w:val="SingleTxtG"/>
        <w:rPr>
          <w:lang w:val="fr-FR"/>
        </w:rPr>
      </w:pPr>
      <w:r>
        <w:rPr>
          <w:lang w:val="fr-FR"/>
        </w:rPr>
        <w:t>4.</w:t>
      </w:r>
      <w:r w:rsidR="005C6365" w:rsidRPr="00BF0A38">
        <w:rPr>
          <w:lang w:val="fr-FR"/>
        </w:rPr>
        <w:tab/>
        <w:t xml:space="preserve">Les experts de la Fédération de Russie ont trouvé des définitions du </w:t>
      </w:r>
      <w:r w:rsidR="005C6365" w:rsidRPr="00BF0A38">
        <w:rPr>
          <w:lang w:val="fr-FR"/>
        </w:rPr>
        <w:t>terme «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denrées périssables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» dans les documents ci-après, qui se rapportent directement aux transports desdites denrées</w:t>
      </w:r>
      <w:r w:rsidR="00CB2C2C">
        <w:rPr>
          <w:lang w:val="fr-FR"/>
        </w:rPr>
        <w:t> :</w:t>
      </w:r>
    </w:p>
    <w:p w:rsidR="00330B60" w:rsidRPr="00BF0A38" w:rsidRDefault="00650695" w:rsidP="00BF0A38">
      <w:pPr>
        <w:pStyle w:val="SingleTxtG"/>
        <w:rPr>
          <w:lang w:val="fr-FR"/>
        </w:rPr>
      </w:pPr>
      <w:r>
        <w:rPr>
          <w:lang w:val="fr-FR"/>
        </w:rPr>
        <w:tab/>
      </w:r>
      <w:r w:rsidR="005C6365" w:rsidRPr="00BF0A38">
        <w:rPr>
          <w:lang w:val="fr-FR"/>
        </w:rPr>
        <w:t>а)</w:t>
      </w:r>
      <w:r>
        <w:rPr>
          <w:lang w:val="fr-FR"/>
        </w:rPr>
        <w:tab/>
      </w:r>
      <w:r w:rsidR="005C6365" w:rsidRPr="00BF0A38">
        <w:rPr>
          <w:lang w:val="fr-FR"/>
        </w:rPr>
        <w:t>«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Accord concernant le transport international des marchandises par chemin de fer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»</w:t>
      </w:r>
      <w:r w:rsidR="005C6365" w:rsidRPr="00650695">
        <w:rPr>
          <w:lang w:val="fr-FR"/>
        </w:rPr>
        <w:t>*</w:t>
      </w:r>
      <w:r w:rsidR="005C6365" w:rsidRPr="00BF0A38">
        <w:rPr>
          <w:lang w:val="fr-FR"/>
        </w:rPr>
        <w:t xml:space="preserve"> (SMGS) (tel que modifié au 1</w:t>
      </w:r>
      <w:r w:rsidR="005C6365" w:rsidRPr="00BF0A38">
        <w:rPr>
          <w:vertAlign w:val="superscript"/>
          <w:lang w:val="fr-FR"/>
        </w:rPr>
        <w:t>er</w:t>
      </w:r>
      <w:r w:rsidR="005C6365" w:rsidRPr="00BF0A38">
        <w:rPr>
          <w:lang w:val="fr-FR"/>
        </w:rPr>
        <w:t xml:space="preserve"> juillet 2015), titre IV, «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Conditions spéciales de transport de certains types de marchandises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», point 13, «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Marchandises périssables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»</w:t>
      </w:r>
      <w:r w:rsidR="00CB2C2C">
        <w:rPr>
          <w:lang w:val="fr-FR"/>
        </w:rPr>
        <w:t> :</w:t>
      </w:r>
    </w:p>
    <w:p w:rsidR="00330B60" w:rsidRPr="00650695" w:rsidRDefault="00650695" w:rsidP="00CD102B">
      <w:pPr>
        <w:pStyle w:val="SingleTxtG"/>
        <w:tabs>
          <w:tab w:val="left" w:pos="2552"/>
        </w:tabs>
        <w:ind w:left="1701" w:hanging="567"/>
        <w:rPr>
          <w:i/>
          <w:lang w:val="fr-FR"/>
        </w:rPr>
      </w:pPr>
      <w:r>
        <w:rPr>
          <w:i/>
          <w:lang w:val="fr-FR"/>
        </w:rPr>
        <w:tab/>
      </w:r>
      <w:r w:rsidR="005C6365" w:rsidRPr="00650695">
        <w:rPr>
          <w:i/>
          <w:lang w:val="fr-FR"/>
        </w:rPr>
        <w:t>«</w:t>
      </w:r>
      <w:r w:rsidR="00CB2C2C">
        <w:rPr>
          <w:lang w:val="fr-FR"/>
        </w:rPr>
        <w:t> </w:t>
      </w:r>
      <w:r w:rsidR="005C6365" w:rsidRPr="00650695">
        <w:rPr>
          <w:i/>
          <w:lang w:val="fr-FR"/>
        </w:rPr>
        <w:t>13.1</w:t>
      </w:r>
      <w:r>
        <w:rPr>
          <w:i/>
          <w:lang w:val="fr-FR"/>
        </w:rPr>
        <w:tab/>
      </w:r>
      <w:r w:rsidR="005C6365" w:rsidRPr="00650695">
        <w:rPr>
          <w:i/>
          <w:lang w:val="fr-FR"/>
        </w:rPr>
        <w:t>Sont considérées comme périssables les marchandises qui, selon les normes, règlements et conditions techniqu</w:t>
      </w:r>
      <w:r w:rsidR="005C6365" w:rsidRPr="00650695">
        <w:rPr>
          <w:i/>
          <w:lang w:val="fr-FR"/>
        </w:rPr>
        <w:t>es, doivent du fait de leur nature être protégées des effets de températures ambiantes élevées ou basses durant leur transport, ou qui doivent faire l</w:t>
      </w:r>
      <w:r w:rsidR="00BF0A38" w:rsidRPr="00650695">
        <w:rPr>
          <w:i/>
          <w:lang w:val="fr-FR"/>
        </w:rPr>
        <w:t>’</w:t>
      </w:r>
      <w:r w:rsidR="005C6365" w:rsidRPr="00650695">
        <w:rPr>
          <w:i/>
          <w:lang w:val="fr-FR"/>
        </w:rPr>
        <w:t>objet de soins particuliers ou d</w:t>
      </w:r>
      <w:r w:rsidR="00BF0A38" w:rsidRPr="00650695">
        <w:rPr>
          <w:i/>
          <w:lang w:val="fr-FR"/>
        </w:rPr>
        <w:t>’</w:t>
      </w:r>
      <w:r w:rsidR="005C6365" w:rsidRPr="00650695">
        <w:rPr>
          <w:i/>
          <w:lang w:val="fr-FR"/>
        </w:rPr>
        <w:t>un suivi spécifique pendant leur acheminement.</w:t>
      </w:r>
      <w:r w:rsidR="00CB2C2C">
        <w:rPr>
          <w:lang w:val="fr-FR"/>
        </w:rPr>
        <w:t> </w:t>
      </w:r>
      <w:r w:rsidR="005C6365" w:rsidRPr="00650695">
        <w:rPr>
          <w:i/>
          <w:lang w:val="fr-FR"/>
        </w:rPr>
        <w:t>».</w:t>
      </w:r>
    </w:p>
    <w:p w:rsidR="00650695" w:rsidRDefault="00650695" w:rsidP="00BF0A38">
      <w:pPr>
        <w:pStyle w:val="SingleTxtG"/>
        <w:rPr>
          <w:bCs/>
          <w:lang w:val="fr-FR"/>
        </w:rPr>
      </w:pPr>
      <w:r w:rsidRPr="00650695">
        <w:rPr>
          <w:lang w:val="fr-FR"/>
        </w:rPr>
        <w:t xml:space="preserve">* </w:t>
      </w:r>
      <w:r w:rsidR="005C6365" w:rsidRPr="00BF0A38">
        <w:rPr>
          <w:lang w:val="fr-FR"/>
        </w:rPr>
        <w:t>Remarque</w:t>
      </w:r>
      <w:r w:rsidR="00CB2C2C">
        <w:rPr>
          <w:lang w:val="fr-FR"/>
        </w:rPr>
        <w:t> :</w:t>
      </w:r>
      <w:r w:rsidR="005C6365" w:rsidRPr="00BF0A38">
        <w:rPr>
          <w:lang w:val="fr-FR"/>
        </w:rPr>
        <w:t xml:space="preserve"> </w:t>
      </w:r>
      <w:r w:rsidR="00875C36">
        <w:rPr>
          <w:lang w:val="fr-FR"/>
        </w:rPr>
        <w:t>S</w:t>
      </w:r>
      <w:r w:rsidR="005C6365" w:rsidRPr="00BF0A38">
        <w:rPr>
          <w:lang w:val="fr-FR"/>
        </w:rPr>
        <w:t xml:space="preserve">ur les </w:t>
      </w:r>
      <w:r w:rsidR="005C6365" w:rsidRPr="00BF0A38">
        <w:rPr>
          <w:lang w:val="fr-FR"/>
        </w:rPr>
        <w:t>25 pays parties à l</w:t>
      </w:r>
      <w:r w:rsidR="00BF0A38">
        <w:rPr>
          <w:lang w:val="fr-FR"/>
        </w:rPr>
        <w:t>’</w:t>
      </w:r>
      <w:r w:rsidR="005C6365" w:rsidRPr="00BF0A38">
        <w:rPr>
          <w:lang w:val="fr-FR"/>
        </w:rPr>
        <w:t>Accord SMGS, 18 sont également parties à l</w:t>
      </w:r>
      <w:r w:rsidR="00BF0A38">
        <w:rPr>
          <w:lang w:val="fr-FR"/>
        </w:rPr>
        <w:t>’</w:t>
      </w:r>
      <w:r w:rsidR="005C6365" w:rsidRPr="00BF0A38">
        <w:rPr>
          <w:lang w:val="fr-FR"/>
        </w:rPr>
        <w:t>ATP</w:t>
      </w:r>
      <w:r w:rsidR="00CB2C2C">
        <w:rPr>
          <w:lang w:val="fr-FR"/>
        </w:rPr>
        <w:t> :</w:t>
      </w:r>
      <w:r w:rsidR="005C6365" w:rsidRPr="00BF0A38">
        <w:rPr>
          <w:lang w:val="fr-FR"/>
        </w:rPr>
        <w:t xml:space="preserve"> </w:t>
      </w:r>
      <w:r w:rsidRPr="00BF0A38">
        <w:rPr>
          <w:lang w:val="fr-FR"/>
        </w:rPr>
        <w:t>Albanie</w:t>
      </w:r>
      <w:r>
        <w:rPr>
          <w:lang w:val="fr-FR"/>
        </w:rPr>
        <w:t xml:space="preserve">, </w:t>
      </w:r>
      <w:r w:rsidRPr="00BF0A38">
        <w:rPr>
          <w:lang w:val="fr-FR"/>
        </w:rPr>
        <w:t>Azerbaïdjan</w:t>
      </w:r>
      <w:r>
        <w:rPr>
          <w:lang w:val="fr-FR"/>
        </w:rPr>
        <w:t xml:space="preserve">, </w:t>
      </w:r>
      <w:r w:rsidRPr="00BF0A38">
        <w:rPr>
          <w:lang w:val="fr-FR"/>
        </w:rPr>
        <w:t>Bélarus</w:t>
      </w:r>
      <w:r w:rsidRPr="00BF0A38">
        <w:rPr>
          <w:bCs/>
          <w:lang w:val="fr-FR"/>
        </w:rPr>
        <w:t>,</w:t>
      </w:r>
      <w:r>
        <w:rPr>
          <w:bCs/>
          <w:lang w:val="fr-FR"/>
        </w:rPr>
        <w:t xml:space="preserve"> </w:t>
      </w:r>
      <w:r w:rsidRPr="00BF0A38">
        <w:rPr>
          <w:lang w:val="fr-FR"/>
        </w:rPr>
        <w:t>Bulgarie</w:t>
      </w:r>
      <w:r w:rsidRPr="00BF0A38">
        <w:rPr>
          <w:bCs/>
          <w:lang w:val="fr-FR"/>
        </w:rPr>
        <w:t>, Estonie</w:t>
      </w:r>
      <w:r>
        <w:rPr>
          <w:bCs/>
          <w:lang w:val="fr-FR"/>
        </w:rPr>
        <w:t xml:space="preserve">, </w:t>
      </w:r>
      <w:r w:rsidRPr="00BF0A38">
        <w:rPr>
          <w:lang w:val="fr-FR"/>
        </w:rPr>
        <w:t>Fédération de Russie</w:t>
      </w:r>
      <w:r w:rsidRPr="00BF0A38">
        <w:rPr>
          <w:bCs/>
          <w:lang w:val="fr-FR"/>
        </w:rPr>
        <w:t>, Géorgie, Hongrie, Kazakhstan, Kirghizistan</w:t>
      </w:r>
      <w:r w:rsidRPr="00BF0A38">
        <w:rPr>
          <w:lang w:val="fr-FR"/>
        </w:rPr>
        <w:t xml:space="preserve">, Lettonie, Lituanie, </w:t>
      </w:r>
      <w:r w:rsidRPr="00BF0A38">
        <w:rPr>
          <w:bCs/>
          <w:lang w:val="fr-FR"/>
        </w:rPr>
        <w:t xml:space="preserve">Ouzbékistan, </w:t>
      </w:r>
      <w:r w:rsidRPr="00BF0A38">
        <w:rPr>
          <w:lang w:val="fr-FR"/>
        </w:rPr>
        <w:t xml:space="preserve">Pologne, République de Moldova, </w:t>
      </w:r>
      <w:r w:rsidRPr="00BF0A38">
        <w:rPr>
          <w:bCs/>
          <w:lang w:val="fr-FR"/>
        </w:rPr>
        <w:t>Slovaquie, Tadjikistan</w:t>
      </w:r>
      <w:r w:rsidR="00875C36">
        <w:rPr>
          <w:bCs/>
          <w:lang w:val="fr-FR"/>
        </w:rPr>
        <w:t xml:space="preserve"> et Ukraine.</w:t>
      </w:r>
    </w:p>
    <w:p w:rsidR="00330B60" w:rsidRPr="00BF0A38" w:rsidRDefault="00650695" w:rsidP="00BF0A38">
      <w:pPr>
        <w:pStyle w:val="SingleTxtG"/>
        <w:rPr>
          <w:lang w:val="fr-FR"/>
        </w:rPr>
      </w:pPr>
      <w:r>
        <w:rPr>
          <w:lang w:val="fr-FR"/>
        </w:rPr>
        <w:tab/>
      </w:r>
      <w:r w:rsidR="005C6365" w:rsidRPr="00BF0A38">
        <w:rPr>
          <w:lang w:val="fr-FR"/>
        </w:rPr>
        <w:t>b)</w:t>
      </w:r>
      <w:r>
        <w:rPr>
          <w:lang w:val="fr-FR"/>
        </w:rPr>
        <w:tab/>
      </w:r>
      <w:r w:rsidR="005C6365" w:rsidRPr="00BF0A38">
        <w:rPr>
          <w:lang w:val="fr-FR"/>
        </w:rPr>
        <w:t xml:space="preserve">Loi fédérale de la Fédération de Russie </w:t>
      </w:r>
      <w:r w:rsidR="00BF0A38" w:rsidRPr="00BF0A38">
        <w:rPr>
          <w:rFonts w:eastAsia="MS Mincho"/>
        </w:rPr>
        <w:t>n</w:t>
      </w:r>
      <w:r w:rsidR="00BF0A38" w:rsidRPr="00BF0A38">
        <w:rPr>
          <w:rFonts w:eastAsia="MS Mincho"/>
          <w:vertAlign w:val="superscript"/>
        </w:rPr>
        <w:t>o</w:t>
      </w:r>
      <w:r w:rsidR="00BF0A38">
        <w:rPr>
          <w:rFonts w:eastAsiaTheme="minorHAnsi"/>
        </w:rPr>
        <w:t> </w:t>
      </w:r>
      <w:r w:rsidR="005C6365" w:rsidRPr="00BF0A38">
        <w:rPr>
          <w:lang w:val="fr-FR"/>
        </w:rPr>
        <w:t>259-FЗ, réglementant le transport automobile et le transport terrestre urbain électrique, en date du 8 novembre 2007 (telle que modifiée au 13 juillet 2015) (texte en vigueur</w:t>
      </w:r>
      <w:r w:rsidR="005C6365" w:rsidRPr="00BF0A38">
        <w:rPr>
          <w:lang w:val="fr-FR"/>
        </w:rPr>
        <w:t xml:space="preserve"> depuis le 19 octobre 2015)</w:t>
      </w:r>
      <w:r w:rsidR="00CB2C2C">
        <w:rPr>
          <w:lang w:val="fr-FR"/>
        </w:rPr>
        <w:t> :</w:t>
      </w:r>
    </w:p>
    <w:p w:rsidR="00330B60" w:rsidRPr="00BF0A38" w:rsidRDefault="00650695" w:rsidP="00650695">
      <w:pPr>
        <w:pStyle w:val="SingleTxtG"/>
        <w:ind w:left="1701" w:hanging="567"/>
        <w:rPr>
          <w:i/>
          <w:lang w:val="fr-FR"/>
        </w:rPr>
      </w:pPr>
      <w:r>
        <w:rPr>
          <w:i/>
          <w:lang w:val="fr-FR"/>
        </w:rPr>
        <w:tab/>
      </w:r>
      <w:r>
        <w:rPr>
          <w:i/>
          <w:lang w:val="fr-FR"/>
        </w:rPr>
        <w:tab/>
      </w:r>
      <w:r w:rsidR="005C6365" w:rsidRPr="00BF0A38">
        <w:rPr>
          <w:i/>
          <w:lang w:val="fr-FR"/>
        </w:rPr>
        <w:t>«</w:t>
      </w:r>
      <w:r w:rsidR="00CB2C2C">
        <w:rPr>
          <w:lang w:val="fr-FR"/>
        </w:rPr>
        <w:t> </w:t>
      </w:r>
      <w:r w:rsidR="005C6365" w:rsidRPr="00BF0A38">
        <w:rPr>
          <w:i/>
          <w:lang w:val="fr-FR"/>
        </w:rPr>
        <w:t>Est considérée comme marchandise périssable toute marchandise dont la conservation lors du transport dans un engin s</w:t>
      </w:r>
      <w:r w:rsidR="00BF0A38">
        <w:rPr>
          <w:i/>
          <w:lang w:val="fr-FR"/>
        </w:rPr>
        <w:t>’</w:t>
      </w:r>
      <w:r w:rsidR="005C6365" w:rsidRPr="00BF0A38">
        <w:rPr>
          <w:i/>
          <w:lang w:val="fr-FR"/>
        </w:rPr>
        <w:t>effectue par régulation thermique</w:t>
      </w:r>
      <w:r w:rsidR="00CB2C2C">
        <w:rPr>
          <w:lang w:val="fr-FR"/>
        </w:rPr>
        <w:t> </w:t>
      </w:r>
      <w:r w:rsidR="005C6365" w:rsidRPr="00BF0A38">
        <w:rPr>
          <w:i/>
          <w:lang w:val="fr-FR"/>
        </w:rPr>
        <w:t>»</w:t>
      </w:r>
      <w:r w:rsidR="00CB2C2C">
        <w:rPr>
          <w:i/>
          <w:lang w:val="fr-FR"/>
        </w:rPr>
        <w:t> ;</w:t>
      </w:r>
    </w:p>
    <w:p w:rsidR="00330B60" w:rsidRPr="00BF0A38" w:rsidRDefault="00650695" w:rsidP="00BF0A38">
      <w:pPr>
        <w:pStyle w:val="SingleTxtG"/>
        <w:rPr>
          <w:lang w:val="fr-FR"/>
        </w:rPr>
      </w:pPr>
      <w:r>
        <w:rPr>
          <w:lang w:val="fr-FR"/>
        </w:rPr>
        <w:tab/>
      </w:r>
      <w:r w:rsidR="005C6365" w:rsidRPr="00BF0A38">
        <w:rPr>
          <w:lang w:val="fr-FR"/>
        </w:rPr>
        <w:t>c)</w:t>
      </w:r>
      <w:r>
        <w:rPr>
          <w:lang w:val="fr-FR"/>
        </w:rPr>
        <w:tab/>
      </w:r>
      <w:r w:rsidR="005C6365" w:rsidRPr="00BF0A38">
        <w:rPr>
          <w:lang w:val="fr-FR"/>
        </w:rPr>
        <w:t xml:space="preserve">Règles relatives au transport des marchandises périssables par </w:t>
      </w:r>
      <w:r w:rsidR="005C6365" w:rsidRPr="00BF0A38">
        <w:rPr>
          <w:lang w:val="fr-FR"/>
        </w:rPr>
        <w:t>chemin de fer, fixées par l</w:t>
      </w:r>
      <w:r w:rsidR="00BF0A38">
        <w:rPr>
          <w:lang w:val="fr-FR"/>
        </w:rPr>
        <w:t>’</w:t>
      </w:r>
      <w:r w:rsidR="005C6365" w:rsidRPr="00BF0A38">
        <w:rPr>
          <w:lang w:val="fr-FR"/>
        </w:rPr>
        <w:t>arrêté n</w:t>
      </w:r>
      <w:r w:rsidR="005C6365" w:rsidRPr="00BF0A38">
        <w:rPr>
          <w:vertAlign w:val="superscript"/>
          <w:lang w:val="fr-FR"/>
        </w:rPr>
        <w:t>o</w:t>
      </w:r>
      <w:r w:rsidR="005C6365" w:rsidRPr="00BF0A38">
        <w:rPr>
          <w:lang w:val="fr-FR"/>
        </w:rPr>
        <w:t xml:space="preserve"> 37 du 18 juin 2003 du Ministère des transports de la Fédération de Russie (enregistré par le Ministère de la justice le 19 juin 2003 sous le numéro 4762)</w:t>
      </w:r>
      <w:r w:rsidR="00CB2C2C">
        <w:rPr>
          <w:lang w:val="fr-FR"/>
        </w:rPr>
        <w:t> :</w:t>
      </w:r>
    </w:p>
    <w:p w:rsidR="00330B60" w:rsidRPr="00BF0A38" w:rsidRDefault="00650695" w:rsidP="00650695">
      <w:pPr>
        <w:pStyle w:val="SingleTxtG"/>
        <w:ind w:left="1701" w:hanging="5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5C6365" w:rsidRPr="00CB2C2C">
        <w:rPr>
          <w:i/>
          <w:lang w:val="fr-FR"/>
        </w:rPr>
        <w:t>«</w:t>
      </w:r>
      <w:r w:rsidR="00CB2C2C">
        <w:rPr>
          <w:lang w:val="fr-FR"/>
        </w:rPr>
        <w:t> </w:t>
      </w:r>
      <w:r w:rsidR="005C6365" w:rsidRPr="00BF0A38">
        <w:rPr>
          <w:i/>
          <w:lang w:val="fr-FR"/>
        </w:rPr>
        <w:t>Sont considérées comme périssables les marchandises qui, d</w:t>
      </w:r>
      <w:r w:rsidR="005C6365" w:rsidRPr="00BF0A38">
        <w:rPr>
          <w:i/>
          <w:lang w:val="fr-FR"/>
        </w:rPr>
        <w:t>urant leur transport par chemin de fer, doivent être protégées des effets de températures ambiantes élevées ou basses ou doivent faire l</w:t>
      </w:r>
      <w:r w:rsidR="00BF0A38">
        <w:rPr>
          <w:i/>
          <w:lang w:val="fr-FR"/>
        </w:rPr>
        <w:t>’</w:t>
      </w:r>
      <w:r w:rsidR="005C6365" w:rsidRPr="00BF0A38">
        <w:rPr>
          <w:i/>
          <w:lang w:val="fr-FR"/>
        </w:rPr>
        <w:t>objet de soins particuliers ou d</w:t>
      </w:r>
      <w:r w:rsidR="00BF0A38">
        <w:rPr>
          <w:i/>
          <w:lang w:val="fr-FR"/>
        </w:rPr>
        <w:t>’</w:t>
      </w:r>
      <w:r w:rsidR="005C6365" w:rsidRPr="00BF0A38">
        <w:rPr>
          <w:i/>
          <w:lang w:val="fr-FR"/>
        </w:rPr>
        <w:t>un suivi spécifique.</w:t>
      </w:r>
      <w:r w:rsidR="00CB2C2C">
        <w:rPr>
          <w:lang w:val="fr-FR"/>
        </w:rPr>
        <w:t> </w:t>
      </w:r>
      <w:r w:rsidR="005C6365" w:rsidRPr="00CB2C2C">
        <w:rPr>
          <w:i/>
          <w:lang w:val="fr-FR"/>
        </w:rPr>
        <w:t>»</w:t>
      </w:r>
      <w:r w:rsidR="005C6365" w:rsidRPr="00BF0A38">
        <w:rPr>
          <w:lang w:val="fr-FR"/>
        </w:rPr>
        <w:t>.</w:t>
      </w:r>
    </w:p>
    <w:p w:rsidR="00330B60" w:rsidRPr="00BF0A38" w:rsidRDefault="00650695" w:rsidP="00BF0A38">
      <w:pPr>
        <w:pStyle w:val="SingleTxtG"/>
        <w:rPr>
          <w:lang w:val="fr-FR"/>
        </w:rPr>
      </w:pPr>
      <w:r>
        <w:rPr>
          <w:lang w:val="fr-FR"/>
        </w:rPr>
        <w:tab/>
      </w:r>
      <w:r w:rsidR="005C6365" w:rsidRPr="00BF0A38">
        <w:rPr>
          <w:lang w:val="fr-FR"/>
        </w:rPr>
        <w:t>d)</w:t>
      </w:r>
      <w:r>
        <w:rPr>
          <w:lang w:val="fr-FR"/>
        </w:rPr>
        <w:tab/>
      </w:r>
      <w:r w:rsidR="005C6365" w:rsidRPr="00BF0A38">
        <w:rPr>
          <w:lang w:val="fr-FR"/>
        </w:rPr>
        <w:t xml:space="preserve">Règles applicables au transport routier de marchandises (telles que modifiées le 3 décembre 2015), fixées par le décret gouvernemental de la Fédération de Russie </w:t>
      </w:r>
      <w:r w:rsidR="00BF0A38" w:rsidRPr="00BF0A38">
        <w:rPr>
          <w:rFonts w:eastAsia="MS Mincho"/>
        </w:rPr>
        <w:t>n</w:t>
      </w:r>
      <w:r w:rsidR="00BF0A38" w:rsidRPr="00BF0A38">
        <w:rPr>
          <w:rFonts w:eastAsia="MS Mincho"/>
          <w:vertAlign w:val="superscript"/>
        </w:rPr>
        <w:t>o</w:t>
      </w:r>
      <w:r w:rsidR="00BF0A38">
        <w:rPr>
          <w:rFonts w:eastAsiaTheme="minorHAnsi"/>
        </w:rPr>
        <w:t> </w:t>
      </w:r>
      <w:r w:rsidR="005C6365" w:rsidRPr="00BF0A38">
        <w:rPr>
          <w:lang w:val="fr-FR"/>
        </w:rPr>
        <w:t>272 du 15 avril 2011</w:t>
      </w:r>
      <w:r w:rsidR="00CB2C2C">
        <w:rPr>
          <w:lang w:val="fr-FR"/>
        </w:rPr>
        <w:t> :</w:t>
      </w:r>
    </w:p>
    <w:p w:rsidR="00330B60" w:rsidRPr="00BF0A38" w:rsidRDefault="00650695" w:rsidP="00650695">
      <w:pPr>
        <w:pStyle w:val="SingleTxtG"/>
        <w:ind w:left="1701" w:hanging="567"/>
        <w:rPr>
          <w:i/>
          <w:lang w:val="fr-FR"/>
        </w:rPr>
      </w:pPr>
      <w:r>
        <w:rPr>
          <w:i/>
          <w:lang w:val="fr-FR"/>
        </w:rPr>
        <w:tab/>
      </w:r>
      <w:r>
        <w:rPr>
          <w:i/>
          <w:lang w:val="fr-FR"/>
        </w:rPr>
        <w:tab/>
      </w:r>
      <w:r w:rsidR="005C6365" w:rsidRPr="00BF0A38">
        <w:rPr>
          <w:i/>
          <w:lang w:val="fr-FR"/>
        </w:rPr>
        <w:t>«</w:t>
      </w:r>
      <w:r w:rsidR="00CB2C2C">
        <w:rPr>
          <w:lang w:val="fr-FR"/>
        </w:rPr>
        <w:t> </w:t>
      </w:r>
      <w:r w:rsidR="005C6365" w:rsidRPr="00BF0A38">
        <w:rPr>
          <w:i/>
          <w:lang w:val="fr-FR"/>
        </w:rPr>
        <w:t>Une marchandise périssable doit être transportée en veillant à m</w:t>
      </w:r>
      <w:r w:rsidR="005C6365" w:rsidRPr="00BF0A38">
        <w:rPr>
          <w:i/>
          <w:lang w:val="fr-FR"/>
        </w:rPr>
        <w:t>aintenir un régime de température donné en fonction des conditions de transport, lesquelles permettent d</w:t>
      </w:r>
      <w:r w:rsidR="00BF0A38">
        <w:rPr>
          <w:i/>
          <w:lang w:val="fr-FR"/>
        </w:rPr>
        <w:t>’</w:t>
      </w:r>
      <w:r w:rsidR="005C6365" w:rsidRPr="00BF0A38">
        <w:rPr>
          <w:i/>
          <w:lang w:val="fr-FR"/>
        </w:rPr>
        <w:t>en préserver les qualités gustatives et sont indiquées par l</w:t>
      </w:r>
      <w:r w:rsidR="00BF0A38">
        <w:rPr>
          <w:i/>
          <w:lang w:val="fr-FR"/>
        </w:rPr>
        <w:t>’</w:t>
      </w:r>
      <w:r w:rsidR="005C6365" w:rsidRPr="00BF0A38">
        <w:rPr>
          <w:i/>
          <w:lang w:val="fr-FR"/>
        </w:rPr>
        <w:t>expéditeur à la colonne 5 du bordereau de transport</w:t>
      </w:r>
      <w:r w:rsidR="00CB2C2C">
        <w:rPr>
          <w:i/>
          <w:lang w:val="fr-FR"/>
        </w:rPr>
        <w:t>.</w:t>
      </w:r>
      <w:r w:rsidR="00CB2C2C">
        <w:rPr>
          <w:lang w:val="fr-FR"/>
        </w:rPr>
        <w:t> </w:t>
      </w:r>
      <w:r w:rsidR="005C6365" w:rsidRPr="00BF0A38">
        <w:rPr>
          <w:i/>
          <w:lang w:val="fr-FR"/>
        </w:rPr>
        <w:t>».</w:t>
      </w:r>
    </w:p>
    <w:p w:rsidR="00330B60" w:rsidRPr="00BF0A38" w:rsidRDefault="00650695" w:rsidP="00BF0A38">
      <w:pPr>
        <w:pStyle w:val="SingleTxtG"/>
        <w:rPr>
          <w:lang w:val="fr-FR"/>
        </w:rPr>
      </w:pPr>
      <w:r>
        <w:rPr>
          <w:lang w:val="fr-FR"/>
        </w:rPr>
        <w:tab/>
      </w:r>
      <w:r w:rsidR="005C6365" w:rsidRPr="00BF0A38">
        <w:rPr>
          <w:lang w:val="fr-FR"/>
        </w:rPr>
        <w:t>Dans le contexte de la question e</w:t>
      </w:r>
      <w:r w:rsidR="005C6365" w:rsidRPr="00BF0A38">
        <w:rPr>
          <w:lang w:val="fr-FR"/>
        </w:rPr>
        <w:t>xaminée, les termes «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denrées périssables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» et «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marchandises périssables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» sont manifestement synonymes.</w:t>
      </w:r>
    </w:p>
    <w:p w:rsidR="00330B60" w:rsidRPr="00BF0A38" w:rsidRDefault="00650695" w:rsidP="00BF0A38">
      <w:pPr>
        <w:pStyle w:val="SingleTxtG"/>
        <w:rPr>
          <w:lang w:val="fr-FR"/>
        </w:rPr>
      </w:pPr>
      <w:r>
        <w:rPr>
          <w:lang w:val="fr-FR"/>
        </w:rPr>
        <w:lastRenderedPageBreak/>
        <w:tab/>
      </w:r>
      <w:r w:rsidR="005C6365" w:rsidRPr="00BF0A38">
        <w:rPr>
          <w:lang w:val="fr-FR"/>
        </w:rPr>
        <w:t>Les experts de la Fédération de Russie n</w:t>
      </w:r>
      <w:r w:rsidR="00BF0A38">
        <w:rPr>
          <w:lang w:val="fr-FR"/>
        </w:rPr>
        <w:t>’</w:t>
      </w:r>
      <w:r w:rsidR="005C6365" w:rsidRPr="00BF0A38">
        <w:rPr>
          <w:lang w:val="fr-FR"/>
        </w:rPr>
        <w:t>excluent pas que des Parties contractantes à l</w:t>
      </w:r>
      <w:r w:rsidR="00BF0A38">
        <w:rPr>
          <w:lang w:val="fr-FR"/>
        </w:rPr>
        <w:t>’</w:t>
      </w:r>
      <w:r w:rsidR="005C6365" w:rsidRPr="00BF0A38">
        <w:rPr>
          <w:lang w:val="fr-FR"/>
        </w:rPr>
        <w:t>ATP puissent définir autrement les termes «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denrées périssabl</w:t>
      </w:r>
      <w:r w:rsidR="005C6365" w:rsidRPr="00BF0A38">
        <w:rPr>
          <w:lang w:val="fr-FR"/>
        </w:rPr>
        <w:t>es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» et «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marchandises périssables</w:t>
      </w:r>
      <w:r w:rsidR="00CB2C2C">
        <w:rPr>
          <w:lang w:val="fr-FR"/>
        </w:rPr>
        <w:t> </w:t>
      </w:r>
      <w:r w:rsidR="005C6365" w:rsidRPr="00BF0A38">
        <w:rPr>
          <w:lang w:val="fr-FR"/>
        </w:rPr>
        <w:t>», mais lors des discussions qui ont eu lieu à ce sujet au cours des trois dernières années, aucune Partie contractante n</w:t>
      </w:r>
      <w:r w:rsidR="00BF0A38">
        <w:rPr>
          <w:lang w:val="fr-FR"/>
        </w:rPr>
        <w:t>’</w:t>
      </w:r>
      <w:r w:rsidR="005C6365" w:rsidRPr="00BF0A38">
        <w:rPr>
          <w:lang w:val="fr-FR"/>
        </w:rPr>
        <w:t>a fait de proposition dans ce sens.</w:t>
      </w:r>
    </w:p>
    <w:p w:rsidR="00330B60" w:rsidRPr="00BF0A38" w:rsidRDefault="005C6365" w:rsidP="00CB2C2C">
      <w:pPr>
        <w:pStyle w:val="SingleTxtG"/>
        <w:keepNext/>
        <w:keepLines/>
        <w:rPr>
          <w:lang w:val="fr-FR"/>
        </w:rPr>
      </w:pPr>
      <w:r w:rsidRPr="00BF0A38">
        <w:rPr>
          <w:lang w:val="fr-FR"/>
        </w:rPr>
        <w:t>5.</w:t>
      </w:r>
      <w:r w:rsidR="00650695">
        <w:rPr>
          <w:lang w:val="fr-FR"/>
        </w:rPr>
        <w:tab/>
      </w:r>
      <w:r w:rsidRPr="00BF0A38">
        <w:rPr>
          <w:lang w:val="fr-FR"/>
        </w:rPr>
        <w:t xml:space="preserve">Conformément au paragraphe 80 du rapport du Groupe de </w:t>
      </w:r>
      <w:r w:rsidRPr="00BF0A38">
        <w:rPr>
          <w:lang w:val="fr-FR"/>
        </w:rPr>
        <w:t>travail du transport des denrées périssables sur sa soixante et onzième session, tenue à Genève du 6 au 9 octobre 2015 (document ECE/TRANS/WP.11/233), la Fédération de Russie a donc élaboré un document officiel sur le sujet, qu</w:t>
      </w:r>
      <w:r w:rsidR="00BF0A38">
        <w:rPr>
          <w:lang w:val="fr-FR"/>
        </w:rPr>
        <w:t>’</w:t>
      </w:r>
      <w:r w:rsidRPr="00BF0A38">
        <w:rPr>
          <w:lang w:val="fr-FR"/>
        </w:rPr>
        <w:t>elle soumet au WP.11 pour ex</w:t>
      </w:r>
      <w:r w:rsidRPr="00BF0A38">
        <w:rPr>
          <w:lang w:val="fr-FR"/>
        </w:rPr>
        <w:t>amen à sa soixante-douzième session.</w:t>
      </w:r>
    </w:p>
    <w:p w:rsidR="00330B60" w:rsidRPr="00BF0A38" w:rsidRDefault="005C6365" w:rsidP="00650695">
      <w:pPr>
        <w:pStyle w:val="HChG"/>
        <w:rPr>
          <w:lang w:val="fr-FR"/>
        </w:rPr>
      </w:pPr>
      <w:r w:rsidRPr="00BF0A38">
        <w:rPr>
          <w:lang w:val="fr-FR"/>
        </w:rPr>
        <w:tab/>
      </w:r>
      <w:r w:rsidRPr="00BF0A38">
        <w:rPr>
          <w:lang w:val="fr-FR"/>
        </w:rPr>
        <w:tab/>
        <w:t>Proposition</w:t>
      </w:r>
    </w:p>
    <w:p w:rsidR="00330B60" w:rsidRPr="00BF0A38" w:rsidRDefault="005C6365" w:rsidP="00BF0A38">
      <w:pPr>
        <w:pStyle w:val="SingleTxtG"/>
        <w:rPr>
          <w:lang w:val="fr-FR"/>
        </w:rPr>
      </w:pPr>
      <w:r w:rsidRPr="00BF0A38">
        <w:rPr>
          <w:lang w:val="fr-FR"/>
        </w:rPr>
        <w:t>6.</w:t>
      </w:r>
      <w:r w:rsidRPr="00BF0A38">
        <w:rPr>
          <w:lang w:val="fr-FR"/>
        </w:rPr>
        <w:tab/>
        <w:t>Dans le Manuel ATP, ajouter une observation à la suite de l</w:t>
      </w:r>
      <w:r w:rsidR="00BF0A38">
        <w:rPr>
          <w:lang w:val="fr-FR"/>
        </w:rPr>
        <w:t>’</w:t>
      </w:r>
      <w:r w:rsidRPr="00BF0A38">
        <w:rPr>
          <w:lang w:val="fr-FR"/>
        </w:rPr>
        <w:t>article 3 de l</w:t>
      </w:r>
      <w:r w:rsidR="00BF0A38">
        <w:rPr>
          <w:lang w:val="fr-FR"/>
        </w:rPr>
        <w:t>’</w:t>
      </w:r>
      <w:r w:rsidRPr="00BF0A38">
        <w:rPr>
          <w:lang w:val="fr-FR"/>
        </w:rPr>
        <w:t>ATP</w:t>
      </w:r>
      <w:r w:rsidR="00CB2C2C">
        <w:rPr>
          <w:lang w:val="fr-FR"/>
        </w:rPr>
        <w:t> :</w:t>
      </w:r>
      <w:r w:rsidRPr="00BF0A38">
        <w:rPr>
          <w:lang w:val="fr-FR"/>
        </w:rPr>
        <w:t xml:space="preserve"> </w:t>
      </w:r>
    </w:p>
    <w:p w:rsidR="00330B60" w:rsidRPr="00BF0A38" w:rsidRDefault="00CB2C2C" w:rsidP="00BF0A38">
      <w:pPr>
        <w:pStyle w:val="SingleTxtG"/>
        <w:rPr>
          <w:i/>
          <w:lang w:val="fr-FR"/>
        </w:rPr>
      </w:pPr>
      <w:r>
        <w:rPr>
          <w:lang w:val="fr-FR"/>
        </w:rPr>
        <w:tab/>
      </w:r>
      <w:r w:rsidR="005C6365" w:rsidRPr="00BF0A38">
        <w:rPr>
          <w:lang w:val="fr-FR"/>
        </w:rPr>
        <w:t>«</w:t>
      </w:r>
      <w:r>
        <w:rPr>
          <w:lang w:val="fr-FR"/>
        </w:rPr>
        <w:t> </w:t>
      </w:r>
      <w:r w:rsidR="005C6365" w:rsidRPr="00650695">
        <w:rPr>
          <w:i/>
          <w:lang w:val="fr-FR"/>
        </w:rPr>
        <w:t>Observation</w:t>
      </w:r>
      <w:r>
        <w:rPr>
          <w:i/>
          <w:lang w:val="fr-FR"/>
        </w:rPr>
        <w:t> :</w:t>
      </w:r>
    </w:p>
    <w:p w:rsidR="00330B60" w:rsidRPr="00650695" w:rsidRDefault="00CB2C2C" w:rsidP="00CB2C2C">
      <w:pPr>
        <w:pStyle w:val="SingleTxtG"/>
        <w:ind w:left="1701" w:hanging="567"/>
        <w:rPr>
          <w:i/>
          <w:lang w:val="fr-FR"/>
        </w:rPr>
      </w:pPr>
      <w:r>
        <w:rPr>
          <w:i/>
          <w:lang w:val="fr-FR"/>
        </w:rPr>
        <w:tab/>
      </w:r>
      <w:r w:rsidR="005C6365" w:rsidRPr="00650695">
        <w:rPr>
          <w:i/>
          <w:lang w:val="fr-FR"/>
        </w:rPr>
        <w:t>Sont dites “périssables” les denrées alimentaires, énumérées dans le présent Accord, qui, pendant le t</w:t>
      </w:r>
      <w:r w:rsidR="005C6365" w:rsidRPr="00650695">
        <w:rPr>
          <w:i/>
          <w:lang w:val="fr-FR"/>
        </w:rPr>
        <w:t>ransport, doivent être protégées des effets des températures élevées ou faibles de l</w:t>
      </w:r>
      <w:r w:rsidR="00BF0A38" w:rsidRPr="00650695">
        <w:rPr>
          <w:i/>
          <w:lang w:val="fr-FR"/>
        </w:rPr>
        <w:t>’</w:t>
      </w:r>
      <w:r w:rsidR="005C6365" w:rsidRPr="00650695">
        <w:rPr>
          <w:i/>
          <w:lang w:val="fr-FR"/>
        </w:rPr>
        <w:t>air ambiant.</w:t>
      </w:r>
      <w:r>
        <w:rPr>
          <w:i/>
          <w:lang w:val="fr-FR"/>
        </w:rPr>
        <w:t> </w:t>
      </w:r>
      <w:r w:rsidR="005C6365" w:rsidRPr="00650695">
        <w:rPr>
          <w:i/>
          <w:lang w:val="fr-FR"/>
        </w:rPr>
        <w:t>».</w:t>
      </w:r>
    </w:p>
    <w:p w:rsidR="00330B60" w:rsidRPr="00BF0A38" w:rsidRDefault="005C6365" w:rsidP="00650695">
      <w:pPr>
        <w:pStyle w:val="HChG"/>
        <w:rPr>
          <w:lang w:val="fr-FR"/>
        </w:rPr>
      </w:pPr>
      <w:r w:rsidRPr="00BF0A38">
        <w:rPr>
          <w:lang w:val="fr-FR"/>
        </w:rPr>
        <w:tab/>
      </w:r>
      <w:r w:rsidRPr="00BF0A38">
        <w:rPr>
          <w:lang w:val="fr-FR"/>
        </w:rPr>
        <w:tab/>
        <w:t>Coûts</w:t>
      </w:r>
    </w:p>
    <w:p w:rsidR="00330B60" w:rsidRPr="00BF0A38" w:rsidRDefault="00650695" w:rsidP="00BF0A38">
      <w:pPr>
        <w:pStyle w:val="SingleTxtG"/>
        <w:rPr>
          <w:lang w:val="fr-FR"/>
        </w:rPr>
      </w:pPr>
      <w:r>
        <w:rPr>
          <w:lang w:val="fr-FR"/>
        </w:rPr>
        <w:t>7.</w:t>
      </w:r>
      <w:r w:rsidR="005C6365" w:rsidRPr="00BF0A38">
        <w:rPr>
          <w:lang w:val="fr-FR"/>
        </w:rPr>
        <w:tab/>
        <w:t>Les coûts sont nuls. Aucune nouvelle prescription n</w:t>
      </w:r>
      <w:r w:rsidR="00BF0A38">
        <w:rPr>
          <w:lang w:val="fr-FR"/>
        </w:rPr>
        <w:t>’</w:t>
      </w:r>
      <w:r w:rsidR="005C6365" w:rsidRPr="00BF0A38">
        <w:rPr>
          <w:lang w:val="fr-FR"/>
        </w:rPr>
        <w:t xml:space="preserve">est introduite pour le transport des denrées périssables. </w:t>
      </w:r>
    </w:p>
    <w:p w:rsidR="00330B60" w:rsidRPr="00BF0A38" w:rsidRDefault="005C6365" w:rsidP="00650695">
      <w:pPr>
        <w:pStyle w:val="HChG"/>
        <w:rPr>
          <w:lang w:val="fr-FR"/>
        </w:rPr>
      </w:pPr>
      <w:r w:rsidRPr="00BF0A38">
        <w:rPr>
          <w:lang w:val="fr-FR"/>
        </w:rPr>
        <w:tab/>
      </w:r>
      <w:r w:rsidRPr="00BF0A38">
        <w:rPr>
          <w:lang w:val="fr-FR"/>
        </w:rPr>
        <w:tab/>
        <w:t>Faisabilité</w:t>
      </w:r>
    </w:p>
    <w:p w:rsidR="00330B60" w:rsidRPr="00BF0A38" w:rsidRDefault="005C6365" w:rsidP="00BF0A38">
      <w:pPr>
        <w:pStyle w:val="SingleTxtG"/>
        <w:rPr>
          <w:lang w:val="fr-FR"/>
        </w:rPr>
      </w:pPr>
      <w:r w:rsidRPr="00BF0A38">
        <w:rPr>
          <w:lang w:val="fr-FR"/>
        </w:rPr>
        <w:t>8.</w:t>
      </w:r>
      <w:r w:rsidRPr="00BF0A38">
        <w:rPr>
          <w:lang w:val="fr-FR"/>
        </w:rPr>
        <w:tab/>
        <w:t xml:space="preserve">En employant de </w:t>
      </w:r>
      <w:r w:rsidRPr="00BF0A38">
        <w:rPr>
          <w:lang w:val="fr-FR"/>
        </w:rPr>
        <w:t>façon univoque le terme «</w:t>
      </w:r>
      <w:r w:rsidR="00CB2C2C">
        <w:rPr>
          <w:lang w:val="fr-FR"/>
        </w:rPr>
        <w:t> </w:t>
      </w:r>
      <w:r w:rsidRPr="00BF0A38">
        <w:rPr>
          <w:lang w:val="fr-FR"/>
        </w:rPr>
        <w:t>denrées périssables</w:t>
      </w:r>
      <w:r w:rsidR="00CB2C2C">
        <w:rPr>
          <w:lang w:val="fr-FR"/>
        </w:rPr>
        <w:t> </w:t>
      </w:r>
      <w:r w:rsidRPr="00BF0A38">
        <w:rPr>
          <w:lang w:val="fr-FR"/>
        </w:rPr>
        <w:t>», les Parties contractantes à l</w:t>
      </w:r>
      <w:r w:rsidR="00BF0A38">
        <w:rPr>
          <w:lang w:val="fr-FR"/>
        </w:rPr>
        <w:t>’</w:t>
      </w:r>
      <w:r w:rsidRPr="00BF0A38">
        <w:rPr>
          <w:lang w:val="fr-FR"/>
        </w:rPr>
        <w:t>ATP et toutes les parties qui appliquent l</w:t>
      </w:r>
      <w:r w:rsidR="00BF0A38">
        <w:rPr>
          <w:lang w:val="fr-FR"/>
        </w:rPr>
        <w:t>’</w:t>
      </w:r>
      <w:r w:rsidRPr="00BF0A38">
        <w:rPr>
          <w:lang w:val="fr-FR"/>
        </w:rPr>
        <w:t>Accord pourront avoir à l</w:t>
      </w:r>
      <w:r w:rsidR="00BF0A38">
        <w:rPr>
          <w:lang w:val="fr-FR"/>
        </w:rPr>
        <w:t>’</w:t>
      </w:r>
      <w:r w:rsidRPr="00BF0A38">
        <w:rPr>
          <w:lang w:val="fr-FR"/>
        </w:rPr>
        <w:t>avenir des échanges plus constructifs sur les divers aspects de l</w:t>
      </w:r>
      <w:r w:rsidR="00BF0A38">
        <w:rPr>
          <w:lang w:val="fr-FR"/>
        </w:rPr>
        <w:t>’</w:t>
      </w:r>
      <w:r w:rsidRPr="00BF0A38">
        <w:rPr>
          <w:lang w:val="fr-FR"/>
        </w:rPr>
        <w:t>Accord, fondés sur une même interprétation</w:t>
      </w:r>
      <w:r w:rsidRPr="00BF0A38">
        <w:rPr>
          <w:lang w:val="fr-FR"/>
        </w:rPr>
        <w:t xml:space="preserve"> de ce terme.</w:t>
      </w:r>
    </w:p>
    <w:p w:rsidR="00330B60" w:rsidRPr="00BF0A38" w:rsidRDefault="005C6365" w:rsidP="00650695">
      <w:pPr>
        <w:pStyle w:val="HChG"/>
        <w:rPr>
          <w:lang w:val="fr-FR"/>
        </w:rPr>
      </w:pPr>
      <w:r w:rsidRPr="00BF0A38">
        <w:rPr>
          <w:lang w:val="fr-FR"/>
        </w:rPr>
        <w:tab/>
      </w:r>
      <w:r w:rsidRPr="00BF0A38">
        <w:rPr>
          <w:lang w:val="fr-FR"/>
        </w:rPr>
        <w:tab/>
        <w:t>Applicabilité</w:t>
      </w:r>
    </w:p>
    <w:p w:rsidR="00330B60" w:rsidRPr="00BF0A38" w:rsidRDefault="00650695" w:rsidP="00BF0A38">
      <w:pPr>
        <w:pStyle w:val="SingleTxtG"/>
        <w:rPr>
          <w:lang w:val="fr-FR"/>
        </w:rPr>
      </w:pPr>
      <w:r>
        <w:rPr>
          <w:lang w:val="fr-FR"/>
        </w:rPr>
        <w:t>9.</w:t>
      </w:r>
      <w:r w:rsidR="005C6365" w:rsidRPr="00BF0A38">
        <w:rPr>
          <w:lang w:val="fr-FR"/>
        </w:rPr>
        <w:tab/>
        <w:t>Aucun problème n</w:t>
      </w:r>
      <w:r w:rsidR="00BF0A38">
        <w:rPr>
          <w:lang w:val="fr-FR"/>
        </w:rPr>
        <w:t>’</w:t>
      </w:r>
      <w:r w:rsidR="005C6365" w:rsidRPr="00BF0A38">
        <w:rPr>
          <w:lang w:val="fr-FR"/>
        </w:rPr>
        <w:t>est à prévoir.</w:t>
      </w:r>
    </w:p>
    <w:p w:rsidR="00F9573C" w:rsidRPr="00650695" w:rsidRDefault="00650695" w:rsidP="0065069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650695" w:rsidSect="00BF0A3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54" w:rsidRDefault="00FC4154" w:rsidP="00F95C08">
      <w:pPr>
        <w:spacing w:line="240" w:lineRule="auto"/>
      </w:pPr>
    </w:p>
  </w:endnote>
  <w:endnote w:type="continuationSeparator" w:id="0">
    <w:p w:rsidR="00FC4154" w:rsidRPr="00AC3823" w:rsidRDefault="00FC4154" w:rsidP="00AC3823">
      <w:pPr>
        <w:pStyle w:val="Footer"/>
      </w:pPr>
    </w:p>
  </w:endnote>
  <w:endnote w:type="continuationNotice" w:id="1">
    <w:p w:rsidR="00FC4154" w:rsidRDefault="00FC41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38" w:rsidRPr="00BF0A38" w:rsidRDefault="00BF0A38" w:rsidP="00BF0A38">
    <w:pPr>
      <w:pStyle w:val="Footer"/>
      <w:tabs>
        <w:tab w:val="right" w:pos="9638"/>
      </w:tabs>
    </w:pPr>
    <w:r w:rsidRPr="00BF0A38">
      <w:rPr>
        <w:b/>
        <w:sz w:val="18"/>
      </w:rPr>
      <w:fldChar w:fldCharType="begin"/>
    </w:r>
    <w:r w:rsidRPr="00BF0A38">
      <w:rPr>
        <w:b/>
        <w:sz w:val="18"/>
      </w:rPr>
      <w:instrText xml:space="preserve"> PAGE  \* MERGEFORMAT </w:instrText>
    </w:r>
    <w:r w:rsidRPr="00BF0A38">
      <w:rPr>
        <w:b/>
        <w:sz w:val="18"/>
      </w:rPr>
      <w:fldChar w:fldCharType="separate"/>
    </w:r>
    <w:r w:rsidR="005C6365">
      <w:rPr>
        <w:b/>
        <w:noProof/>
        <w:sz w:val="18"/>
      </w:rPr>
      <w:t>2</w:t>
    </w:r>
    <w:r w:rsidRPr="00BF0A38">
      <w:rPr>
        <w:b/>
        <w:sz w:val="18"/>
      </w:rPr>
      <w:fldChar w:fldCharType="end"/>
    </w:r>
    <w:r>
      <w:rPr>
        <w:b/>
        <w:sz w:val="18"/>
      </w:rPr>
      <w:tab/>
    </w:r>
    <w:r>
      <w:t>GE.16-12442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38" w:rsidRPr="00BF0A38" w:rsidRDefault="00BF0A38" w:rsidP="00BF0A38">
    <w:pPr>
      <w:pStyle w:val="Footer"/>
      <w:tabs>
        <w:tab w:val="right" w:pos="9638"/>
      </w:tabs>
      <w:rPr>
        <w:b/>
        <w:sz w:val="18"/>
      </w:rPr>
    </w:pPr>
    <w:r>
      <w:t>GE.16-12442</w:t>
    </w:r>
    <w:r>
      <w:tab/>
    </w:r>
    <w:r w:rsidRPr="00BF0A38">
      <w:rPr>
        <w:b/>
        <w:sz w:val="18"/>
      </w:rPr>
      <w:fldChar w:fldCharType="begin"/>
    </w:r>
    <w:r w:rsidRPr="00BF0A38">
      <w:rPr>
        <w:b/>
        <w:sz w:val="18"/>
      </w:rPr>
      <w:instrText xml:space="preserve"> PAGE  \* MERGEFORMAT </w:instrText>
    </w:r>
    <w:r w:rsidRPr="00BF0A38">
      <w:rPr>
        <w:b/>
        <w:sz w:val="18"/>
      </w:rPr>
      <w:fldChar w:fldCharType="separate"/>
    </w:r>
    <w:r w:rsidR="005C6365">
      <w:rPr>
        <w:b/>
        <w:noProof/>
        <w:sz w:val="18"/>
      </w:rPr>
      <w:t>3</w:t>
    </w:r>
    <w:r w:rsidRPr="00BF0A3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BF0A38" w:rsidRDefault="00BF0A38" w:rsidP="00BF0A3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7F59C090" wp14:editId="313D600E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16-12442  (F)    050816    220816</w:t>
    </w:r>
    <w:r>
      <w:rPr>
        <w:sz w:val="20"/>
      </w:rPr>
      <w:br/>
    </w:r>
    <w:r w:rsidRPr="00BF0A38">
      <w:rPr>
        <w:rFonts w:ascii="C39T30Lfz" w:hAnsi="C39T30Lfz"/>
        <w:sz w:val="56"/>
      </w:rPr>
      <w:t></w:t>
    </w:r>
    <w:r w:rsidRPr="00BF0A38">
      <w:rPr>
        <w:rFonts w:ascii="C39T30Lfz" w:hAnsi="C39T30Lfz"/>
        <w:sz w:val="56"/>
      </w:rPr>
      <w:t></w:t>
    </w:r>
    <w:r w:rsidRPr="00BF0A38">
      <w:rPr>
        <w:rFonts w:ascii="C39T30Lfz" w:hAnsi="C39T30Lfz"/>
        <w:sz w:val="56"/>
      </w:rPr>
      <w:t></w:t>
    </w:r>
    <w:r w:rsidRPr="00BF0A38">
      <w:rPr>
        <w:rFonts w:ascii="C39T30Lfz" w:hAnsi="C39T30Lfz"/>
        <w:sz w:val="56"/>
      </w:rPr>
      <w:t></w:t>
    </w:r>
    <w:r w:rsidRPr="00BF0A38">
      <w:rPr>
        <w:rFonts w:ascii="C39T30Lfz" w:hAnsi="C39T30Lfz"/>
        <w:sz w:val="56"/>
      </w:rPr>
      <w:t></w:t>
    </w:r>
    <w:r w:rsidRPr="00BF0A38">
      <w:rPr>
        <w:rFonts w:ascii="C39T30Lfz" w:hAnsi="C39T30Lfz"/>
        <w:sz w:val="56"/>
      </w:rPr>
      <w:t></w:t>
    </w:r>
    <w:r w:rsidRPr="00BF0A38">
      <w:rPr>
        <w:rFonts w:ascii="C39T30Lfz" w:hAnsi="C39T30Lfz"/>
        <w:sz w:val="56"/>
      </w:rPr>
      <w:t></w:t>
    </w:r>
    <w:r w:rsidRPr="00BF0A38">
      <w:rPr>
        <w:rFonts w:ascii="C39T30Lfz" w:hAnsi="C39T30Lfz"/>
        <w:sz w:val="56"/>
      </w:rPr>
      <w:t></w:t>
    </w:r>
    <w:r w:rsidRPr="00BF0A38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1/2016/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1/2016/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54" w:rsidRPr="00AC3823" w:rsidRDefault="00FC415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C4154" w:rsidRPr="00AC3823" w:rsidRDefault="00FC415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C4154" w:rsidRPr="00AC3823" w:rsidRDefault="00FC4154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38" w:rsidRPr="00BF0A38" w:rsidRDefault="00BF0A38">
    <w:pPr>
      <w:pStyle w:val="Header"/>
    </w:pPr>
    <w:r>
      <w:t>ECE/TRANS/WP.11/2016/5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38" w:rsidRPr="00BF0A38" w:rsidRDefault="00BF0A38" w:rsidP="00BF0A38">
    <w:pPr>
      <w:pStyle w:val="Header"/>
      <w:jc w:val="right"/>
    </w:pPr>
    <w:r>
      <w:t>ECE/TRANS/WP.11/2016/5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54"/>
    <w:rsid w:val="00017F94"/>
    <w:rsid w:val="00023842"/>
    <w:rsid w:val="0002676F"/>
    <w:rsid w:val="000334F9"/>
    <w:rsid w:val="000527BB"/>
    <w:rsid w:val="0007796D"/>
    <w:rsid w:val="000B7790"/>
    <w:rsid w:val="00111F2F"/>
    <w:rsid w:val="0014365E"/>
    <w:rsid w:val="00143C66"/>
    <w:rsid w:val="00176178"/>
    <w:rsid w:val="00184804"/>
    <w:rsid w:val="001F525A"/>
    <w:rsid w:val="00223272"/>
    <w:rsid w:val="0024779E"/>
    <w:rsid w:val="00257168"/>
    <w:rsid w:val="002744B8"/>
    <w:rsid w:val="002824BB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C6365"/>
    <w:rsid w:val="0064626C"/>
    <w:rsid w:val="00650695"/>
    <w:rsid w:val="006D3274"/>
    <w:rsid w:val="00703524"/>
    <w:rsid w:val="0071601D"/>
    <w:rsid w:val="007A62E6"/>
    <w:rsid w:val="007F20FA"/>
    <w:rsid w:val="0080684C"/>
    <w:rsid w:val="00871C75"/>
    <w:rsid w:val="00875C36"/>
    <w:rsid w:val="008776DC"/>
    <w:rsid w:val="009705C8"/>
    <w:rsid w:val="009C1CF4"/>
    <w:rsid w:val="009F6B74"/>
    <w:rsid w:val="00A30353"/>
    <w:rsid w:val="00A47EDC"/>
    <w:rsid w:val="00AC3823"/>
    <w:rsid w:val="00AE323C"/>
    <w:rsid w:val="00AF0CB5"/>
    <w:rsid w:val="00B00181"/>
    <w:rsid w:val="00B00B0D"/>
    <w:rsid w:val="00B61576"/>
    <w:rsid w:val="00B765F7"/>
    <w:rsid w:val="00BA0CA9"/>
    <w:rsid w:val="00BF0A38"/>
    <w:rsid w:val="00C02897"/>
    <w:rsid w:val="00CB2C2C"/>
    <w:rsid w:val="00CD102B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  <w:rsid w:val="00F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D9D7E5A-A1AE-47F6-A8B7-8D7F3977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BF0A38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ECE/TRANS/WP.11/2016/5</vt:lpstr>
      <vt:lpstr>ECE/TRANS/WP.11/2016/5</vt:lpstr>
    </vt:vector>
  </TitlesOfParts>
  <Company>DCM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ECE/TRANS/WP.11/2016/5</dc:title>
  <dc:subject/>
  <dc:creator>Vigny</dc:creator>
  <cp:keywords/>
  <dc:description/>
  <cp:lastModifiedBy>Caillot</cp:lastModifiedBy>
  <cp:revision>2</cp:revision>
  <cp:lastPrinted>2014-05-14T10:59:00Z</cp:lastPrinted>
  <dcterms:created xsi:type="dcterms:W3CDTF">2016-08-23T16:14:00Z</dcterms:created>
  <dcterms:modified xsi:type="dcterms:W3CDTF">2016-08-23T16:14:00Z</dcterms:modified>
</cp:coreProperties>
</file>