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1B5C3C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892A2F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1B5C3C" w:rsidP="001B5C3C">
            <w:pPr>
              <w:jc w:val="right"/>
            </w:pPr>
            <w:r w:rsidRPr="001B5C3C">
              <w:rPr>
                <w:sz w:val="40"/>
              </w:rPr>
              <w:t>ECE</w:t>
            </w:r>
            <w:r>
              <w:t>/TRANS/WP.11/2016/2</w:t>
            </w:r>
          </w:p>
        </w:tc>
      </w:tr>
      <w:tr w:rsidR="00F35BAF" w:rsidRPr="00DB58B5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892A2F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1B5C3C" w:rsidP="00892A2F">
            <w:pPr>
              <w:spacing w:before="240"/>
            </w:pPr>
            <w:r>
              <w:t>Distr. générale</w:t>
            </w:r>
          </w:p>
          <w:p w:rsidR="001B5C3C" w:rsidRDefault="001B5C3C" w:rsidP="001B5C3C">
            <w:pPr>
              <w:spacing w:line="240" w:lineRule="exact"/>
            </w:pPr>
            <w:r>
              <w:t>19 juillet 2016</w:t>
            </w:r>
          </w:p>
          <w:p w:rsidR="001B5C3C" w:rsidRDefault="001B5C3C" w:rsidP="001B5C3C">
            <w:pPr>
              <w:spacing w:line="240" w:lineRule="exact"/>
            </w:pPr>
            <w:r>
              <w:t>Français</w:t>
            </w:r>
          </w:p>
          <w:p w:rsidR="001B5C3C" w:rsidRPr="00DB58B5" w:rsidRDefault="001B5C3C" w:rsidP="001B5C3C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B5C3C" w:rsidRPr="00685843" w:rsidRDefault="001B5C3C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:rsidR="001B5C3C" w:rsidRPr="00F30D47" w:rsidRDefault="00FE3901" w:rsidP="00305801">
      <w:pPr>
        <w:spacing w:before="120"/>
        <w:rPr>
          <w:b/>
        </w:rPr>
      </w:pPr>
      <w:r w:rsidRPr="00591B31">
        <w:rPr>
          <w:b/>
        </w:rPr>
        <w:t xml:space="preserve">Soixante-douzième </w:t>
      </w:r>
      <w:r w:rsidR="001B5C3C" w:rsidRPr="00F30D47">
        <w:rPr>
          <w:b/>
        </w:rPr>
        <w:t>session</w:t>
      </w:r>
    </w:p>
    <w:p w:rsidR="001B5C3C" w:rsidRDefault="001B5C3C" w:rsidP="00305801">
      <w:r>
        <w:t xml:space="preserve">Genève, </w:t>
      </w:r>
      <w:r w:rsidR="00FE3901">
        <w:t>4-7 octobre 2016</w:t>
      </w:r>
    </w:p>
    <w:p w:rsidR="001B5C3C" w:rsidRDefault="00FE3901" w:rsidP="00305801">
      <w:r>
        <w:t>Point 5 b)</w:t>
      </w:r>
      <w:r w:rsidR="001B5C3C">
        <w:t xml:space="preserve"> de l’ordre du jour provisoire</w:t>
      </w:r>
    </w:p>
    <w:p w:rsidR="00FE3901" w:rsidRPr="00FE3901" w:rsidRDefault="00FE3901" w:rsidP="00FE3901">
      <w:pPr>
        <w:rPr>
          <w:b/>
        </w:rPr>
      </w:pPr>
      <w:r w:rsidRPr="00FE3901">
        <w:rPr>
          <w:b/>
        </w:rPr>
        <w:t>Propositions d’amendements à l’ATP</w:t>
      </w:r>
    </w:p>
    <w:p w:rsidR="00FE3901" w:rsidRPr="00FE3901" w:rsidRDefault="00FE3901" w:rsidP="00FE3901">
      <w:pPr>
        <w:rPr>
          <w:b/>
        </w:rPr>
      </w:pPr>
      <w:r w:rsidRPr="00FE3901">
        <w:rPr>
          <w:b/>
        </w:rPr>
        <w:t>Nouvelles propositions</w:t>
      </w:r>
    </w:p>
    <w:p w:rsidR="00FE3901" w:rsidRPr="00EE78D2" w:rsidRDefault="00FE3901" w:rsidP="00FE3901">
      <w:pPr>
        <w:pStyle w:val="HChG"/>
      </w:pPr>
      <w:r>
        <w:tab/>
      </w:r>
      <w:r>
        <w:tab/>
      </w:r>
      <w:r w:rsidRPr="00EE78D2">
        <w:t>Appendice 2 de l</w:t>
      </w:r>
      <w:r>
        <w:t>’</w:t>
      </w:r>
      <w:r w:rsidRPr="00EE78D2">
        <w:t xml:space="preserve">annexe 1, Modèle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 w:rsidRPr="00EE78D2">
        <w:t xml:space="preserve"> 10 des </w:t>
      </w:r>
      <w:r w:rsidRPr="003C2823">
        <w:t>procès</w:t>
      </w:r>
      <w:r w:rsidR="004A01EF">
        <w:noBreakHyphen/>
      </w:r>
      <w:r w:rsidRPr="003C2823">
        <w:t>verbaux d</w:t>
      </w:r>
      <w:r>
        <w:t>’</w:t>
      </w:r>
      <w:r w:rsidRPr="003C2823">
        <w:t>essai</w:t>
      </w:r>
    </w:p>
    <w:p w:rsidR="00FE3901" w:rsidRPr="00EE78D2" w:rsidRDefault="00FE3901" w:rsidP="00FE3901">
      <w:pPr>
        <w:pStyle w:val="H1G"/>
      </w:pPr>
      <w:r>
        <w:tab/>
      </w:r>
      <w:r>
        <w:tab/>
      </w:r>
      <w:r w:rsidRPr="00EE78D2">
        <w:t>Communication du Royaume</w:t>
      </w:r>
      <w:r w:rsidR="004A01EF">
        <w:noBreakHyphen/>
      </w:r>
      <w:r w:rsidRPr="00EE78D2">
        <w:t>Uni</w:t>
      </w:r>
    </w:p>
    <w:p w:rsidR="00FE3901" w:rsidRDefault="00FE3901" w:rsidP="00FE3901">
      <w:pPr>
        <w:pStyle w:val="HChG"/>
      </w:pPr>
      <w:r>
        <w:tab/>
      </w:r>
      <w:r>
        <w:tab/>
      </w:r>
      <w:r w:rsidRPr="00EE78D2">
        <w:t>Introduction</w:t>
      </w:r>
    </w:p>
    <w:p w:rsidR="00FE3901" w:rsidRDefault="00FE3901" w:rsidP="00FE3901">
      <w:pPr>
        <w:pStyle w:val="SingleTxtG"/>
      </w:pPr>
      <w:r>
        <w:t>1.</w:t>
      </w:r>
      <w:r>
        <w:tab/>
        <w:t xml:space="preserve">Certaines autorités chargées de la certification demandent qu’une date de début et une date de fin des essais ainsi que la charge de frigorigène soient indiquées dans le modèle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10, afin de satisfaire à leurs procédures internes.</w:t>
      </w:r>
    </w:p>
    <w:p w:rsidR="00FE3901" w:rsidRDefault="00FE3901" w:rsidP="00FE3901">
      <w:pPr>
        <w:pStyle w:val="SingleTxtG"/>
      </w:pPr>
      <w:r>
        <w:t>2.</w:t>
      </w:r>
      <w:r>
        <w:tab/>
        <w:t xml:space="preserve">Il existe déjà un exemple similaire d’indication de la date de début et de la date de fin dans le modèle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 xml:space="preserve"> 2A pour les essais thermiques concernant les caisses isothermes, dont la reprise permettrait d’harmoniser les deux procès</w:t>
      </w:r>
      <w:r w:rsidR="004A01EF">
        <w:noBreakHyphen/>
      </w:r>
      <w:r>
        <w:t>verbaux d’essai et de donner satisfaction à d’autres autorités compétentes.</w:t>
      </w:r>
    </w:p>
    <w:p w:rsidR="00FE3901" w:rsidRDefault="00FE3901" w:rsidP="00FE3901">
      <w:pPr>
        <w:pStyle w:val="SingleTxtG"/>
      </w:pPr>
      <w:r>
        <w:t>3.</w:t>
      </w:r>
      <w:r>
        <w:tab/>
        <w:t>Il conviendrait d’apporter cette modification pour éviter que le texte du procès</w:t>
      </w:r>
      <w:r w:rsidR="004A01EF">
        <w:noBreakHyphen/>
      </w:r>
      <w:r>
        <w:t xml:space="preserve">verbal s’écarte du modèle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10.</w:t>
      </w:r>
    </w:p>
    <w:p w:rsidR="00FE3901" w:rsidRPr="00DB7299" w:rsidRDefault="00FE3901" w:rsidP="00FE3901">
      <w:pPr>
        <w:pStyle w:val="HChG"/>
      </w:pPr>
      <w:r>
        <w:lastRenderedPageBreak/>
        <w:tab/>
      </w:r>
      <w:r>
        <w:tab/>
      </w:r>
      <w:r w:rsidRPr="00DB7299">
        <w:t>Texte original</w:t>
      </w:r>
    </w:p>
    <w:p w:rsidR="00FE3901" w:rsidRPr="00FE3901" w:rsidRDefault="00FE3901" w:rsidP="00FE3901">
      <w:pPr>
        <w:pStyle w:val="SingleTxtG"/>
        <w:keepNext/>
        <w:rPr>
          <w:b/>
        </w:rPr>
      </w:pPr>
      <w:r w:rsidRPr="00FE3901">
        <w:rPr>
          <w:b/>
        </w:rPr>
        <w:t>Date de début et date de fin</w:t>
      </w:r>
    </w:p>
    <w:p w:rsidR="00FE3901" w:rsidRPr="00FE3901" w:rsidRDefault="00FE3901" w:rsidP="00FE3901">
      <w:pPr>
        <w:pStyle w:val="SingleTxtG"/>
        <w:keepNext/>
        <w:rPr>
          <w:b/>
        </w:rPr>
      </w:pPr>
      <w:r w:rsidRPr="00FE3901">
        <w:rPr>
          <w:b/>
        </w:rPr>
        <w:t>« </w:t>
      </w:r>
      <w:r w:rsidR="004A01EF" w:rsidRPr="00FE3901">
        <w:rPr>
          <w:b/>
        </w:rPr>
        <w:t xml:space="preserve">MODÈLE </w:t>
      </w:r>
      <w:r w:rsidRPr="00FE3901">
        <w:rPr>
          <w:rFonts w:eastAsia="MS Mincho"/>
          <w:b/>
        </w:rPr>
        <w:t>n</w:t>
      </w:r>
      <w:r w:rsidRPr="00FE3901">
        <w:rPr>
          <w:rFonts w:eastAsia="MS Mincho"/>
          <w:b/>
          <w:vertAlign w:val="superscript"/>
        </w:rPr>
        <w:t>o</w:t>
      </w:r>
      <w:r w:rsidRPr="00FE3901">
        <w:rPr>
          <w:b/>
        </w:rPr>
        <w:t> 10</w:t>
      </w:r>
    </w:p>
    <w:p w:rsidR="00FE3901" w:rsidRDefault="00FE3901" w:rsidP="00FE3901">
      <w:pPr>
        <w:pStyle w:val="SingleTxtG"/>
        <w:keepNext/>
        <w:jc w:val="center"/>
      </w:pPr>
      <w:r>
        <w:t>PROCÈS-VERBAL D’ESSAI</w:t>
      </w:r>
    </w:p>
    <w:p w:rsidR="00FE3901" w:rsidRDefault="00FE3901" w:rsidP="00FE3901">
      <w:pPr>
        <w:pStyle w:val="SingleTxtG"/>
        <w:jc w:val="center"/>
      </w:pPr>
      <w:r>
        <w:t>établi conformément aux dispositions de l’Accord relatif aux transports internationaux</w:t>
      </w:r>
      <w:r w:rsidR="008A4B0B">
        <w:br/>
      </w:r>
      <w:r>
        <w:t>de denrées périssables et aux engins spéciaux à utiliser pour ces transports (ATP)</w:t>
      </w:r>
    </w:p>
    <w:p w:rsidR="00FE3901" w:rsidRDefault="00FE3901" w:rsidP="00FE3901">
      <w:pPr>
        <w:pStyle w:val="SingleTxtG"/>
        <w:jc w:val="center"/>
      </w:pPr>
      <w:r>
        <w:t xml:space="preserve">Procès-verbal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……………..</w:t>
      </w:r>
    </w:p>
    <w:p w:rsidR="00FE3901" w:rsidRDefault="00FE3901" w:rsidP="00FE3901">
      <w:pPr>
        <w:pStyle w:val="SingleTxtG"/>
        <w:jc w:val="center"/>
      </w:pPr>
      <w:r>
        <w:t>Détermination de la puissance frigorifique utile d’un groupe frigorifique conformément</w:t>
      </w:r>
      <w:r w:rsidR="008A4B0B">
        <w:br/>
      </w:r>
      <w:r>
        <w:t>à la section 4 de l’appendice 2 de l’annexe 1 de l’ATP</w:t>
      </w:r>
    </w:p>
    <w:p w:rsidR="00FE3901" w:rsidRPr="00FE3901" w:rsidRDefault="00FE3901" w:rsidP="00FE3901">
      <w:pPr>
        <w:pStyle w:val="SingleTxtG"/>
        <w:rPr>
          <w:b/>
        </w:rPr>
      </w:pPr>
      <w:r w:rsidRPr="00FE3901">
        <w:rPr>
          <w:b/>
        </w:rPr>
        <w:t>Charge de frigorigène</w:t>
      </w:r>
    </w:p>
    <w:p w:rsidR="00FE3901" w:rsidRDefault="00FE3901" w:rsidP="004A01EF">
      <w:pPr>
        <w:pStyle w:val="SingleTxtG"/>
        <w:tabs>
          <w:tab w:val="right" w:leader="dot" w:pos="8505"/>
        </w:tabs>
      </w:pPr>
      <w:r>
        <w:t xml:space="preserve">Fluide </w:t>
      </w:r>
      <w:r w:rsidRPr="00FE3901">
        <w:t>frigorigène</w:t>
      </w:r>
      <w:r w:rsidR="004A01EF">
        <w:t> </w:t>
      </w:r>
      <w:r>
        <w:t>:</w:t>
      </w:r>
      <w:r w:rsidR="004A01EF">
        <w:t> </w:t>
      </w:r>
      <w:r w:rsidR="004A01EF">
        <w:tab/>
      </w:r>
      <w:r>
        <w:t> ».</w:t>
      </w:r>
    </w:p>
    <w:p w:rsidR="00FE3901" w:rsidRPr="003C2823" w:rsidRDefault="00FE3901" w:rsidP="00FE3901">
      <w:pPr>
        <w:pStyle w:val="HChG"/>
      </w:pPr>
      <w:r>
        <w:tab/>
      </w:r>
      <w:r>
        <w:tab/>
        <w:t>Amendement proposé</w:t>
      </w:r>
    </w:p>
    <w:p w:rsidR="00FE3901" w:rsidRPr="00FE3901" w:rsidRDefault="00FE3901" w:rsidP="00FE3901">
      <w:pPr>
        <w:pStyle w:val="SingleTxtG"/>
        <w:rPr>
          <w:b/>
        </w:rPr>
      </w:pPr>
      <w:r w:rsidRPr="00FE3901">
        <w:rPr>
          <w:b/>
        </w:rPr>
        <w:t>Date de début et date de fin</w:t>
      </w:r>
    </w:p>
    <w:p w:rsidR="00FE3901" w:rsidRPr="00FE3901" w:rsidRDefault="00FE3901" w:rsidP="00FE3901">
      <w:pPr>
        <w:pStyle w:val="SingleTxtG"/>
      </w:pPr>
      <w:r>
        <w:rPr>
          <w:b/>
        </w:rPr>
        <w:t>« </w:t>
      </w:r>
      <w:r w:rsidR="004A01EF" w:rsidRPr="00FE3901">
        <w:rPr>
          <w:b/>
        </w:rPr>
        <w:t xml:space="preserve">MODÈLE </w:t>
      </w:r>
      <w:r w:rsidRPr="00FE3901">
        <w:rPr>
          <w:rFonts w:eastAsia="MS Mincho"/>
          <w:b/>
        </w:rPr>
        <w:t>n</w:t>
      </w:r>
      <w:r w:rsidRPr="00FE3901">
        <w:rPr>
          <w:rFonts w:eastAsia="MS Mincho"/>
          <w:b/>
          <w:vertAlign w:val="superscript"/>
        </w:rPr>
        <w:t>o</w:t>
      </w:r>
      <w:r w:rsidRPr="00FE3901">
        <w:rPr>
          <w:b/>
        </w:rPr>
        <w:t> 10</w:t>
      </w:r>
    </w:p>
    <w:p w:rsidR="00FE3901" w:rsidRDefault="00FE3901" w:rsidP="00FE3901">
      <w:pPr>
        <w:pStyle w:val="SingleTxtG"/>
        <w:jc w:val="center"/>
      </w:pPr>
      <w:r>
        <w:t>PROCÈS-VERBAL D’ESSAI</w:t>
      </w:r>
    </w:p>
    <w:p w:rsidR="00FE3901" w:rsidRDefault="00FE3901" w:rsidP="00FE3901">
      <w:pPr>
        <w:pStyle w:val="SingleTxtG"/>
        <w:jc w:val="center"/>
      </w:pPr>
      <w:r>
        <w:t>établi conformément aux dispositions de l’Accord relatif aux transports internationaux</w:t>
      </w:r>
      <w:r>
        <w:br/>
        <w:t>de denrées périssables et aux engins spéciaux à utiliser pour ces transports (ATP)</w:t>
      </w:r>
    </w:p>
    <w:p w:rsidR="00FE3901" w:rsidRDefault="00FE3901" w:rsidP="00FE3901">
      <w:pPr>
        <w:pStyle w:val="SingleTxtG"/>
        <w:jc w:val="center"/>
      </w:pPr>
      <w:r>
        <w:t xml:space="preserve">Procès-verbal </w:t>
      </w:r>
      <w:r>
        <w:rPr>
          <w:rFonts w:eastAsia="MS Mincho"/>
        </w:rPr>
        <w:t>n</w:t>
      </w:r>
      <w:r>
        <w:rPr>
          <w:rFonts w:eastAsia="MS Mincho"/>
          <w:vertAlign w:val="superscript"/>
        </w:rPr>
        <w:t>o</w:t>
      </w:r>
      <w:r>
        <w:t> …………………</w:t>
      </w:r>
    </w:p>
    <w:p w:rsidR="00FE3901" w:rsidRDefault="00FE3901" w:rsidP="00FE3901">
      <w:pPr>
        <w:pStyle w:val="SingleTxtG"/>
        <w:jc w:val="center"/>
      </w:pPr>
      <w:r>
        <w:t>Détermination de la puissance frigorifique utile d’un groupe frigorifique conformément</w:t>
      </w:r>
      <w:r>
        <w:br/>
        <w:t>à la section 4 de l’appendice 2 de l’annexe 1 de l’ATP</w:t>
      </w:r>
    </w:p>
    <w:p w:rsidR="00FE3901" w:rsidRPr="00DB7299" w:rsidRDefault="00FE3901" w:rsidP="00FE3901">
      <w:pPr>
        <w:pStyle w:val="SingleTxtG"/>
        <w:jc w:val="center"/>
        <w:rPr>
          <w:b/>
        </w:rPr>
      </w:pPr>
      <w:r>
        <w:rPr>
          <w:b/>
        </w:rPr>
        <w:t>E</w:t>
      </w:r>
      <w:r w:rsidRPr="00DB7299">
        <w:rPr>
          <w:b/>
        </w:rPr>
        <w:t>ssai</w:t>
      </w:r>
      <w:r>
        <w:rPr>
          <w:b/>
        </w:rPr>
        <w:t xml:space="preserve"> effectué </w:t>
      </w:r>
      <w:r w:rsidRPr="00DB7299">
        <w:rPr>
          <w:b/>
        </w:rPr>
        <w:t>du JJ/MM/AAAA au JJ/MM/AAAA</w:t>
      </w:r>
    </w:p>
    <w:p w:rsidR="00FE3901" w:rsidRPr="00FE3901" w:rsidRDefault="00FE3901" w:rsidP="00FE3901">
      <w:pPr>
        <w:pStyle w:val="SingleTxtG"/>
        <w:rPr>
          <w:b/>
        </w:rPr>
      </w:pPr>
      <w:r w:rsidRPr="00FE3901">
        <w:rPr>
          <w:b/>
        </w:rPr>
        <w:t>Charge de frigorigène</w:t>
      </w:r>
    </w:p>
    <w:p w:rsidR="00FE3901" w:rsidRDefault="00FE3901" w:rsidP="004A01EF">
      <w:pPr>
        <w:pStyle w:val="SingleTxtG"/>
        <w:tabs>
          <w:tab w:val="left" w:pos="2977"/>
          <w:tab w:val="right" w:leader="dot" w:pos="8505"/>
        </w:tabs>
      </w:pPr>
      <w:r>
        <w:t xml:space="preserve">Fluide </w:t>
      </w:r>
      <w:r w:rsidRPr="00FE3901">
        <w:t>frigorigène</w:t>
      </w:r>
      <w:r w:rsidR="004A01EF">
        <w:t> </w:t>
      </w:r>
      <w:r>
        <w:t>:</w:t>
      </w:r>
      <w:r>
        <w:tab/>
        <w:t>Nature</w:t>
      </w:r>
      <w:r w:rsidR="004A01EF">
        <w:t> : </w:t>
      </w:r>
      <w:r w:rsidR="004A01EF">
        <w:tab/>
      </w:r>
    </w:p>
    <w:p w:rsidR="00FE3901" w:rsidRDefault="00FE3901" w:rsidP="004A01EF">
      <w:pPr>
        <w:pStyle w:val="SingleTxtG"/>
        <w:tabs>
          <w:tab w:val="right" w:leader="dot" w:pos="8505"/>
        </w:tabs>
      </w:pPr>
      <w:r>
        <w:t xml:space="preserve">Charge nominale en fluide </w:t>
      </w:r>
      <w:r w:rsidRPr="00FE3901">
        <w:t>frigorigène</w:t>
      </w:r>
      <w:r w:rsidR="004A01EF">
        <w:t> </w:t>
      </w:r>
      <w:r>
        <w:t>:</w:t>
      </w:r>
      <w:r w:rsidR="004A01EF">
        <w:t> </w:t>
      </w:r>
      <w:r w:rsidR="004A01EF">
        <w:tab/>
      </w:r>
      <w:r>
        <w:t> »</w:t>
      </w:r>
      <w:r w:rsidR="004D1543">
        <w:t>.</w:t>
      </w:r>
    </w:p>
    <w:p w:rsidR="00FE3901" w:rsidRPr="00B17FBB" w:rsidRDefault="004D1543" w:rsidP="004D1543">
      <w:pPr>
        <w:pStyle w:val="HChG"/>
      </w:pPr>
      <w:r>
        <w:tab/>
      </w:r>
      <w:r>
        <w:tab/>
      </w:r>
      <w:r w:rsidR="00FE3901" w:rsidRPr="00B17FBB">
        <w:t>Incidences</w:t>
      </w:r>
    </w:p>
    <w:p w:rsidR="001B5C3C" w:rsidRDefault="00FE3901" w:rsidP="004D1543">
      <w:pPr>
        <w:pStyle w:val="SingleTxtG"/>
      </w:pPr>
      <w:r>
        <w:t>4.</w:t>
      </w:r>
      <w:r>
        <w:tab/>
        <w:t>Il n’y aurait aucune incidence financière sur le secteur.</w:t>
      </w:r>
    </w:p>
    <w:p w:rsidR="004D1543" w:rsidRPr="004D1543" w:rsidRDefault="004D1543" w:rsidP="004D154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1543" w:rsidRPr="004D1543" w:rsidSect="001B5C3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09C" w:rsidRDefault="00F2709C" w:rsidP="00F95C08">
      <w:pPr>
        <w:spacing w:line="240" w:lineRule="auto"/>
      </w:pPr>
    </w:p>
  </w:endnote>
  <w:endnote w:type="continuationSeparator" w:id="0">
    <w:p w:rsidR="00F2709C" w:rsidRPr="00AC3823" w:rsidRDefault="00F2709C" w:rsidP="00AC3823">
      <w:pPr>
        <w:pStyle w:val="Footer"/>
      </w:pPr>
    </w:p>
  </w:endnote>
  <w:endnote w:type="continuationNotice" w:id="1">
    <w:p w:rsidR="00F2709C" w:rsidRDefault="00F2709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3C" w:rsidRPr="001B5C3C" w:rsidRDefault="001B5C3C" w:rsidP="001B5C3C">
    <w:pPr>
      <w:pStyle w:val="Footer"/>
      <w:tabs>
        <w:tab w:val="right" w:pos="9638"/>
      </w:tabs>
    </w:pPr>
    <w:r w:rsidRPr="001B5C3C">
      <w:rPr>
        <w:b/>
        <w:sz w:val="18"/>
      </w:rPr>
      <w:fldChar w:fldCharType="begin"/>
    </w:r>
    <w:r w:rsidRPr="001B5C3C">
      <w:rPr>
        <w:b/>
        <w:sz w:val="18"/>
      </w:rPr>
      <w:instrText xml:space="preserve"> PAGE  \* MERGEFORMAT </w:instrText>
    </w:r>
    <w:r w:rsidRPr="001B5C3C">
      <w:rPr>
        <w:b/>
        <w:sz w:val="18"/>
      </w:rPr>
      <w:fldChar w:fldCharType="separate"/>
    </w:r>
    <w:r w:rsidR="00FC3AEE">
      <w:rPr>
        <w:b/>
        <w:noProof/>
        <w:sz w:val="18"/>
      </w:rPr>
      <w:t>2</w:t>
    </w:r>
    <w:r w:rsidRPr="001B5C3C">
      <w:rPr>
        <w:b/>
        <w:sz w:val="18"/>
      </w:rPr>
      <w:fldChar w:fldCharType="end"/>
    </w:r>
    <w:r>
      <w:rPr>
        <w:b/>
        <w:sz w:val="18"/>
      </w:rPr>
      <w:tab/>
    </w:r>
    <w:r>
      <w:t>GE.16-12428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3C" w:rsidRPr="001B5C3C" w:rsidRDefault="001B5C3C" w:rsidP="001B5C3C">
    <w:pPr>
      <w:pStyle w:val="Footer"/>
      <w:tabs>
        <w:tab w:val="right" w:pos="9638"/>
      </w:tabs>
      <w:rPr>
        <w:b/>
        <w:sz w:val="18"/>
      </w:rPr>
    </w:pPr>
    <w:r>
      <w:t>GE.16-12428</w:t>
    </w:r>
    <w:r>
      <w:tab/>
    </w:r>
    <w:r w:rsidRPr="001B5C3C">
      <w:rPr>
        <w:b/>
        <w:sz w:val="18"/>
      </w:rPr>
      <w:fldChar w:fldCharType="begin"/>
    </w:r>
    <w:r w:rsidRPr="001B5C3C">
      <w:rPr>
        <w:b/>
        <w:sz w:val="18"/>
      </w:rPr>
      <w:instrText xml:space="preserve"> PAGE  \* MERGEFORMAT </w:instrText>
    </w:r>
    <w:r w:rsidRPr="001B5C3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1B5C3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1B5C3C" w:rsidRDefault="001B5C3C" w:rsidP="001B5C3C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US"/>
      </w:rPr>
      <w:drawing>
        <wp:anchor distT="0" distB="0" distL="114300" distR="114300" simplePos="0" relativeHeight="251659264" behindDoc="0" locked="0" layoutInCell="1" allowOverlap="0" wp14:anchorId="1E9B886D" wp14:editId="4FCD878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16-12428  (F)</w:t>
    </w:r>
    <w:r w:rsidR="00FE3901">
      <w:rPr>
        <w:sz w:val="20"/>
      </w:rPr>
      <w:t xml:space="preserve">    040816    180816</w:t>
    </w:r>
    <w:r>
      <w:rPr>
        <w:sz w:val="20"/>
      </w:rPr>
      <w:br/>
    </w:r>
    <w:r w:rsidRPr="001B5C3C">
      <w:rPr>
        <w:rFonts w:ascii="C39T30Lfz" w:hAnsi="C39T30Lfz"/>
        <w:sz w:val="56"/>
      </w:rPr>
      <w:t></w:t>
    </w:r>
    <w:r w:rsidRPr="001B5C3C">
      <w:rPr>
        <w:rFonts w:ascii="C39T30Lfz" w:hAnsi="C39T30Lfz"/>
        <w:sz w:val="56"/>
      </w:rPr>
      <w:t></w:t>
    </w:r>
    <w:r w:rsidRPr="001B5C3C">
      <w:rPr>
        <w:rFonts w:ascii="C39T30Lfz" w:hAnsi="C39T30Lfz"/>
        <w:sz w:val="56"/>
      </w:rPr>
      <w:t></w:t>
    </w:r>
    <w:r w:rsidRPr="001B5C3C">
      <w:rPr>
        <w:rFonts w:ascii="C39T30Lfz" w:hAnsi="C39T30Lfz"/>
        <w:sz w:val="56"/>
      </w:rPr>
      <w:t></w:t>
    </w:r>
    <w:r w:rsidRPr="001B5C3C">
      <w:rPr>
        <w:rFonts w:ascii="C39T30Lfz" w:hAnsi="C39T30Lfz"/>
        <w:sz w:val="56"/>
      </w:rPr>
      <w:t></w:t>
    </w:r>
    <w:r w:rsidRPr="001B5C3C">
      <w:rPr>
        <w:rFonts w:ascii="C39T30Lfz" w:hAnsi="C39T30Lfz"/>
        <w:sz w:val="56"/>
      </w:rPr>
      <w:t></w:t>
    </w:r>
    <w:r w:rsidRPr="001B5C3C">
      <w:rPr>
        <w:rFonts w:ascii="C39T30Lfz" w:hAnsi="C39T30Lfz"/>
        <w:sz w:val="56"/>
      </w:rPr>
      <w:t></w:t>
    </w:r>
    <w:r w:rsidRPr="001B5C3C">
      <w:rPr>
        <w:rFonts w:ascii="C39T30Lfz" w:hAnsi="C39T30Lfz"/>
        <w:sz w:val="56"/>
      </w:rPr>
      <w:t></w:t>
    </w:r>
    <w:r w:rsidRPr="001B5C3C">
      <w:rPr>
        <w:rFonts w:ascii="C39T30Lfz" w:hAnsi="C39T30Lfz"/>
        <w:sz w:val="56"/>
      </w:rPr>
      <w:t></w:t>
    </w:r>
    <w:r>
      <w:rPr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1/2016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1/2016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09C" w:rsidRPr="00AC3823" w:rsidRDefault="00F2709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F2709C" w:rsidRPr="00AC3823" w:rsidRDefault="00F2709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F2709C" w:rsidRPr="00AC3823" w:rsidRDefault="00F2709C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3C" w:rsidRPr="001B5C3C" w:rsidRDefault="001B5C3C">
    <w:pPr>
      <w:pStyle w:val="Header"/>
    </w:pPr>
    <w:r>
      <w:t>ECE/TRANS/WP.11/2016/2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C3C" w:rsidRPr="001B5C3C" w:rsidRDefault="001B5C3C" w:rsidP="001B5C3C">
    <w:pPr>
      <w:pStyle w:val="Header"/>
      <w:jc w:val="right"/>
    </w:pPr>
    <w:r>
      <w:t>ECE/TRANS/WP.11/2016/2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09C"/>
    <w:rsid w:val="00017F94"/>
    <w:rsid w:val="00023842"/>
    <w:rsid w:val="000334F9"/>
    <w:rsid w:val="0007796D"/>
    <w:rsid w:val="000B7790"/>
    <w:rsid w:val="00111F2F"/>
    <w:rsid w:val="0014365E"/>
    <w:rsid w:val="00143C66"/>
    <w:rsid w:val="00160432"/>
    <w:rsid w:val="00176178"/>
    <w:rsid w:val="001B5C3C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52396"/>
    <w:rsid w:val="004837D8"/>
    <w:rsid w:val="004A01EF"/>
    <w:rsid w:val="004D1543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8A4B0B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85C74"/>
    <w:rsid w:val="00EA6547"/>
    <w:rsid w:val="00EF2E22"/>
    <w:rsid w:val="00F2709C"/>
    <w:rsid w:val="00F35BAF"/>
    <w:rsid w:val="00F660DF"/>
    <w:rsid w:val="00F94664"/>
    <w:rsid w:val="00F9573C"/>
    <w:rsid w:val="00F95C08"/>
    <w:rsid w:val="00FC3AEE"/>
    <w:rsid w:val="00FE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FD9A88B-AA84-44E3-B9C2-8CD4049B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ECE/TRANS/WP.11/2016/2</vt:lpstr>
      <vt:lpstr>ECE/TRANS/WP.11/2016/2</vt:lpstr>
    </vt:vector>
  </TitlesOfParts>
  <Company>DCM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ECE/TRANS/WP.11/2016/2</dc:title>
  <dc:subject>final</dc:subject>
  <dc:creator>Devouass</dc:creator>
  <cp:keywords/>
  <dc:description/>
  <cp:lastModifiedBy>Caillot</cp:lastModifiedBy>
  <cp:revision>2</cp:revision>
  <cp:lastPrinted>2016-08-18T09:00:00Z</cp:lastPrinted>
  <dcterms:created xsi:type="dcterms:W3CDTF">2016-08-19T09:39:00Z</dcterms:created>
  <dcterms:modified xsi:type="dcterms:W3CDTF">2016-08-19T09:39:00Z</dcterms:modified>
</cp:coreProperties>
</file>