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B0BEC" w:rsidP="00586F24">
            <w:pPr>
              <w:jc w:val="right"/>
            </w:pPr>
            <w:r w:rsidRPr="009B0BEC">
              <w:rPr>
                <w:sz w:val="40"/>
              </w:rPr>
              <w:t>ECE</w:t>
            </w:r>
            <w:r>
              <w:t>/TRANS/SC.1/406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86F24"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9B0BEC" w:rsidP="009B0BEC">
            <w:pPr>
              <w:spacing w:before="240" w:line="240" w:lineRule="exact"/>
            </w:pPr>
            <w:r>
              <w:t>Distr.: General</w:t>
            </w:r>
          </w:p>
          <w:p w:rsidR="009B0BEC" w:rsidRDefault="00C1784E" w:rsidP="009B0BEC">
            <w:pPr>
              <w:spacing w:line="240" w:lineRule="exact"/>
            </w:pPr>
            <w:r>
              <w:t>2</w:t>
            </w:r>
            <w:r w:rsidR="002F0120">
              <w:t>2</w:t>
            </w:r>
            <w:r w:rsidR="00814C9B">
              <w:t xml:space="preserve"> November </w:t>
            </w:r>
            <w:r w:rsidR="009B0BEC">
              <w:t>2016</w:t>
            </w:r>
          </w:p>
          <w:p w:rsidR="009B0BEC" w:rsidRDefault="009B0BEC" w:rsidP="009B0BEC">
            <w:pPr>
              <w:spacing w:line="240" w:lineRule="exact"/>
            </w:pPr>
          </w:p>
          <w:p w:rsidR="009B0BEC" w:rsidRDefault="009B0BEC" w:rsidP="009B0BEC">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w:t>
      </w:r>
      <w:r w:rsidR="008C4401">
        <w:rPr>
          <w:b/>
          <w:sz w:val="24"/>
          <w:szCs w:val="24"/>
        </w:rPr>
        <w:t>Road Transport</w:t>
      </w:r>
    </w:p>
    <w:p w:rsidR="00D72D05" w:rsidRDefault="00D72D05" w:rsidP="00D72D05">
      <w:pPr>
        <w:spacing w:before="120"/>
        <w:rPr>
          <w:b/>
        </w:rPr>
      </w:pPr>
      <w:r>
        <w:rPr>
          <w:b/>
        </w:rPr>
        <w:t>111th session</w:t>
      </w:r>
    </w:p>
    <w:p w:rsidR="00D72D05" w:rsidRDefault="00D72D05" w:rsidP="00D72D05">
      <w:r>
        <w:t>Geneva, 25–26 October 2016</w:t>
      </w:r>
    </w:p>
    <w:p w:rsidR="00A6129C" w:rsidRDefault="00A6129C" w:rsidP="00C96DF2">
      <w:pPr>
        <w:rPr>
          <w:b/>
        </w:rPr>
      </w:pPr>
    </w:p>
    <w:p w:rsidR="00D72D05" w:rsidRDefault="00D72D05" w:rsidP="00C96DF2">
      <w:pPr>
        <w:rPr>
          <w:b/>
        </w:rPr>
      </w:pPr>
    </w:p>
    <w:p w:rsidR="00D72D05" w:rsidRDefault="00D72D05" w:rsidP="00D72D05">
      <w:pPr>
        <w:pStyle w:val="HChG"/>
      </w:pPr>
      <w:r>
        <w:tab/>
      </w:r>
      <w:r>
        <w:tab/>
      </w:r>
      <w:r w:rsidRPr="00F864A1">
        <w:t xml:space="preserve">Report of the Working Party on Road Transport on its </w:t>
      </w:r>
      <w:r w:rsidRPr="00F864A1">
        <w:br/>
        <w:t>1</w:t>
      </w:r>
      <w:r>
        <w:t>11th</w:t>
      </w:r>
      <w:r w:rsidRPr="00F864A1">
        <w:t xml:space="preserve"> session</w:t>
      </w:r>
    </w:p>
    <w:p w:rsidR="00D72D05" w:rsidRPr="004D1A89" w:rsidRDefault="00D72D05" w:rsidP="00D72D05">
      <w:pPr>
        <w:spacing w:after="120"/>
        <w:rPr>
          <w:sz w:val="28"/>
          <w:lang w:val="fr-CH"/>
        </w:rPr>
      </w:pPr>
      <w:r w:rsidRPr="004D1A89">
        <w:rPr>
          <w:sz w:val="28"/>
          <w:lang w:val="fr-CH"/>
        </w:rPr>
        <w:t>Contents</w:t>
      </w:r>
    </w:p>
    <w:p w:rsidR="00D72D05" w:rsidRPr="004D1A89" w:rsidRDefault="00D72D05" w:rsidP="00D72D05">
      <w:pPr>
        <w:tabs>
          <w:tab w:val="right" w:pos="8929"/>
          <w:tab w:val="right" w:pos="9638"/>
        </w:tabs>
        <w:spacing w:after="120"/>
        <w:ind w:left="283"/>
        <w:rPr>
          <w:lang w:val="fr-CH"/>
        </w:rPr>
      </w:pPr>
      <w:r w:rsidRPr="004D1A89">
        <w:rPr>
          <w:i/>
          <w:sz w:val="18"/>
          <w:lang w:val="fr-CH"/>
        </w:rPr>
        <w:tab/>
      </w:r>
      <w:proofErr w:type="spellStart"/>
      <w:r w:rsidRPr="004D1A89">
        <w:rPr>
          <w:i/>
          <w:sz w:val="18"/>
          <w:lang w:val="fr-CH"/>
        </w:rPr>
        <w:t>Paragraphs</w:t>
      </w:r>
      <w:proofErr w:type="spellEnd"/>
      <w:r w:rsidRPr="004D1A89">
        <w:rPr>
          <w:i/>
          <w:sz w:val="18"/>
          <w:lang w:val="fr-CH"/>
        </w:rPr>
        <w:tab/>
        <w:t>Page</w:t>
      </w:r>
    </w:p>
    <w:p w:rsidR="00D72D05" w:rsidRPr="004D1A89" w:rsidRDefault="00D72D05" w:rsidP="00D72D05">
      <w:pPr>
        <w:tabs>
          <w:tab w:val="right" w:pos="850"/>
          <w:tab w:val="left" w:pos="1134"/>
          <w:tab w:val="left" w:pos="1559"/>
          <w:tab w:val="left" w:pos="1984"/>
          <w:tab w:val="left" w:leader="dot" w:pos="7654"/>
          <w:tab w:val="right" w:pos="8929"/>
          <w:tab w:val="right" w:pos="9638"/>
        </w:tabs>
        <w:spacing w:after="120"/>
        <w:rPr>
          <w:lang w:val="fr-CH"/>
        </w:rPr>
      </w:pPr>
      <w:r w:rsidRPr="004D1A89">
        <w:rPr>
          <w:lang w:val="fr-CH"/>
        </w:rPr>
        <w:tab/>
        <w:t>I.</w:t>
      </w:r>
      <w:r w:rsidRPr="004D1A89">
        <w:rPr>
          <w:lang w:val="fr-CH"/>
        </w:rPr>
        <w:tab/>
      </w:r>
      <w:proofErr w:type="spellStart"/>
      <w:r w:rsidRPr="004D1A89">
        <w:rPr>
          <w:lang w:val="fr-CH"/>
        </w:rPr>
        <w:t>Attendance</w:t>
      </w:r>
      <w:proofErr w:type="spellEnd"/>
      <w:r w:rsidRPr="004D1A89">
        <w:rPr>
          <w:lang w:val="fr-CH"/>
        </w:rPr>
        <w:tab/>
      </w:r>
      <w:r w:rsidRPr="004D1A89">
        <w:rPr>
          <w:lang w:val="fr-CH"/>
        </w:rPr>
        <w:tab/>
      </w:r>
      <w:r w:rsidR="00060A47">
        <w:rPr>
          <w:lang w:val="fr-CH"/>
        </w:rPr>
        <w:t>1-3</w:t>
      </w:r>
      <w:r w:rsidRPr="004D1A89">
        <w:rPr>
          <w:lang w:val="fr-CH"/>
        </w:rPr>
        <w:tab/>
      </w:r>
      <w:r w:rsidR="00060A47">
        <w:rPr>
          <w:lang w:val="fr-CH"/>
        </w:rPr>
        <w:t>3</w:t>
      </w:r>
    </w:p>
    <w:p w:rsidR="00D72D05" w:rsidRDefault="00D72D05" w:rsidP="00D72D05">
      <w:pPr>
        <w:tabs>
          <w:tab w:val="right" w:pos="850"/>
          <w:tab w:val="left" w:pos="1134"/>
          <w:tab w:val="left" w:pos="1559"/>
          <w:tab w:val="left" w:pos="1984"/>
          <w:tab w:val="left" w:leader="dot" w:pos="7654"/>
          <w:tab w:val="right" w:pos="8929"/>
          <w:tab w:val="right" w:pos="9638"/>
        </w:tabs>
        <w:spacing w:after="120"/>
      </w:pPr>
      <w:r w:rsidRPr="004D1A89">
        <w:rPr>
          <w:lang w:val="fr-CH"/>
        </w:rPr>
        <w:tab/>
      </w:r>
      <w:r>
        <w:t>II.</w:t>
      </w:r>
      <w:r>
        <w:tab/>
        <w:t>Adoption of the agenda (agenda item 1)</w:t>
      </w:r>
      <w:r>
        <w:tab/>
      </w:r>
      <w:r>
        <w:tab/>
      </w:r>
      <w:r w:rsidR="00060A47">
        <w:t>4</w:t>
      </w:r>
      <w:r>
        <w:tab/>
      </w:r>
      <w:r w:rsidR="00060A47">
        <w:t>3</w:t>
      </w:r>
    </w:p>
    <w:p w:rsidR="00D72D05" w:rsidRDefault="00747C27" w:rsidP="00D72D05">
      <w:pPr>
        <w:tabs>
          <w:tab w:val="right" w:pos="850"/>
          <w:tab w:val="left" w:pos="1134"/>
          <w:tab w:val="left" w:pos="1559"/>
          <w:tab w:val="left" w:pos="1984"/>
          <w:tab w:val="left" w:leader="dot" w:pos="7654"/>
          <w:tab w:val="right" w:pos="8929"/>
          <w:tab w:val="right" w:pos="9638"/>
        </w:tabs>
        <w:spacing w:after="120"/>
      </w:pPr>
      <w:r>
        <w:tab/>
        <w:t>III.</w:t>
      </w:r>
      <w:r>
        <w:tab/>
      </w:r>
      <w:r w:rsidRPr="005E3D4C">
        <w:t>Activities of interest to the Working Party</w:t>
      </w:r>
      <w:r>
        <w:t xml:space="preserve"> (agenda item 2)</w:t>
      </w:r>
      <w:r>
        <w:tab/>
      </w:r>
      <w:r>
        <w:tab/>
      </w:r>
      <w:r w:rsidR="00060A47">
        <w:t>5-10</w:t>
      </w:r>
      <w:r>
        <w:tab/>
      </w:r>
      <w:r w:rsidR="00060A47">
        <w:t>3</w:t>
      </w:r>
    </w:p>
    <w:p w:rsidR="00747C27" w:rsidRDefault="00747C27" w:rsidP="00D72D05">
      <w:pPr>
        <w:tabs>
          <w:tab w:val="right" w:pos="850"/>
          <w:tab w:val="left" w:pos="1134"/>
          <w:tab w:val="left" w:pos="1559"/>
          <w:tab w:val="left" w:pos="1984"/>
          <w:tab w:val="left" w:leader="dot" w:pos="7654"/>
          <w:tab w:val="right" w:pos="8929"/>
          <w:tab w:val="right" w:pos="9638"/>
        </w:tabs>
        <w:spacing w:after="120"/>
      </w:pPr>
      <w:r>
        <w:tab/>
      </w:r>
      <w:r>
        <w:tab/>
        <w:t>A.</w:t>
      </w:r>
      <w:r>
        <w:tab/>
      </w:r>
      <w:r w:rsidRPr="005E3D4C">
        <w:t>National delegations</w:t>
      </w:r>
      <w:r>
        <w:tab/>
      </w:r>
      <w:r>
        <w:tab/>
      </w:r>
      <w:r w:rsidR="00060A47">
        <w:t>5</w:t>
      </w:r>
      <w:r>
        <w:tab/>
      </w:r>
      <w:r w:rsidR="00060A47">
        <w:t>3</w:t>
      </w:r>
    </w:p>
    <w:p w:rsidR="00747C27" w:rsidRDefault="00747C27" w:rsidP="00D72D05">
      <w:pPr>
        <w:tabs>
          <w:tab w:val="right" w:pos="850"/>
          <w:tab w:val="left" w:pos="1134"/>
          <w:tab w:val="left" w:pos="1559"/>
          <w:tab w:val="left" w:pos="1984"/>
          <w:tab w:val="left" w:leader="dot" w:pos="7654"/>
          <w:tab w:val="right" w:pos="8929"/>
          <w:tab w:val="right" w:pos="9638"/>
        </w:tabs>
        <w:spacing w:after="120"/>
      </w:pPr>
      <w:r>
        <w:tab/>
      </w:r>
      <w:r>
        <w:tab/>
        <w:t>B.</w:t>
      </w:r>
      <w:r>
        <w:tab/>
      </w:r>
      <w:r w:rsidRPr="005E3D4C">
        <w:t>International organizations</w:t>
      </w:r>
      <w:r>
        <w:tab/>
      </w:r>
      <w:r>
        <w:tab/>
      </w:r>
      <w:r w:rsidR="00060A47">
        <w:t>8</w:t>
      </w:r>
      <w:r>
        <w:tab/>
      </w:r>
      <w:r w:rsidR="00060A47">
        <w:t>3</w:t>
      </w:r>
    </w:p>
    <w:p w:rsidR="00747C27" w:rsidRDefault="00747C27" w:rsidP="00D72D05">
      <w:pPr>
        <w:tabs>
          <w:tab w:val="right" w:pos="850"/>
          <w:tab w:val="left" w:pos="1134"/>
          <w:tab w:val="left" w:pos="1559"/>
          <w:tab w:val="left" w:pos="1984"/>
          <w:tab w:val="left" w:leader="dot" w:pos="7654"/>
          <w:tab w:val="right" w:pos="8929"/>
          <w:tab w:val="right" w:pos="9638"/>
        </w:tabs>
        <w:spacing w:after="120"/>
      </w:pPr>
      <w:r>
        <w:tab/>
      </w:r>
      <w:r>
        <w:tab/>
        <w:t>C.</w:t>
      </w:r>
      <w:r>
        <w:tab/>
      </w:r>
      <w:r w:rsidRPr="005E3D4C">
        <w:t>Activities of UNECE bodies and other</w:t>
      </w:r>
      <w:r w:rsidR="0073299C">
        <w:t xml:space="preserve"> </w:t>
      </w:r>
      <w:r w:rsidR="0073299C" w:rsidRPr="005E3D4C">
        <w:t>United Nations organizations</w:t>
      </w:r>
      <w:r w:rsidR="0073299C">
        <w:tab/>
      </w:r>
      <w:r w:rsidR="0073299C">
        <w:tab/>
      </w:r>
      <w:r w:rsidR="00060A47">
        <w:t>9-10</w:t>
      </w:r>
      <w:r w:rsidR="0073299C">
        <w:tab/>
      </w:r>
      <w:r w:rsidR="00060A47">
        <w:t>4</w:t>
      </w:r>
    </w:p>
    <w:p w:rsidR="0073299C" w:rsidRDefault="0073299C" w:rsidP="0073299C">
      <w:pPr>
        <w:tabs>
          <w:tab w:val="right" w:pos="850"/>
          <w:tab w:val="left" w:pos="1134"/>
          <w:tab w:val="left" w:pos="1559"/>
          <w:tab w:val="left" w:pos="1984"/>
          <w:tab w:val="left" w:leader="dot" w:pos="7654"/>
          <w:tab w:val="right" w:pos="8929"/>
          <w:tab w:val="right" w:pos="9638"/>
        </w:tabs>
        <w:spacing w:line="240" w:lineRule="auto"/>
      </w:pPr>
      <w:r>
        <w:tab/>
        <w:t>IV.</w:t>
      </w:r>
      <w:r>
        <w:tab/>
      </w:r>
      <w:r w:rsidRPr="005E3D4C">
        <w:t>European Agreement concerning the Work of Crews of</w:t>
      </w:r>
      <w:r w:rsidRPr="0073299C">
        <w:t xml:space="preserve"> </w:t>
      </w:r>
      <w:r w:rsidRPr="005E3D4C">
        <w:t>Vehicles Engaged in</w:t>
      </w:r>
    </w:p>
    <w:p w:rsidR="0073299C" w:rsidRDefault="0073299C" w:rsidP="0073299C">
      <w:pPr>
        <w:tabs>
          <w:tab w:val="right" w:pos="850"/>
          <w:tab w:val="left" w:pos="1134"/>
          <w:tab w:val="left" w:pos="1559"/>
          <w:tab w:val="left" w:pos="1984"/>
          <w:tab w:val="left" w:leader="dot" w:pos="7654"/>
          <w:tab w:val="right" w:pos="8929"/>
          <w:tab w:val="right" w:pos="9638"/>
        </w:tabs>
        <w:spacing w:after="120"/>
      </w:pPr>
      <w:r>
        <w:tab/>
      </w:r>
      <w:r>
        <w:tab/>
      </w:r>
      <w:r w:rsidRPr="005E3D4C">
        <w:t>International Road Transport (AETR</w:t>
      </w:r>
      <w:r w:rsidR="00C1784E">
        <w:t>)</w:t>
      </w:r>
      <w:r w:rsidR="00AE18FB">
        <w:t xml:space="preserve"> (agenda item 3</w:t>
      </w:r>
      <w:r w:rsidRPr="005E3D4C">
        <w:t>)</w:t>
      </w:r>
      <w:r>
        <w:tab/>
      </w:r>
      <w:r>
        <w:tab/>
      </w:r>
      <w:r w:rsidR="00060A47">
        <w:t>11-18</w:t>
      </w:r>
      <w:r>
        <w:tab/>
      </w:r>
      <w:r w:rsidR="00060A47">
        <w:t>4</w:t>
      </w:r>
    </w:p>
    <w:p w:rsidR="0073299C" w:rsidRDefault="0073299C" w:rsidP="0073299C">
      <w:pPr>
        <w:tabs>
          <w:tab w:val="right" w:pos="850"/>
          <w:tab w:val="left" w:pos="1134"/>
          <w:tab w:val="left" w:pos="1559"/>
          <w:tab w:val="left" w:pos="1984"/>
          <w:tab w:val="left" w:leader="dot" w:pos="7654"/>
          <w:tab w:val="right" w:pos="8929"/>
          <w:tab w:val="right" w:pos="9638"/>
        </w:tabs>
        <w:spacing w:after="120"/>
      </w:pPr>
      <w:r>
        <w:tab/>
      </w:r>
      <w:r>
        <w:tab/>
        <w:t>A.</w:t>
      </w:r>
      <w:r>
        <w:tab/>
        <w:t>Status of the Agreement</w:t>
      </w:r>
      <w:r>
        <w:tab/>
      </w:r>
      <w:r>
        <w:tab/>
      </w:r>
      <w:r w:rsidR="00060A47">
        <w:t>11</w:t>
      </w:r>
      <w:r>
        <w:tab/>
      </w:r>
      <w:r w:rsidR="00060A47">
        <w:t>4</w:t>
      </w:r>
    </w:p>
    <w:p w:rsidR="0073299C" w:rsidRDefault="0073299C" w:rsidP="0073299C">
      <w:pPr>
        <w:tabs>
          <w:tab w:val="right" w:pos="850"/>
          <w:tab w:val="left" w:pos="1134"/>
          <w:tab w:val="left" w:pos="1559"/>
          <w:tab w:val="left" w:pos="1984"/>
          <w:tab w:val="left" w:leader="dot" w:pos="7654"/>
          <w:tab w:val="right" w:pos="8929"/>
          <w:tab w:val="right" w:pos="9638"/>
        </w:tabs>
        <w:spacing w:after="120"/>
      </w:pPr>
      <w:r>
        <w:tab/>
      </w:r>
      <w:r>
        <w:tab/>
        <w:t>B.</w:t>
      </w:r>
      <w:r>
        <w:tab/>
      </w:r>
      <w:r w:rsidRPr="005E3D4C">
        <w:t xml:space="preserve">AETR </w:t>
      </w:r>
      <w:r>
        <w:t>Group of Experts</w:t>
      </w:r>
      <w:r>
        <w:tab/>
      </w:r>
      <w:r>
        <w:tab/>
      </w:r>
      <w:r w:rsidR="00060A47">
        <w:t>12-18</w:t>
      </w:r>
      <w:r>
        <w:tab/>
      </w:r>
      <w:r w:rsidR="00060A47">
        <w:t>4</w:t>
      </w:r>
    </w:p>
    <w:p w:rsidR="0073299C" w:rsidRDefault="0073299C" w:rsidP="0073299C">
      <w:pPr>
        <w:tabs>
          <w:tab w:val="right" w:pos="850"/>
          <w:tab w:val="left" w:pos="1134"/>
          <w:tab w:val="left" w:pos="1559"/>
          <w:tab w:val="left" w:pos="1984"/>
          <w:tab w:val="left" w:leader="dot" w:pos="7654"/>
          <w:tab w:val="right" w:pos="8929"/>
          <w:tab w:val="right" w:pos="9638"/>
        </w:tabs>
        <w:spacing w:after="120"/>
      </w:pPr>
      <w:r>
        <w:tab/>
        <w:t>V.</w:t>
      </w:r>
      <w:r>
        <w:tab/>
      </w:r>
      <w:r w:rsidRPr="005E3D4C">
        <w:t>European Agreement on Main International Traffic Arteries (AGR)</w:t>
      </w:r>
      <w:r w:rsidR="00AE18FB">
        <w:t xml:space="preserve"> (agenda item 4)</w:t>
      </w:r>
      <w:r w:rsidR="00AE18FB">
        <w:tab/>
      </w:r>
      <w:r w:rsidR="009E49E7">
        <w:t>19-23</w:t>
      </w:r>
      <w:r w:rsidR="00AE18FB">
        <w:tab/>
      </w:r>
      <w:r w:rsidR="009E49E7">
        <w:t>5</w:t>
      </w:r>
    </w:p>
    <w:p w:rsidR="00AE18FB" w:rsidRDefault="00AE18FB" w:rsidP="0073299C">
      <w:pPr>
        <w:tabs>
          <w:tab w:val="right" w:pos="850"/>
          <w:tab w:val="left" w:pos="1134"/>
          <w:tab w:val="left" w:pos="1559"/>
          <w:tab w:val="left" w:pos="1984"/>
          <w:tab w:val="left" w:leader="dot" w:pos="7654"/>
          <w:tab w:val="right" w:pos="8929"/>
          <w:tab w:val="right" w:pos="9638"/>
        </w:tabs>
        <w:spacing w:after="120"/>
      </w:pPr>
      <w:r>
        <w:tab/>
      </w:r>
      <w:r>
        <w:tab/>
        <w:t>A.</w:t>
      </w:r>
      <w:r>
        <w:tab/>
      </w:r>
      <w:r w:rsidRPr="005E3D4C">
        <w:t>Status of the Agreement</w:t>
      </w:r>
      <w:r>
        <w:tab/>
      </w:r>
      <w:r>
        <w:tab/>
      </w:r>
      <w:r w:rsidR="00A128F7">
        <w:t>19</w:t>
      </w:r>
      <w:r>
        <w:tab/>
      </w:r>
      <w:r w:rsidR="00A128F7">
        <w:t>5</w:t>
      </w:r>
    </w:p>
    <w:p w:rsidR="00AE18FB" w:rsidRDefault="00AE18FB" w:rsidP="0073299C">
      <w:pPr>
        <w:tabs>
          <w:tab w:val="right" w:pos="850"/>
          <w:tab w:val="left" w:pos="1134"/>
          <w:tab w:val="left" w:pos="1559"/>
          <w:tab w:val="left" w:pos="1984"/>
          <w:tab w:val="left" w:leader="dot" w:pos="7654"/>
          <w:tab w:val="right" w:pos="8929"/>
          <w:tab w:val="right" w:pos="9638"/>
        </w:tabs>
        <w:spacing w:after="120"/>
      </w:pPr>
      <w:r>
        <w:tab/>
      </w:r>
      <w:r>
        <w:tab/>
        <w:t>B.</w:t>
      </w:r>
      <w:r>
        <w:tab/>
        <w:t>Amendments to the Agreement</w:t>
      </w:r>
      <w:r>
        <w:tab/>
      </w:r>
      <w:r>
        <w:tab/>
      </w:r>
      <w:r w:rsidR="00A128F7">
        <w:t>20-21</w:t>
      </w:r>
      <w:r>
        <w:tab/>
      </w:r>
      <w:r w:rsidR="00A128F7">
        <w:t>5</w:t>
      </w:r>
    </w:p>
    <w:p w:rsidR="00AE18FB" w:rsidRDefault="00AE18FB" w:rsidP="0073299C">
      <w:pPr>
        <w:tabs>
          <w:tab w:val="right" w:pos="850"/>
          <w:tab w:val="left" w:pos="1134"/>
          <w:tab w:val="left" w:pos="1559"/>
          <w:tab w:val="left" w:pos="1984"/>
          <w:tab w:val="left" w:leader="dot" w:pos="7654"/>
          <w:tab w:val="right" w:pos="8929"/>
          <w:tab w:val="right" w:pos="9638"/>
        </w:tabs>
        <w:spacing w:after="120"/>
      </w:pPr>
      <w:r>
        <w:tab/>
      </w:r>
      <w:r>
        <w:tab/>
        <w:t>C.</w:t>
      </w:r>
      <w:r>
        <w:tab/>
      </w:r>
      <w:r w:rsidRPr="001C330B">
        <w:t>Consolidation of the Agreement</w:t>
      </w:r>
      <w:r>
        <w:tab/>
      </w:r>
      <w:r>
        <w:tab/>
      </w:r>
      <w:r w:rsidR="00A128F7">
        <w:t>22-23</w:t>
      </w:r>
      <w:r>
        <w:tab/>
      </w:r>
      <w:r w:rsidR="00C657C2">
        <w:t>5</w:t>
      </w:r>
    </w:p>
    <w:p w:rsidR="00AE18FB" w:rsidRDefault="00AE18FB" w:rsidP="0073299C">
      <w:pPr>
        <w:tabs>
          <w:tab w:val="right" w:pos="850"/>
          <w:tab w:val="left" w:pos="1134"/>
          <w:tab w:val="left" w:pos="1559"/>
          <w:tab w:val="left" w:pos="1984"/>
          <w:tab w:val="left" w:leader="dot" w:pos="7654"/>
          <w:tab w:val="right" w:pos="8929"/>
          <w:tab w:val="right" w:pos="9638"/>
        </w:tabs>
        <w:spacing w:after="120"/>
      </w:pPr>
      <w:r>
        <w:tab/>
        <w:t>VI.</w:t>
      </w:r>
      <w:r>
        <w:tab/>
      </w:r>
      <w:r w:rsidRPr="005E3D4C">
        <w:t>Trans-European North-South Motorway (TEM) Project</w:t>
      </w:r>
      <w:r>
        <w:t xml:space="preserve"> (agenda item 5)</w:t>
      </w:r>
      <w:r>
        <w:tab/>
      </w:r>
      <w:r>
        <w:tab/>
      </w:r>
      <w:r w:rsidR="00A128F7">
        <w:t>24</w:t>
      </w:r>
      <w:r>
        <w:tab/>
      </w:r>
      <w:r w:rsidR="00C657C2">
        <w:t>5</w:t>
      </w:r>
    </w:p>
    <w:p w:rsidR="00AE18FB" w:rsidRDefault="00AE18FB" w:rsidP="00AE18FB">
      <w:pPr>
        <w:tabs>
          <w:tab w:val="right" w:pos="850"/>
          <w:tab w:val="left" w:pos="1134"/>
          <w:tab w:val="left" w:pos="1559"/>
          <w:tab w:val="left" w:pos="1984"/>
          <w:tab w:val="left" w:leader="dot" w:pos="7654"/>
          <w:tab w:val="right" w:pos="8929"/>
          <w:tab w:val="right" w:pos="9638"/>
        </w:tabs>
        <w:spacing w:line="240" w:lineRule="auto"/>
      </w:pPr>
      <w:r>
        <w:tab/>
        <w:t>VII.</w:t>
      </w:r>
      <w:r>
        <w:tab/>
      </w:r>
      <w:r w:rsidRPr="005E3D4C">
        <w:t>Convention on the Contract for the Internat</w:t>
      </w:r>
      <w:r>
        <w:t>ional Carriage of</w:t>
      </w:r>
    </w:p>
    <w:p w:rsidR="00AE18FB" w:rsidRDefault="00AE18FB" w:rsidP="00AE18FB">
      <w:pPr>
        <w:tabs>
          <w:tab w:val="right" w:pos="850"/>
          <w:tab w:val="left" w:pos="1134"/>
          <w:tab w:val="left" w:pos="1559"/>
          <w:tab w:val="left" w:pos="1984"/>
          <w:tab w:val="left" w:leader="dot" w:pos="7654"/>
          <w:tab w:val="right" w:pos="8929"/>
          <w:tab w:val="right" w:pos="9638"/>
        </w:tabs>
        <w:spacing w:line="240" w:lineRule="auto"/>
      </w:pPr>
      <w:r>
        <w:tab/>
      </w:r>
      <w:r>
        <w:tab/>
        <w:t xml:space="preserve">Goods by Road </w:t>
      </w:r>
      <w:r w:rsidRPr="005E3D4C">
        <w:t>(CMR)</w:t>
      </w:r>
      <w:r>
        <w:t xml:space="preserve"> (agenda item 6)</w:t>
      </w:r>
      <w:r>
        <w:tab/>
      </w:r>
      <w:r>
        <w:tab/>
      </w:r>
      <w:r w:rsidR="00C657C2">
        <w:t>25-30</w:t>
      </w:r>
      <w:r>
        <w:tab/>
      </w:r>
      <w:r w:rsidR="00B42778">
        <w:t>6</w:t>
      </w:r>
    </w:p>
    <w:p w:rsidR="00AE18FB" w:rsidRDefault="00AA444C" w:rsidP="00AA444C">
      <w:pPr>
        <w:tabs>
          <w:tab w:val="right" w:pos="850"/>
          <w:tab w:val="left" w:pos="1134"/>
          <w:tab w:val="left" w:pos="1559"/>
          <w:tab w:val="left" w:pos="1984"/>
          <w:tab w:val="left" w:leader="dot" w:pos="7654"/>
          <w:tab w:val="right" w:pos="8929"/>
          <w:tab w:val="right" w:pos="9638"/>
        </w:tabs>
        <w:spacing w:after="120"/>
      </w:pPr>
      <w:r>
        <w:lastRenderedPageBreak/>
        <w:tab/>
      </w:r>
      <w:r w:rsidR="00A3234C">
        <w:tab/>
      </w:r>
      <w:r>
        <w:t>A.</w:t>
      </w:r>
      <w:r>
        <w:tab/>
      </w:r>
      <w:r w:rsidRPr="005E3D4C">
        <w:t>Status of the Convention</w:t>
      </w:r>
      <w:r>
        <w:tab/>
      </w:r>
      <w:r>
        <w:tab/>
      </w:r>
      <w:r w:rsidR="00B42778">
        <w:t>2</w:t>
      </w:r>
      <w:r w:rsidR="0007348D">
        <w:t>5</w:t>
      </w:r>
      <w:r>
        <w:tab/>
      </w:r>
      <w:r w:rsidR="00B42778">
        <w:t>6</w:t>
      </w:r>
    </w:p>
    <w:p w:rsidR="00AA444C" w:rsidRDefault="00AA444C" w:rsidP="00AA444C">
      <w:pPr>
        <w:tabs>
          <w:tab w:val="right" w:pos="850"/>
          <w:tab w:val="left" w:pos="1134"/>
          <w:tab w:val="left" w:pos="1559"/>
          <w:tab w:val="left" w:pos="1984"/>
          <w:tab w:val="left" w:leader="dot" w:pos="7654"/>
          <w:tab w:val="right" w:pos="8929"/>
          <w:tab w:val="right" w:pos="9638"/>
        </w:tabs>
        <w:spacing w:line="240" w:lineRule="auto"/>
      </w:pPr>
      <w:r>
        <w:tab/>
      </w:r>
      <w:r w:rsidR="00A3234C">
        <w:tab/>
      </w:r>
      <w:r>
        <w:t>B.</w:t>
      </w:r>
      <w:r>
        <w:tab/>
      </w:r>
      <w:r w:rsidRPr="005E3D4C">
        <w:t>Protocol to the Convention on the Contract for the International</w:t>
      </w:r>
      <w:r>
        <w:t xml:space="preserve"> </w:t>
      </w:r>
      <w:r w:rsidRPr="005E3D4C">
        <w:t>Carriage of</w:t>
      </w:r>
    </w:p>
    <w:p w:rsidR="00AA444C" w:rsidRDefault="00AA444C" w:rsidP="00A3234C">
      <w:pPr>
        <w:tabs>
          <w:tab w:val="right" w:pos="850"/>
          <w:tab w:val="left" w:pos="1134"/>
          <w:tab w:val="left" w:pos="1559"/>
          <w:tab w:val="left" w:pos="1984"/>
          <w:tab w:val="left" w:leader="dot" w:pos="7654"/>
          <w:tab w:val="right" w:pos="8929"/>
          <w:tab w:val="right" w:pos="9638"/>
        </w:tabs>
        <w:spacing w:after="120"/>
      </w:pPr>
      <w:r>
        <w:tab/>
      </w:r>
      <w:r>
        <w:tab/>
      </w:r>
      <w:r w:rsidR="00CE3F3D">
        <w:tab/>
      </w:r>
      <w:r w:rsidRPr="005E3D4C">
        <w:t>Goods by Road (CMR)</w:t>
      </w:r>
      <w:r>
        <w:tab/>
      </w:r>
      <w:r>
        <w:tab/>
      </w:r>
      <w:r w:rsidR="0007348D">
        <w:t>26</w:t>
      </w:r>
      <w:r>
        <w:tab/>
      </w:r>
      <w:r w:rsidR="00B42778">
        <w:t>6</w:t>
      </w:r>
    </w:p>
    <w:p w:rsidR="00A3234C" w:rsidRDefault="00A3234C" w:rsidP="00A3234C">
      <w:pPr>
        <w:tabs>
          <w:tab w:val="right" w:pos="850"/>
          <w:tab w:val="left" w:pos="1134"/>
          <w:tab w:val="left" w:pos="1559"/>
          <w:tab w:val="left" w:pos="1984"/>
          <w:tab w:val="left" w:leader="dot" w:pos="7654"/>
          <w:tab w:val="right" w:pos="8929"/>
          <w:tab w:val="right" w:pos="9638"/>
        </w:tabs>
        <w:spacing w:after="120"/>
      </w:pPr>
      <w:r>
        <w:tab/>
      </w:r>
      <w:r>
        <w:tab/>
        <w:t>C.</w:t>
      </w:r>
      <w:r>
        <w:tab/>
      </w:r>
      <w:r w:rsidRPr="005E3D4C">
        <w:t>Additional Protocol to the CMR concerning the Electronic</w:t>
      </w:r>
      <w:r>
        <w:t xml:space="preserve"> Consignment Note</w:t>
      </w:r>
      <w:r>
        <w:tab/>
      </w:r>
      <w:r w:rsidR="0007348D">
        <w:t>27-30</w:t>
      </w:r>
      <w:r>
        <w:tab/>
      </w:r>
      <w:r w:rsidR="0007348D">
        <w:t>6</w:t>
      </w:r>
    </w:p>
    <w:p w:rsidR="00A3234C" w:rsidRDefault="00A3234C" w:rsidP="00CE3F3D">
      <w:pPr>
        <w:tabs>
          <w:tab w:val="right" w:pos="850"/>
          <w:tab w:val="left" w:pos="1134"/>
          <w:tab w:val="left" w:pos="1559"/>
          <w:tab w:val="left" w:pos="1984"/>
          <w:tab w:val="left" w:leader="dot" w:pos="7654"/>
          <w:tab w:val="right" w:pos="8929"/>
          <w:tab w:val="right" w:pos="9638"/>
        </w:tabs>
        <w:spacing w:after="120"/>
      </w:pPr>
      <w:r>
        <w:tab/>
        <w:t>VIII.</w:t>
      </w:r>
      <w:r>
        <w:tab/>
      </w:r>
      <w:r w:rsidRPr="005E3D4C">
        <w:t>Facilitation of international road transport</w:t>
      </w:r>
      <w:r>
        <w:t xml:space="preserve"> (agenda item 7)</w:t>
      </w:r>
      <w:r>
        <w:tab/>
      </w:r>
      <w:r>
        <w:tab/>
      </w:r>
      <w:r w:rsidR="0007348D">
        <w:t>31-39</w:t>
      </w:r>
      <w:r>
        <w:tab/>
      </w:r>
      <w:r w:rsidR="0007348D">
        <w:t>7</w:t>
      </w:r>
    </w:p>
    <w:p w:rsidR="00CE3F3D" w:rsidRDefault="00CE3F3D" w:rsidP="00CE3F3D">
      <w:pPr>
        <w:tabs>
          <w:tab w:val="right" w:pos="850"/>
          <w:tab w:val="left" w:pos="1134"/>
          <w:tab w:val="left" w:pos="1559"/>
          <w:tab w:val="left" w:pos="1984"/>
          <w:tab w:val="left" w:leader="dot" w:pos="7654"/>
          <w:tab w:val="right" w:pos="8929"/>
          <w:tab w:val="right" w:pos="9638"/>
        </w:tabs>
        <w:spacing w:after="120"/>
      </w:pPr>
      <w:r>
        <w:tab/>
      </w:r>
      <w:r>
        <w:tab/>
        <w:t>A.</w:t>
      </w:r>
      <w:r>
        <w:tab/>
      </w:r>
      <w:r w:rsidRPr="005E3D4C">
        <w:t>International Motor Insurance System (Green Card)</w:t>
      </w:r>
      <w:r>
        <w:tab/>
      </w:r>
      <w:r>
        <w:tab/>
      </w:r>
      <w:r w:rsidR="0007348D">
        <w:t>31</w:t>
      </w:r>
      <w:r>
        <w:tab/>
      </w:r>
      <w:r w:rsidR="0007348D">
        <w:t>7</w:t>
      </w:r>
    </w:p>
    <w:p w:rsidR="00CE3F3D" w:rsidRDefault="00CE3F3D" w:rsidP="00D81C63">
      <w:pPr>
        <w:tabs>
          <w:tab w:val="right" w:pos="850"/>
          <w:tab w:val="left" w:pos="1134"/>
          <w:tab w:val="left" w:pos="1559"/>
          <w:tab w:val="left" w:pos="1984"/>
          <w:tab w:val="left" w:leader="dot" w:pos="7654"/>
          <w:tab w:val="right" w:pos="8929"/>
          <w:tab w:val="right" w:pos="9638"/>
        </w:tabs>
        <w:spacing w:line="240" w:lineRule="auto"/>
      </w:pPr>
      <w:r>
        <w:tab/>
      </w:r>
      <w:r>
        <w:tab/>
        <w:t>B.</w:t>
      </w:r>
      <w:r>
        <w:tab/>
      </w:r>
      <w:r w:rsidRPr="005E3D4C">
        <w:t>Proposal for a global multilateral agreement on the international</w:t>
      </w:r>
      <w:r>
        <w:t xml:space="preserve"> regular transport</w:t>
      </w:r>
    </w:p>
    <w:p w:rsidR="00CE3F3D" w:rsidRDefault="00CE3F3D" w:rsidP="0014334A">
      <w:pPr>
        <w:tabs>
          <w:tab w:val="right" w:pos="850"/>
          <w:tab w:val="left" w:pos="1134"/>
          <w:tab w:val="left" w:pos="1559"/>
          <w:tab w:val="left" w:pos="1984"/>
          <w:tab w:val="left" w:leader="dot" w:pos="7654"/>
          <w:tab w:val="right" w:pos="8929"/>
          <w:tab w:val="right" w:pos="9638"/>
        </w:tabs>
        <w:spacing w:after="120"/>
      </w:pPr>
      <w:r>
        <w:tab/>
      </w:r>
      <w:r>
        <w:tab/>
      </w:r>
      <w:r>
        <w:tab/>
      </w:r>
      <w:proofErr w:type="gramStart"/>
      <w:r w:rsidRPr="005E3D4C">
        <w:t>of</w:t>
      </w:r>
      <w:proofErr w:type="gramEnd"/>
      <w:r>
        <w:t xml:space="preserve"> </w:t>
      </w:r>
      <w:r w:rsidRPr="005E3D4C">
        <w:t>passen</w:t>
      </w:r>
      <w:r>
        <w:t>gers by coach and bus (</w:t>
      </w:r>
      <w:proofErr w:type="spellStart"/>
      <w:r>
        <w:t>OmniBUS</w:t>
      </w:r>
      <w:proofErr w:type="spellEnd"/>
      <w:r>
        <w:t>)</w:t>
      </w:r>
      <w:r>
        <w:tab/>
      </w:r>
      <w:r>
        <w:tab/>
      </w:r>
      <w:r w:rsidR="0014334A">
        <w:t>32-34</w:t>
      </w:r>
      <w:r>
        <w:tab/>
      </w:r>
      <w:r w:rsidR="0014334A">
        <w:t>7</w:t>
      </w:r>
    </w:p>
    <w:p w:rsidR="00CE3F3D" w:rsidRDefault="00CE3F3D" w:rsidP="0014334A">
      <w:pPr>
        <w:tabs>
          <w:tab w:val="right" w:pos="850"/>
          <w:tab w:val="left" w:pos="1134"/>
          <w:tab w:val="left" w:pos="1559"/>
          <w:tab w:val="left" w:pos="1984"/>
          <w:tab w:val="left" w:leader="dot" w:pos="7654"/>
          <w:tab w:val="right" w:pos="8929"/>
          <w:tab w:val="right" w:pos="9638"/>
        </w:tabs>
        <w:spacing w:after="120"/>
      </w:pPr>
      <w:r>
        <w:tab/>
      </w:r>
      <w:r>
        <w:tab/>
        <w:t>C.</w:t>
      </w:r>
      <w:r>
        <w:tab/>
      </w:r>
      <w:r w:rsidRPr="005E3D4C">
        <w:t>Quantitative restrictions imposed on international road transport</w:t>
      </w:r>
      <w:r>
        <w:t xml:space="preserve"> </w:t>
      </w:r>
      <w:r w:rsidR="006C2AC4">
        <w:t>of goods</w:t>
      </w:r>
      <w:r w:rsidR="006C2AC4">
        <w:tab/>
      </w:r>
      <w:r w:rsidR="006C2AC4">
        <w:tab/>
      </w:r>
      <w:r w:rsidR="0014334A">
        <w:t>35-38</w:t>
      </w:r>
      <w:r w:rsidR="006C2AC4">
        <w:tab/>
      </w:r>
      <w:r w:rsidR="0014334A">
        <w:t>7</w:t>
      </w:r>
    </w:p>
    <w:p w:rsidR="006C2AC4" w:rsidRDefault="006C2AC4" w:rsidP="00CE3F3D">
      <w:pPr>
        <w:tabs>
          <w:tab w:val="right" w:pos="850"/>
          <w:tab w:val="left" w:pos="1134"/>
          <w:tab w:val="left" w:pos="1559"/>
          <w:tab w:val="left" w:pos="1984"/>
          <w:tab w:val="left" w:leader="dot" w:pos="7654"/>
          <w:tab w:val="right" w:pos="8929"/>
          <w:tab w:val="right" w:pos="9638"/>
        </w:tabs>
        <w:spacing w:after="120"/>
      </w:pPr>
      <w:r>
        <w:tab/>
      </w:r>
      <w:r>
        <w:tab/>
        <w:t>D.</w:t>
      </w:r>
      <w:r>
        <w:tab/>
      </w:r>
      <w:r w:rsidRPr="005E3D4C">
        <w:t>The relationship between the origin of goods and transport operations</w:t>
      </w:r>
      <w:r>
        <w:tab/>
      </w:r>
      <w:r>
        <w:tab/>
      </w:r>
      <w:r w:rsidR="0014334A">
        <w:t>39</w:t>
      </w:r>
      <w:r>
        <w:tab/>
      </w:r>
      <w:r w:rsidR="0014334A">
        <w:t>8</w:t>
      </w:r>
    </w:p>
    <w:p w:rsidR="006C2AC4" w:rsidRDefault="006C2AC4" w:rsidP="00CE3F3D">
      <w:pPr>
        <w:tabs>
          <w:tab w:val="right" w:pos="850"/>
          <w:tab w:val="left" w:pos="1134"/>
          <w:tab w:val="left" w:pos="1559"/>
          <w:tab w:val="left" w:pos="1984"/>
          <w:tab w:val="left" w:leader="dot" w:pos="7654"/>
          <w:tab w:val="right" w:pos="8929"/>
          <w:tab w:val="right" w:pos="9638"/>
        </w:tabs>
        <w:spacing w:after="120"/>
      </w:pPr>
      <w:r>
        <w:tab/>
        <w:t>IX.</w:t>
      </w:r>
      <w:r>
        <w:tab/>
      </w:r>
      <w:r w:rsidR="009E66E2">
        <w:t xml:space="preserve">Group of Experts on </w:t>
      </w:r>
      <w:r w:rsidRPr="005E3D4C">
        <w:t xml:space="preserve">Safety at Level Crossings </w:t>
      </w:r>
      <w:r>
        <w:t>(agenda item 8)</w:t>
      </w:r>
      <w:r>
        <w:tab/>
      </w:r>
      <w:r>
        <w:tab/>
      </w:r>
      <w:r w:rsidR="0014334A">
        <w:t>40</w:t>
      </w:r>
      <w:r>
        <w:tab/>
      </w:r>
      <w:r w:rsidR="00461AE0">
        <w:t>8</w:t>
      </w:r>
    </w:p>
    <w:p w:rsidR="006C2AC4" w:rsidRDefault="006C2AC4" w:rsidP="00CE3F3D">
      <w:pPr>
        <w:tabs>
          <w:tab w:val="right" w:pos="850"/>
          <w:tab w:val="left" w:pos="1134"/>
          <w:tab w:val="left" w:pos="1559"/>
          <w:tab w:val="left" w:pos="1984"/>
          <w:tab w:val="left" w:leader="dot" w:pos="7654"/>
          <w:tab w:val="right" w:pos="8929"/>
          <w:tab w:val="right" w:pos="9638"/>
        </w:tabs>
        <w:spacing w:after="120"/>
      </w:pPr>
      <w:r>
        <w:tab/>
        <w:t>X.</w:t>
      </w:r>
      <w:r>
        <w:tab/>
        <w:t>Revision of SC.1 terms of reference and rules of procedure (agenda item 9)</w:t>
      </w:r>
      <w:r>
        <w:tab/>
      </w:r>
      <w:r>
        <w:tab/>
      </w:r>
      <w:r w:rsidR="00461AE0">
        <w:t>41</w:t>
      </w:r>
      <w:r>
        <w:tab/>
      </w:r>
      <w:r w:rsidR="00461AE0">
        <w:t>8</w:t>
      </w:r>
    </w:p>
    <w:p w:rsidR="006C2AC4" w:rsidRDefault="006C2AC4" w:rsidP="00CE3F3D">
      <w:pPr>
        <w:tabs>
          <w:tab w:val="right" w:pos="850"/>
          <w:tab w:val="left" w:pos="1134"/>
          <w:tab w:val="left" w:pos="1559"/>
          <w:tab w:val="left" w:pos="1984"/>
          <w:tab w:val="left" w:leader="dot" w:pos="7654"/>
          <w:tab w:val="right" w:pos="8929"/>
          <w:tab w:val="right" w:pos="9638"/>
        </w:tabs>
        <w:spacing w:after="120"/>
      </w:pPr>
      <w:r>
        <w:tab/>
        <w:t>XI.</w:t>
      </w:r>
      <w:r>
        <w:tab/>
      </w:r>
      <w:r w:rsidRPr="00BB4EBA">
        <w:t>Programme of work and biennial evaluation</w:t>
      </w:r>
      <w:r>
        <w:t xml:space="preserve"> (agenda item 10)</w:t>
      </w:r>
      <w:r>
        <w:tab/>
      </w:r>
      <w:r>
        <w:tab/>
      </w:r>
      <w:r w:rsidR="00461AE0">
        <w:t>42</w:t>
      </w:r>
      <w:r>
        <w:tab/>
      </w:r>
      <w:r w:rsidR="00461AE0">
        <w:t>8</w:t>
      </w:r>
    </w:p>
    <w:p w:rsidR="006C2AC4" w:rsidRDefault="006C2AC4" w:rsidP="00CE3F3D">
      <w:pPr>
        <w:tabs>
          <w:tab w:val="right" w:pos="850"/>
          <w:tab w:val="left" w:pos="1134"/>
          <w:tab w:val="left" w:pos="1559"/>
          <w:tab w:val="left" w:pos="1984"/>
          <w:tab w:val="left" w:leader="dot" w:pos="7654"/>
          <w:tab w:val="right" w:pos="8929"/>
          <w:tab w:val="right" w:pos="9638"/>
        </w:tabs>
        <w:spacing w:after="120"/>
      </w:pPr>
      <w:r>
        <w:tab/>
        <w:t>XII.</w:t>
      </w:r>
      <w:r>
        <w:tab/>
      </w:r>
      <w:r w:rsidR="004B1E63" w:rsidRPr="005E3D4C">
        <w:t>Other business</w:t>
      </w:r>
      <w:r w:rsidR="004B1E63">
        <w:t xml:space="preserve"> (agenda item 11)</w:t>
      </w:r>
      <w:r w:rsidR="004B1E63">
        <w:tab/>
      </w:r>
      <w:r w:rsidR="004B1E63">
        <w:tab/>
      </w:r>
      <w:r w:rsidR="00461AE0">
        <w:t>43</w:t>
      </w:r>
      <w:r w:rsidR="004B1E63">
        <w:tab/>
      </w:r>
      <w:r w:rsidR="00461AE0">
        <w:t>8</w:t>
      </w:r>
    </w:p>
    <w:p w:rsidR="004B1E63" w:rsidRDefault="004B1E63" w:rsidP="00CE3F3D">
      <w:pPr>
        <w:tabs>
          <w:tab w:val="right" w:pos="850"/>
          <w:tab w:val="left" w:pos="1134"/>
          <w:tab w:val="left" w:pos="1559"/>
          <w:tab w:val="left" w:pos="1984"/>
          <w:tab w:val="left" w:leader="dot" w:pos="7654"/>
          <w:tab w:val="right" w:pos="8929"/>
          <w:tab w:val="right" w:pos="9638"/>
        </w:tabs>
        <w:spacing w:after="120"/>
        <w:rPr>
          <w:rStyle w:val="SingleTxtGChar"/>
        </w:rPr>
      </w:pPr>
      <w:r>
        <w:tab/>
        <w:t>XIII</w:t>
      </w:r>
      <w:r>
        <w:tab/>
      </w:r>
      <w:r w:rsidRPr="005E3D4C">
        <w:rPr>
          <w:rStyle w:val="SingleTxtGChar"/>
        </w:rPr>
        <w:t>Date of next session</w:t>
      </w:r>
      <w:r>
        <w:rPr>
          <w:rStyle w:val="SingleTxtGChar"/>
        </w:rPr>
        <w:t xml:space="preserve"> (agenda item 12)</w:t>
      </w:r>
      <w:r>
        <w:rPr>
          <w:rStyle w:val="SingleTxtGChar"/>
        </w:rPr>
        <w:tab/>
      </w:r>
      <w:r>
        <w:rPr>
          <w:rStyle w:val="SingleTxtGChar"/>
        </w:rPr>
        <w:tab/>
      </w:r>
      <w:r w:rsidR="00461AE0">
        <w:rPr>
          <w:rStyle w:val="SingleTxtGChar"/>
        </w:rPr>
        <w:t>44</w:t>
      </w:r>
      <w:r>
        <w:rPr>
          <w:rStyle w:val="SingleTxtGChar"/>
        </w:rPr>
        <w:tab/>
      </w:r>
      <w:r w:rsidR="00461AE0">
        <w:rPr>
          <w:rStyle w:val="SingleTxtGChar"/>
        </w:rPr>
        <w:t>9</w:t>
      </w:r>
    </w:p>
    <w:p w:rsidR="004B1E63" w:rsidRDefault="004B1E63" w:rsidP="00CE3F3D">
      <w:pPr>
        <w:tabs>
          <w:tab w:val="right" w:pos="850"/>
          <w:tab w:val="left" w:pos="1134"/>
          <w:tab w:val="left" w:pos="1559"/>
          <w:tab w:val="left" w:pos="1984"/>
          <w:tab w:val="left" w:leader="dot" w:pos="7654"/>
          <w:tab w:val="right" w:pos="8929"/>
          <w:tab w:val="right" w:pos="9638"/>
        </w:tabs>
        <w:spacing w:after="120"/>
        <w:rPr>
          <w:rStyle w:val="SingleTxtGChar"/>
        </w:rPr>
      </w:pPr>
      <w:r>
        <w:rPr>
          <w:rStyle w:val="SingleTxtGChar"/>
        </w:rPr>
        <w:tab/>
        <w:t>XIV</w:t>
      </w:r>
      <w:r>
        <w:rPr>
          <w:rStyle w:val="SingleTxtGChar"/>
        </w:rPr>
        <w:tab/>
        <w:t>Election of officers (agenda item 13)</w:t>
      </w:r>
      <w:r>
        <w:rPr>
          <w:rStyle w:val="SingleTxtGChar"/>
        </w:rPr>
        <w:tab/>
      </w:r>
      <w:r>
        <w:rPr>
          <w:rStyle w:val="SingleTxtGChar"/>
        </w:rPr>
        <w:tab/>
      </w:r>
      <w:r w:rsidR="00461AE0">
        <w:rPr>
          <w:rStyle w:val="SingleTxtGChar"/>
        </w:rPr>
        <w:t>45</w:t>
      </w:r>
      <w:r>
        <w:rPr>
          <w:rStyle w:val="SingleTxtGChar"/>
        </w:rPr>
        <w:tab/>
      </w:r>
      <w:r w:rsidR="00461AE0">
        <w:rPr>
          <w:rStyle w:val="SingleTxtGChar"/>
        </w:rPr>
        <w:t>9</w:t>
      </w:r>
    </w:p>
    <w:p w:rsidR="004B1E63" w:rsidRDefault="004B1E63" w:rsidP="00CE3F3D">
      <w:pPr>
        <w:tabs>
          <w:tab w:val="right" w:pos="850"/>
          <w:tab w:val="left" w:pos="1134"/>
          <w:tab w:val="left" w:pos="1559"/>
          <w:tab w:val="left" w:pos="1984"/>
          <w:tab w:val="left" w:leader="dot" w:pos="7654"/>
          <w:tab w:val="right" w:pos="8929"/>
          <w:tab w:val="right" w:pos="9638"/>
        </w:tabs>
        <w:spacing w:after="120"/>
      </w:pPr>
      <w:r>
        <w:tab/>
        <w:t>XV.</w:t>
      </w:r>
      <w:r>
        <w:tab/>
        <w:t>Adoption of the report (agenda item 14)</w:t>
      </w:r>
      <w:r>
        <w:tab/>
      </w:r>
      <w:r>
        <w:tab/>
      </w:r>
      <w:r w:rsidR="00461AE0">
        <w:t>46</w:t>
      </w:r>
      <w:r>
        <w:tab/>
      </w:r>
      <w:r w:rsidR="00461AE0">
        <w:t>9</w:t>
      </w:r>
    </w:p>
    <w:p w:rsidR="005D62BF" w:rsidRDefault="005D62BF" w:rsidP="00CE3F3D">
      <w:pPr>
        <w:tabs>
          <w:tab w:val="right" w:pos="850"/>
          <w:tab w:val="left" w:pos="1134"/>
          <w:tab w:val="left" w:pos="1559"/>
          <w:tab w:val="left" w:pos="1984"/>
          <w:tab w:val="left" w:leader="dot" w:pos="7654"/>
          <w:tab w:val="right" w:pos="8929"/>
          <w:tab w:val="right" w:pos="9638"/>
        </w:tabs>
        <w:spacing w:after="120"/>
      </w:pPr>
      <w:r>
        <w:t>Annex</w:t>
      </w:r>
      <w:r w:rsidR="00244C96">
        <w:t>es</w:t>
      </w:r>
    </w:p>
    <w:p w:rsidR="00244C96" w:rsidRDefault="00244C96" w:rsidP="00811060">
      <w:pPr>
        <w:tabs>
          <w:tab w:val="right" w:pos="850"/>
          <w:tab w:val="left" w:pos="1134"/>
          <w:tab w:val="left" w:pos="1559"/>
          <w:tab w:val="left" w:pos="1984"/>
          <w:tab w:val="left" w:leader="dot" w:pos="7654"/>
          <w:tab w:val="right" w:pos="8929"/>
          <w:tab w:val="right" w:pos="9638"/>
        </w:tabs>
        <w:spacing w:line="240" w:lineRule="auto"/>
      </w:pPr>
      <w:r>
        <w:tab/>
        <w:t>I.</w:t>
      </w:r>
      <w:r>
        <w:tab/>
        <w:t xml:space="preserve">Amendment proposal to Annex I to the European </w:t>
      </w:r>
      <w:r w:rsidR="000135D2">
        <w:t>Agreement on Main</w:t>
      </w:r>
      <w:r w:rsidR="000135D2" w:rsidRPr="000135D2">
        <w:t xml:space="preserve"> </w:t>
      </w:r>
      <w:r w:rsidR="000135D2">
        <w:t xml:space="preserve">International </w:t>
      </w:r>
    </w:p>
    <w:p w:rsidR="00244C96" w:rsidRDefault="00244C96" w:rsidP="005132D2">
      <w:pPr>
        <w:tabs>
          <w:tab w:val="right" w:pos="850"/>
          <w:tab w:val="left" w:pos="1134"/>
          <w:tab w:val="left" w:pos="1559"/>
          <w:tab w:val="left" w:pos="1984"/>
          <w:tab w:val="left" w:leader="dot" w:pos="8789"/>
          <w:tab w:val="right" w:pos="8929"/>
          <w:tab w:val="right" w:pos="9638"/>
        </w:tabs>
        <w:spacing w:after="120" w:line="240" w:lineRule="auto"/>
      </w:pPr>
      <w:r>
        <w:tab/>
      </w:r>
      <w:r>
        <w:tab/>
      </w:r>
      <w:r w:rsidR="000A2561">
        <w:t xml:space="preserve">Traffic Arteries </w:t>
      </w:r>
      <w:r>
        <w:t>(AGR)</w:t>
      </w:r>
      <w:r>
        <w:tab/>
      </w:r>
      <w:r>
        <w:tab/>
      </w:r>
      <w:r>
        <w:tab/>
      </w:r>
      <w:r w:rsidR="00461AE0">
        <w:t>10</w:t>
      </w:r>
    </w:p>
    <w:p w:rsidR="00244C96" w:rsidRDefault="00244C96" w:rsidP="001E783A">
      <w:pPr>
        <w:tabs>
          <w:tab w:val="right" w:pos="850"/>
          <w:tab w:val="left" w:pos="1134"/>
          <w:tab w:val="left" w:pos="1559"/>
          <w:tab w:val="left" w:pos="1984"/>
          <w:tab w:val="left" w:leader="dot" w:pos="7654"/>
          <w:tab w:val="right" w:pos="8929"/>
          <w:tab w:val="right" w:pos="9638"/>
        </w:tabs>
        <w:spacing w:line="240" w:lineRule="auto"/>
      </w:pPr>
      <w:r>
        <w:tab/>
        <w:t>II.</w:t>
      </w:r>
      <w:r>
        <w:tab/>
        <w:t>Amendment proposal</w:t>
      </w:r>
      <w:r w:rsidR="000A2561">
        <w:t xml:space="preserve"> </w:t>
      </w:r>
      <w:r>
        <w:t xml:space="preserve">to </w:t>
      </w:r>
      <w:r w:rsidR="00811060">
        <w:t>Annex I the European</w:t>
      </w:r>
      <w:r w:rsidR="000A2561">
        <w:t xml:space="preserve"> Agreement on Main International</w:t>
      </w:r>
    </w:p>
    <w:p w:rsidR="00811060" w:rsidRDefault="00811060" w:rsidP="005132D2">
      <w:pPr>
        <w:tabs>
          <w:tab w:val="right" w:pos="850"/>
          <w:tab w:val="left" w:pos="1134"/>
          <w:tab w:val="left" w:pos="1559"/>
          <w:tab w:val="left" w:pos="1984"/>
          <w:tab w:val="left" w:leader="dot" w:pos="8789"/>
          <w:tab w:val="right" w:pos="8929"/>
          <w:tab w:val="right" w:pos="9638"/>
        </w:tabs>
        <w:spacing w:after="120"/>
      </w:pPr>
      <w:r>
        <w:tab/>
      </w:r>
      <w:r>
        <w:tab/>
        <w:t>Traffic Arteries (AGR)</w:t>
      </w:r>
      <w:r>
        <w:tab/>
      </w:r>
      <w:r>
        <w:tab/>
      </w:r>
      <w:r>
        <w:tab/>
      </w:r>
      <w:r w:rsidR="00461AE0">
        <w:t>11</w:t>
      </w:r>
    </w:p>
    <w:p w:rsidR="00811060" w:rsidRDefault="00811060" w:rsidP="005132D2">
      <w:pPr>
        <w:tabs>
          <w:tab w:val="right" w:pos="850"/>
          <w:tab w:val="left" w:pos="1134"/>
          <w:tab w:val="left" w:pos="1559"/>
          <w:tab w:val="left" w:pos="1984"/>
          <w:tab w:val="left" w:leader="dot" w:pos="8789"/>
          <w:tab w:val="right" w:pos="8929"/>
          <w:tab w:val="right" w:pos="9638"/>
        </w:tabs>
        <w:spacing w:after="120"/>
      </w:pPr>
      <w:r>
        <w:tab/>
        <w:t>III.</w:t>
      </w:r>
      <w:r>
        <w:tab/>
        <w:t>SC.1 Resolution to be submitted to the 2017 session of ITC</w:t>
      </w:r>
      <w:r>
        <w:tab/>
      </w:r>
      <w:r>
        <w:tab/>
      </w:r>
      <w:r>
        <w:tab/>
      </w:r>
      <w:r w:rsidR="00461AE0">
        <w:t>12</w:t>
      </w:r>
    </w:p>
    <w:p w:rsidR="001C52D7" w:rsidRDefault="001C52D7">
      <w:pPr>
        <w:suppressAutoHyphens w:val="0"/>
        <w:spacing w:line="240" w:lineRule="auto"/>
      </w:pPr>
      <w:r>
        <w:br w:type="page"/>
      </w:r>
    </w:p>
    <w:p w:rsidR="001C52D7" w:rsidRPr="001C52D7" w:rsidRDefault="001C52D7" w:rsidP="001C52D7">
      <w:pPr>
        <w:pStyle w:val="HChG"/>
        <w:rPr>
          <w:rStyle w:val="SingleTxtGChar"/>
        </w:rPr>
      </w:pPr>
      <w:r w:rsidRPr="001C52D7">
        <w:lastRenderedPageBreak/>
        <w:tab/>
      </w:r>
      <w:r w:rsidRPr="001C52D7">
        <w:rPr>
          <w:rStyle w:val="SingleTxtGChar"/>
        </w:rPr>
        <w:t>I.</w:t>
      </w:r>
      <w:r w:rsidRPr="001C52D7">
        <w:rPr>
          <w:rStyle w:val="SingleTxtGChar"/>
        </w:rPr>
        <w:tab/>
        <w:t>Attendance</w:t>
      </w:r>
    </w:p>
    <w:p w:rsidR="001C52D7" w:rsidRDefault="001C52D7" w:rsidP="001C52D7">
      <w:pPr>
        <w:pStyle w:val="SingleTxtG"/>
      </w:pPr>
      <w:r w:rsidRPr="00E94FA4">
        <w:t>1.</w:t>
      </w:r>
      <w:r w:rsidRPr="00E94FA4">
        <w:tab/>
        <w:t xml:space="preserve">The Working Party on Road Transport (SC.1) held its 111th session on 25-26 October 2016, chaired by Mr. R. </w:t>
      </w:r>
      <w:proofErr w:type="spellStart"/>
      <w:r w:rsidRPr="00E94FA4">
        <w:t>Symonenko</w:t>
      </w:r>
      <w:proofErr w:type="spellEnd"/>
      <w:r w:rsidRPr="00E94FA4">
        <w:t xml:space="preserve"> (Ukraine). The following United Nations Economic Commission for Europe (UNECE) member States </w:t>
      </w:r>
      <w:proofErr w:type="gramStart"/>
      <w:r w:rsidRPr="00E94FA4">
        <w:t>were</w:t>
      </w:r>
      <w:proofErr w:type="gramEnd"/>
      <w:r w:rsidRPr="00E94FA4">
        <w:t xml:space="preserve"> represented in the meeting: </w:t>
      </w:r>
      <w:r w:rsidR="00D84FDF">
        <w:t xml:space="preserve">Austria, </w:t>
      </w:r>
      <w:r w:rsidRPr="00E94FA4">
        <w:t xml:space="preserve">Azerbaijan, Germany, Hungary, </w:t>
      </w:r>
      <w:r w:rsidR="002A39AD">
        <w:t xml:space="preserve">Italy, </w:t>
      </w:r>
      <w:r w:rsidRPr="00E94FA4">
        <w:t>Latvia, Netherlands,</w:t>
      </w:r>
      <w:r w:rsidR="002A39AD">
        <w:t xml:space="preserve"> Norway,</w:t>
      </w:r>
      <w:r w:rsidRPr="00E94FA4">
        <w:t xml:space="preserve"> Poland, </w:t>
      </w:r>
      <w:r w:rsidR="00F94D90">
        <w:t xml:space="preserve">Slovakia, </w:t>
      </w:r>
      <w:r w:rsidRPr="00E94FA4">
        <w:t xml:space="preserve">Sweden, Switzerland, Turkey and Ukraine. </w:t>
      </w:r>
    </w:p>
    <w:p w:rsidR="00D10A58" w:rsidRPr="00E94FA4" w:rsidRDefault="00D10A58" w:rsidP="001C52D7">
      <w:pPr>
        <w:pStyle w:val="SingleTxtG"/>
      </w:pPr>
      <w:r>
        <w:t>2.</w:t>
      </w:r>
      <w:r>
        <w:tab/>
        <w:t>The following non-UNECE members were represented: Algeria, Jordan and Tunisia.</w:t>
      </w:r>
    </w:p>
    <w:p w:rsidR="001C52D7" w:rsidRDefault="00D10A58" w:rsidP="001C52D7">
      <w:pPr>
        <w:pStyle w:val="SingleTxtG"/>
      </w:pPr>
      <w:r>
        <w:t>3</w:t>
      </w:r>
      <w:r w:rsidR="001C52D7" w:rsidRPr="00E94FA4">
        <w:t>.</w:t>
      </w:r>
      <w:r w:rsidR="001C52D7" w:rsidRPr="00E94FA4">
        <w:tab/>
        <w:t>The European Union (EU</w:t>
      </w:r>
      <w:r w:rsidR="00521A9B" w:rsidRPr="00E94FA4">
        <w:t>),</w:t>
      </w:r>
      <w:r w:rsidR="00521A9B">
        <w:t xml:space="preserve"> </w:t>
      </w:r>
      <w:proofErr w:type="spellStart"/>
      <w:r w:rsidR="00521A9B">
        <w:t>EuroMed</w:t>
      </w:r>
      <w:proofErr w:type="spellEnd"/>
      <w:r w:rsidR="00521A9B">
        <w:t xml:space="preserve"> </w:t>
      </w:r>
      <w:r w:rsidR="001C52D7" w:rsidRPr="00E94FA4">
        <w:t>and the following non</w:t>
      </w:r>
      <w:r w:rsidR="001C52D7" w:rsidRPr="00E94FA4">
        <w:noBreakHyphen/>
        <w:t>governmental organizations were also represented: the Council of Bureaux (</w:t>
      </w:r>
      <w:proofErr w:type="spellStart"/>
      <w:r w:rsidR="001C52D7" w:rsidRPr="00E94FA4">
        <w:t>CoB</w:t>
      </w:r>
      <w:proofErr w:type="spellEnd"/>
      <w:r w:rsidR="001C52D7" w:rsidRPr="00E94FA4">
        <w:t>) and International Road Transport Union (IRU).</w:t>
      </w:r>
      <w:r w:rsidR="00D33C9B">
        <w:t xml:space="preserve"> Continental Automotive Gmb</w:t>
      </w:r>
      <w:r w:rsidR="00521A9B">
        <w:t>H as observer.</w:t>
      </w:r>
    </w:p>
    <w:p w:rsidR="001C52D7" w:rsidRPr="008C73C6" w:rsidRDefault="001C52D7" w:rsidP="001C52D7">
      <w:pPr>
        <w:pStyle w:val="HChG"/>
      </w:pPr>
      <w:r>
        <w:tab/>
        <w:t>II</w:t>
      </w:r>
      <w:r w:rsidRPr="008C73C6">
        <w:t>.</w:t>
      </w:r>
      <w:r w:rsidRPr="008C73C6">
        <w:tab/>
        <w:t>Adoption of the agenda</w:t>
      </w:r>
      <w:r>
        <w:t xml:space="preserve"> (agenda item 1)</w:t>
      </w:r>
    </w:p>
    <w:p w:rsidR="001C52D7" w:rsidRPr="002B5EFF" w:rsidRDefault="00521A9B" w:rsidP="002B5EFF">
      <w:pPr>
        <w:pStyle w:val="SingleTxtG"/>
        <w:rPr>
          <w:rStyle w:val="SingleTxtGChar"/>
        </w:rPr>
      </w:pPr>
      <w:r>
        <w:t>4.</w:t>
      </w:r>
      <w:r>
        <w:tab/>
      </w:r>
      <w:r w:rsidR="001C52D7" w:rsidRPr="002B5EFF">
        <w:t xml:space="preserve">SC.1 adopted the session’s agenda as contained in </w:t>
      </w:r>
      <w:r w:rsidR="001C52D7" w:rsidRPr="002B5EFF">
        <w:rPr>
          <w:rStyle w:val="SingleTxtGChar"/>
        </w:rPr>
        <w:t xml:space="preserve">ECE/TRANS/SC.1/405. The secretariat informed SC.1 that Informal document </w:t>
      </w:r>
      <w:r w:rsidR="00970333">
        <w:rPr>
          <w:rStyle w:val="SingleTxtGChar"/>
        </w:rPr>
        <w:t>N</w:t>
      </w:r>
      <w:r w:rsidR="001C52D7" w:rsidRPr="002B5EFF">
        <w:rPr>
          <w:rStyle w:val="SingleTxtGChar"/>
        </w:rPr>
        <w:t xml:space="preserve">o. 1 referred to in agenda item 4 (c) has been issued as Informal document </w:t>
      </w:r>
      <w:r w:rsidR="00970333">
        <w:rPr>
          <w:rStyle w:val="SingleTxtGChar"/>
        </w:rPr>
        <w:t>N</w:t>
      </w:r>
      <w:r w:rsidR="001C52D7" w:rsidRPr="002B5EFF">
        <w:rPr>
          <w:rStyle w:val="SingleTxtGChar"/>
        </w:rPr>
        <w:t>o. 9. The secretariat also regretted the omission of the name of Vice-</w:t>
      </w:r>
      <w:r w:rsidR="001B56FD">
        <w:rPr>
          <w:rStyle w:val="SingleTxtGChar"/>
        </w:rPr>
        <w:t>C</w:t>
      </w:r>
      <w:r w:rsidR="001C52D7" w:rsidRPr="002B5EFF">
        <w:rPr>
          <w:rStyle w:val="SingleTxtGChar"/>
        </w:rPr>
        <w:t xml:space="preserve">hair, Mr Krzysztof </w:t>
      </w:r>
      <w:proofErr w:type="spellStart"/>
      <w:r w:rsidR="001C52D7" w:rsidRPr="002B5EFF">
        <w:rPr>
          <w:rStyle w:val="SingleTxtGChar"/>
        </w:rPr>
        <w:t>Lewczak</w:t>
      </w:r>
      <w:proofErr w:type="spellEnd"/>
      <w:r w:rsidR="001C52D7" w:rsidRPr="002B5EFF">
        <w:rPr>
          <w:rStyle w:val="SingleTxtGChar"/>
        </w:rPr>
        <w:t xml:space="preserve"> of Poland in the annotations under the agenda item 13. Finally, the secretariat informed SC.1 about two informal documents submitted just before the session by the Government of Slovakia on behalf of EU members, Contracting Parties to AETR (Informal documents </w:t>
      </w:r>
      <w:proofErr w:type="spellStart"/>
      <w:r w:rsidR="00970333">
        <w:rPr>
          <w:rStyle w:val="SingleTxtGChar"/>
        </w:rPr>
        <w:t>N</w:t>
      </w:r>
      <w:r w:rsidR="001C52D7" w:rsidRPr="002B5EFF">
        <w:rPr>
          <w:rStyle w:val="SingleTxtGChar"/>
        </w:rPr>
        <w:t>o</w:t>
      </w:r>
      <w:r w:rsidR="00BA15E2">
        <w:rPr>
          <w:rStyle w:val="SingleTxtGChar"/>
        </w:rPr>
        <w:t>s</w:t>
      </w:r>
      <w:proofErr w:type="spellEnd"/>
      <w:r w:rsidR="00BA15E2">
        <w:rPr>
          <w:rStyle w:val="SingleTxtGChar"/>
        </w:rPr>
        <w:t xml:space="preserve"> </w:t>
      </w:r>
      <w:r w:rsidR="001C52D7" w:rsidRPr="002B5EFF">
        <w:rPr>
          <w:rStyle w:val="SingleTxtGChar"/>
        </w:rPr>
        <w:t xml:space="preserve">7 and 8). </w:t>
      </w:r>
    </w:p>
    <w:p w:rsidR="001C52D7" w:rsidRPr="008C73C6" w:rsidRDefault="001C52D7" w:rsidP="002B5EFF">
      <w:pPr>
        <w:pStyle w:val="HChG"/>
      </w:pPr>
      <w:r w:rsidRPr="008C73C6">
        <w:tab/>
      </w:r>
      <w:r>
        <w:t>III</w:t>
      </w:r>
      <w:r w:rsidRPr="008C73C6">
        <w:t>.</w:t>
      </w:r>
      <w:r w:rsidRPr="008C73C6">
        <w:tab/>
        <w:t>Activities of interest to the Working Party</w:t>
      </w:r>
      <w:r>
        <w:t xml:space="preserve"> (agenda item </w:t>
      </w:r>
      <w:r w:rsidR="002B5EFF">
        <w:t>2)</w:t>
      </w:r>
    </w:p>
    <w:p w:rsidR="001C52D7" w:rsidRPr="008C73C6" w:rsidRDefault="001C52D7" w:rsidP="002B5EFF">
      <w:pPr>
        <w:pStyle w:val="H1G"/>
      </w:pPr>
      <w:r w:rsidRPr="008C73C6">
        <w:tab/>
      </w:r>
      <w:r w:rsidR="002B5EFF">
        <w:t>A.</w:t>
      </w:r>
      <w:r w:rsidRPr="008C73C6">
        <w:tab/>
        <w:t>National delegations</w:t>
      </w:r>
    </w:p>
    <w:p w:rsidR="001C52D7" w:rsidRPr="002B5EFF" w:rsidRDefault="00521A9B" w:rsidP="002B5EFF">
      <w:pPr>
        <w:pStyle w:val="SingleTxtG"/>
      </w:pPr>
      <w:r>
        <w:t>5.</w:t>
      </w:r>
      <w:r>
        <w:tab/>
      </w:r>
      <w:r w:rsidR="001C52D7" w:rsidRPr="002B5EFF">
        <w:t xml:space="preserve">Turkey informed SC.1 about two Turkish companies that have concluded the necessary certification procedures to be able to produce digital </w:t>
      </w:r>
      <w:proofErr w:type="spellStart"/>
      <w:r w:rsidR="001C52D7" w:rsidRPr="002B5EFF">
        <w:t>tachographs</w:t>
      </w:r>
      <w:proofErr w:type="spellEnd"/>
      <w:r w:rsidR="001C52D7" w:rsidRPr="002B5EFF">
        <w:t xml:space="preserve">. Turkey also informed </w:t>
      </w:r>
      <w:r w:rsidR="00970333">
        <w:t xml:space="preserve">SC.1 </w:t>
      </w:r>
      <w:r w:rsidR="001C52D7" w:rsidRPr="002B5EFF">
        <w:t xml:space="preserve">that all vehicles registered in Turkey since 1996 have to be equipped with a digital </w:t>
      </w:r>
      <w:proofErr w:type="spellStart"/>
      <w:r w:rsidR="001C52D7" w:rsidRPr="002B5EFF">
        <w:t>tachograph</w:t>
      </w:r>
      <w:proofErr w:type="spellEnd"/>
      <w:r w:rsidR="001C52D7" w:rsidRPr="002B5EFF">
        <w:t xml:space="preserve">.  </w:t>
      </w:r>
    </w:p>
    <w:p w:rsidR="001C52D7" w:rsidRPr="008C73C6" w:rsidRDefault="001C52D7" w:rsidP="002B5EFF">
      <w:pPr>
        <w:pStyle w:val="H1G"/>
      </w:pPr>
      <w:r w:rsidRPr="008C73C6">
        <w:tab/>
      </w:r>
      <w:r w:rsidR="002B5EFF">
        <w:t>B.</w:t>
      </w:r>
      <w:r w:rsidRPr="008C73C6">
        <w:tab/>
        <w:t>International organizations</w:t>
      </w:r>
    </w:p>
    <w:p w:rsidR="001C52D7" w:rsidRPr="002B5EFF" w:rsidRDefault="00521A9B" w:rsidP="002B5EFF">
      <w:pPr>
        <w:pStyle w:val="SingleTxtG"/>
      </w:pPr>
      <w:r>
        <w:t>6.</w:t>
      </w:r>
      <w:r>
        <w:tab/>
      </w:r>
      <w:r w:rsidR="001C52D7" w:rsidRPr="002B5EFF">
        <w:t>The European Commission reported on the current process of revising the European Union’s road transport legislation (561/2006) to verify if it has served its purpose. The ex-post evaluation will be followed by public consultations and impact assessments. Any new legislative proposals are expected by mid-2017.</w:t>
      </w:r>
    </w:p>
    <w:p w:rsidR="001C52D7" w:rsidRPr="002B5EFF" w:rsidRDefault="00521A9B" w:rsidP="00E554C9">
      <w:pPr>
        <w:pStyle w:val="SingleTxtG"/>
      </w:pPr>
      <w:r>
        <w:t>7.</w:t>
      </w:r>
      <w:r>
        <w:tab/>
      </w:r>
      <w:r w:rsidR="001C52D7" w:rsidRPr="002B5EFF">
        <w:t xml:space="preserve">The IRU informed </w:t>
      </w:r>
      <w:r w:rsidR="00551BE5">
        <w:t xml:space="preserve">SC.1 </w:t>
      </w:r>
      <w:r w:rsidR="001C52D7" w:rsidRPr="002B5EFF">
        <w:t>about a study on autonomous vehicles, undertaken together with</w:t>
      </w:r>
      <w:r w:rsidR="00E554C9" w:rsidRPr="00E554C9">
        <w:t xml:space="preserve"> </w:t>
      </w:r>
      <w:r w:rsidR="00E554C9">
        <w:t>International Transport Forum (</w:t>
      </w:r>
      <w:r w:rsidR="001C52D7" w:rsidRPr="002B5EFF">
        <w:t>ITF</w:t>
      </w:r>
      <w:r w:rsidR="00E554C9">
        <w:t>)</w:t>
      </w:r>
      <w:r w:rsidR="001C52D7" w:rsidRPr="002B5EFF">
        <w:t xml:space="preserve">, </w:t>
      </w:r>
      <w:r w:rsidR="005F4C81">
        <w:t>Internationa</w:t>
      </w:r>
      <w:r w:rsidR="005F4C81" w:rsidRPr="002B5EFF">
        <w:t>l</w:t>
      </w:r>
      <w:r w:rsidR="005F4C81">
        <w:t xml:space="preserve"> </w:t>
      </w:r>
      <w:r w:rsidR="001C52D7" w:rsidRPr="002B5EFF">
        <w:t>T</w:t>
      </w:r>
      <w:r w:rsidR="005F4C81">
        <w:t xml:space="preserve">ransport workforce </w:t>
      </w:r>
      <w:r w:rsidR="001C52D7" w:rsidRPr="002B5EFF">
        <w:t>F</w:t>
      </w:r>
      <w:r w:rsidR="005F4C81">
        <w:t>ederation (</w:t>
      </w:r>
      <w:proofErr w:type="spellStart"/>
      <w:r w:rsidR="005F4C81">
        <w:t>ITwF</w:t>
      </w:r>
      <w:proofErr w:type="spellEnd"/>
      <w:r w:rsidR="005F4C81">
        <w:t xml:space="preserve">) </w:t>
      </w:r>
      <w:r w:rsidR="001C52D7" w:rsidRPr="002B5EFF">
        <w:t xml:space="preserve">and vehicle manufactures to assess the impact of automation on </w:t>
      </w:r>
      <w:r w:rsidR="001A499E">
        <w:t xml:space="preserve">the </w:t>
      </w:r>
      <w:r w:rsidR="001C52D7" w:rsidRPr="002B5EFF">
        <w:t>road transport workforce. The results of the study will be presented at the ITF Forum in Leipzig in 2017.  Given the importance of emerging technology, the IRU proposed to organize a half</w:t>
      </w:r>
      <w:r w:rsidR="001A499E">
        <w:t>-</w:t>
      </w:r>
      <w:r w:rsidR="001C52D7" w:rsidRPr="002B5EFF">
        <w:t xml:space="preserve">day seminar on the future of road transport during the next session of SC.1. The secretariat reported on the work undertaken by the Working Party on Road Traffic Safety in the field of automated and autonomous driving.  </w:t>
      </w:r>
    </w:p>
    <w:p w:rsidR="001C52D7" w:rsidRPr="008C73C6" w:rsidRDefault="00521A9B" w:rsidP="002B5EFF">
      <w:pPr>
        <w:pStyle w:val="SingleTxtG"/>
      </w:pPr>
      <w:r>
        <w:t>8.</w:t>
      </w:r>
      <w:r>
        <w:tab/>
      </w:r>
      <w:r w:rsidR="001C52D7" w:rsidRPr="002B5EFF">
        <w:t xml:space="preserve">Turkey informed SC.1 about the work of the ITF/ECMT Road Transport Group on the “Quality Charter” and the current discussion on reducing the criteria for ECMT quotas to effectiveness and real need. Turkey also reported that the World Trade Organization </w:t>
      </w:r>
      <w:r w:rsidR="00E554C9">
        <w:t xml:space="preserve">had </w:t>
      </w:r>
      <w:r w:rsidR="001C52D7" w:rsidRPr="002B5EFF">
        <w:lastRenderedPageBreak/>
        <w:t>beg</w:t>
      </w:r>
      <w:r w:rsidR="00E554C9">
        <w:t>u</w:t>
      </w:r>
      <w:r w:rsidR="001C52D7" w:rsidRPr="002B5EFF">
        <w:t xml:space="preserve">n negotiations on </w:t>
      </w:r>
      <w:r w:rsidR="00E554C9">
        <w:t xml:space="preserve">a </w:t>
      </w:r>
      <w:r w:rsidR="001C52D7" w:rsidRPr="002B5EFF">
        <w:t>trade agreement in services</w:t>
      </w:r>
      <w:r w:rsidR="00E554C9">
        <w:t>,</w:t>
      </w:r>
      <w:r w:rsidR="001C52D7" w:rsidRPr="002B5EFF">
        <w:t xml:space="preserve"> </w:t>
      </w:r>
      <w:r w:rsidR="00E554C9">
        <w:t>which would</w:t>
      </w:r>
      <w:r w:rsidR="001C52D7" w:rsidRPr="002B5EFF">
        <w:t xml:space="preserve"> cover transport services and address other aspects such as eliminating barriers and introducing multi-entry visas for</w:t>
      </w:r>
      <w:r w:rsidR="001C52D7" w:rsidRPr="008C73C6">
        <w:t xml:space="preserve"> drivers.   </w:t>
      </w:r>
    </w:p>
    <w:p w:rsidR="001C52D7" w:rsidRPr="008C73C6" w:rsidRDefault="001C52D7" w:rsidP="002B5EFF">
      <w:pPr>
        <w:pStyle w:val="H1G"/>
      </w:pPr>
      <w:r w:rsidRPr="008C73C6">
        <w:tab/>
      </w:r>
      <w:r w:rsidR="002B5EFF">
        <w:t>C.</w:t>
      </w:r>
      <w:r w:rsidRPr="008C73C6">
        <w:tab/>
        <w:t>Activities of UNECE bodies and other United Nations organizations</w:t>
      </w:r>
    </w:p>
    <w:p w:rsidR="001C52D7" w:rsidRPr="002B5EFF" w:rsidRDefault="00BB5DE8" w:rsidP="002B5EFF">
      <w:pPr>
        <w:pStyle w:val="SingleTxtG"/>
      </w:pPr>
      <w:r>
        <w:t>9.</w:t>
      </w:r>
      <w:r>
        <w:tab/>
      </w:r>
      <w:r w:rsidR="001C52D7" w:rsidRPr="002B5EFF">
        <w:t xml:space="preserve">The secretariat informed SC.1 about the results of sessions of the Inland Transport Committee, its subsidiary bodies and other United Nations entities of interest to the Working Party. In particular, the secretariat updated </w:t>
      </w:r>
      <w:r w:rsidR="00DE7CA5">
        <w:t xml:space="preserve">SC.1 </w:t>
      </w:r>
      <w:r w:rsidR="001C52D7" w:rsidRPr="002B5EFF">
        <w:t>on the key decisions made at the seventy-</w:t>
      </w:r>
      <w:r w:rsidR="0024220E" w:rsidRPr="002B5EFF">
        <w:t>eight</w:t>
      </w:r>
      <w:r w:rsidR="0024220E">
        <w:t>h</w:t>
      </w:r>
      <w:r w:rsidR="001C52D7" w:rsidRPr="002B5EFF">
        <w:t xml:space="preserve"> annual session of the Inland Transport Committee (ECE/TRANS/254).</w:t>
      </w:r>
    </w:p>
    <w:p w:rsidR="001C52D7" w:rsidRPr="002B5EFF" w:rsidRDefault="00BB5DE8" w:rsidP="002B5EFF">
      <w:pPr>
        <w:pStyle w:val="SingleTxtG"/>
      </w:pPr>
      <w:r>
        <w:t>10.</w:t>
      </w:r>
      <w:r>
        <w:tab/>
      </w:r>
      <w:r w:rsidR="001C52D7" w:rsidRPr="002B5EFF">
        <w:t xml:space="preserve">The secretariat reminded SC.1 that the Memorandum of Understanding with </w:t>
      </w:r>
      <w:r w:rsidR="00DE7CA5">
        <w:t xml:space="preserve">the </w:t>
      </w:r>
      <w:r w:rsidR="001C52D7" w:rsidRPr="002B5EFF">
        <w:t xml:space="preserve">Joint Research Centre (JRC) recognizing JRC as the AETR authority for root certification and for interoperability certification for the non-EU Contracting Parties to AETR will expire at the end of June 2017 and action is required to extend it for another two years. </w:t>
      </w:r>
    </w:p>
    <w:p w:rsidR="001C52D7" w:rsidRPr="008C73C6" w:rsidRDefault="001C52D7" w:rsidP="002B5EFF">
      <w:pPr>
        <w:pStyle w:val="HChG"/>
      </w:pPr>
      <w:r w:rsidRPr="008C73C6">
        <w:tab/>
      </w:r>
      <w:r w:rsidR="002B5EFF">
        <w:t>IV</w:t>
      </w:r>
      <w:r w:rsidRPr="008C73C6">
        <w:t>.</w:t>
      </w:r>
      <w:r w:rsidRPr="008C73C6">
        <w:tab/>
        <w:t>European Agreement concerning the Work of Crews of Vehicles Engaged in International Road Transport (AETR)</w:t>
      </w:r>
      <w:r w:rsidR="002B5EFF">
        <w:t xml:space="preserve"> (agenda item 3)</w:t>
      </w:r>
    </w:p>
    <w:p w:rsidR="001C52D7" w:rsidRPr="008C73C6" w:rsidRDefault="001C52D7" w:rsidP="002B5EFF">
      <w:pPr>
        <w:pStyle w:val="H1G"/>
      </w:pPr>
      <w:r w:rsidRPr="008C73C6">
        <w:tab/>
      </w:r>
      <w:r w:rsidR="002B5EFF">
        <w:t>A.</w:t>
      </w:r>
      <w:r w:rsidRPr="008C73C6">
        <w:tab/>
        <w:t>Status of the Agreement</w:t>
      </w:r>
    </w:p>
    <w:p w:rsidR="001C52D7" w:rsidRPr="002B5EFF" w:rsidRDefault="00BB5DE8" w:rsidP="002B5EFF">
      <w:pPr>
        <w:pStyle w:val="SingleTxtG"/>
      </w:pPr>
      <w:r>
        <w:t>11.</w:t>
      </w:r>
      <w:r>
        <w:tab/>
      </w:r>
      <w:r w:rsidR="001C52D7" w:rsidRPr="002B5EFF">
        <w:t xml:space="preserve">The secretariat informed SC.1 about the status of the AETR </w:t>
      </w:r>
      <w:r w:rsidR="00DE7CA5">
        <w:t xml:space="preserve">SC.1 </w:t>
      </w:r>
      <w:r w:rsidR="001C52D7" w:rsidRPr="002B5EFF">
        <w:t xml:space="preserve">Agreement and the status of the amendment proposal to </w:t>
      </w:r>
      <w:r w:rsidR="00DE7CA5">
        <w:t>allow</w:t>
      </w:r>
      <w:r w:rsidR="001C52D7" w:rsidRPr="002B5EFF">
        <w:t xml:space="preserve"> four non-UNECE member States (Algeria, Jordan, Morocco and Tunisia) eligible to accede to the AETR Agreement. The amendment proposal was accepted and entered into force on 5 July 2016.  </w:t>
      </w:r>
    </w:p>
    <w:p w:rsidR="001C52D7" w:rsidRPr="008C73C6" w:rsidRDefault="001C52D7" w:rsidP="002B5EFF">
      <w:pPr>
        <w:pStyle w:val="H1G"/>
      </w:pPr>
      <w:r w:rsidRPr="008C73C6">
        <w:tab/>
      </w:r>
      <w:r w:rsidR="002B5EFF">
        <w:t>B.</w:t>
      </w:r>
      <w:r w:rsidRPr="008C73C6">
        <w:tab/>
        <w:t>AETR Group of Experts</w:t>
      </w:r>
    </w:p>
    <w:p w:rsidR="001C52D7" w:rsidRPr="002B5EFF" w:rsidRDefault="00BB5DE8" w:rsidP="002B5EFF">
      <w:pPr>
        <w:pStyle w:val="SingleTxtG"/>
      </w:pPr>
      <w:r>
        <w:t>12.</w:t>
      </w:r>
      <w:r>
        <w:tab/>
      </w:r>
      <w:r w:rsidR="001C52D7" w:rsidRPr="002B5EFF">
        <w:t xml:space="preserve">The Chair of the Group of Experts on AETR provided an update on the work of the AETR Group of Experts since the last SC.1 session. </w:t>
      </w:r>
    </w:p>
    <w:p w:rsidR="001C52D7" w:rsidRPr="002B5EFF" w:rsidRDefault="00BB5DE8" w:rsidP="002B5EFF">
      <w:pPr>
        <w:pStyle w:val="SingleTxtG"/>
      </w:pPr>
      <w:r>
        <w:t>13.</w:t>
      </w:r>
      <w:r>
        <w:tab/>
      </w:r>
      <w:r w:rsidR="001C52D7" w:rsidRPr="002B5EFF">
        <w:t xml:space="preserve">The Chair of the Group of Experts on AETR informed </w:t>
      </w:r>
      <w:r w:rsidR="0024220E">
        <w:t xml:space="preserve">SC.1 </w:t>
      </w:r>
      <w:r w:rsidR="001C52D7" w:rsidRPr="002B5EFF">
        <w:t xml:space="preserve">that the Government of Slovakia submitted an amendment proposal (Informal document </w:t>
      </w:r>
      <w:r w:rsidR="00DE7CA5">
        <w:t>N</w:t>
      </w:r>
      <w:r w:rsidR="001C52D7" w:rsidRPr="002B5EFF">
        <w:t xml:space="preserve">o. 7) to introduce new Article 10bis. The Group of Experts considered this document and requested that the amendment proposal be tabled by the Government of Slovakia, observing the necessary document submission deadlines, as a formal document available in three UNECE working languages to the subsequent session of the Working Party on Road Transport. </w:t>
      </w:r>
    </w:p>
    <w:p w:rsidR="001C52D7" w:rsidRPr="002B5EFF" w:rsidRDefault="00BB5DE8" w:rsidP="002B5EFF">
      <w:pPr>
        <w:pStyle w:val="SingleTxtG"/>
      </w:pPr>
      <w:r>
        <w:t>14.</w:t>
      </w:r>
      <w:r>
        <w:tab/>
      </w:r>
      <w:r w:rsidR="001C52D7" w:rsidRPr="002B5EFF">
        <w:t xml:space="preserve">The Chair of the Group of Experts on AETR also reported that the Government of Slovakia submitted Informal document </w:t>
      </w:r>
      <w:r w:rsidR="00DE7CA5">
        <w:t>N</w:t>
      </w:r>
      <w:r w:rsidR="001C52D7" w:rsidRPr="002B5EFF">
        <w:t>o. 8 which proposes to amend Articles 14 and 22 while deleting Article 22bis of the AETR Agreement.  According to the proposal, all future amendments to Appendices 1, 1B, (newly proposed) 1C and 2 are to be done through (modified) procedures listed in Article 22. The proposal also adjusts all relevant parts of the AETR Agreement to accommodate references to EU Regulation</w:t>
      </w:r>
      <w:r w:rsidR="00504E0B">
        <w:t>s</w:t>
      </w:r>
      <w:r w:rsidR="001C52D7" w:rsidRPr="002B5EFF">
        <w:t xml:space="preserve"> 165/2014 and 2016/799. The European Union explained</w:t>
      </w:r>
      <w:r w:rsidR="00504E0B">
        <w:t xml:space="preserve"> that </w:t>
      </w:r>
      <w:r w:rsidR="001C52D7" w:rsidRPr="002B5EFF">
        <w:t xml:space="preserve">it is important that smart </w:t>
      </w:r>
      <w:proofErr w:type="spellStart"/>
      <w:r w:rsidR="001C52D7" w:rsidRPr="002B5EFF">
        <w:t>tachographs</w:t>
      </w:r>
      <w:proofErr w:type="spellEnd"/>
      <w:r w:rsidR="001C52D7" w:rsidRPr="002B5EFF">
        <w:t xml:space="preserve"> be recognized by non-EU AETR Contracting Parties as of June 2019. </w:t>
      </w:r>
    </w:p>
    <w:p w:rsidR="001C52D7" w:rsidRPr="002B5EFF" w:rsidRDefault="00BB5DE8" w:rsidP="002B5EFF">
      <w:pPr>
        <w:pStyle w:val="SingleTxtG"/>
      </w:pPr>
      <w:r>
        <w:t>15.</w:t>
      </w:r>
      <w:r>
        <w:tab/>
      </w:r>
      <w:r w:rsidR="001C52D7" w:rsidRPr="002B5EFF">
        <w:t xml:space="preserve">Turkey explained that it was not – in general - in favour of making regional economic integration organizations eligible to accede to the Agreement.  As to the implementation of the smart </w:t>
      </w:r>
      <w:proofErr w:type="spellStart"/>
      <w:r w:rsidR="001C52D7" w:rsidRPr="002B5EFF">
        <w:t>tachographs</w:t>
      </w:r>
      <w:proofErr w:type="spellEnd"/>
      <w:r w:rsidR="001C52D7" w:rsidRPr="002B5EFF">
        <w:t xml:space="preserve"> in the non-EU AETR Contracting Parties (as per </w:t>
      </w:r>
      <w:r w:rsidR="001C52D7" w:rsidRPr="002B5EFF">
        <w:lastRenderedPageBreak/>
        <w:t xml:space="preserve">the proposed inclusion of 2016/799 into the new Appendix 1C), Turkey believed that a transition period is necessary by referring to Article 13. </w:t>
      </w:r>
    </w:p>
    <w:p w:rsidR="001C52D7" w:rsidRPr="00AB411F" w:rsidRDefault="00BB5DE8" w:rsidP="00AB411F">
      <w:pPr>
        <w:pStyle w:val="SingleTxtG"/>
      </w:pPr>
      <w:r>
        <w:t>16.</w:t>
      </w:r>
      <w:r>
        <w:tab/>
      </w:r>
      <w:r w:rsidR="001C52D7" w:rsidRPr="002B5EFF">
        <w:t>At the request of the Group of Experts, the proposal of the Government of Slovakia will be tabled as a formal document for the next session of the Group of Experts to allow the Group to study</w:t>
      </w:r>
      <w:r w:rsidR="006C5013">
        <w:t>,</w:t>
      </w:r>
      <w:r w:rsidR="001C52D7" w:rsidRPr="002B5EFF">
        <w:t xml:space="preserve"> in particular</w:t>
      </w:r>
      <w:r w:rsidR="00BB57E1">
        <w:t>,</w:t>
      </w:r>
      <w:r w:rsidR="001C52D7" w:rsidRPr="002B5EFF">
        <w:t xml:space="preserve"> </w:t>
      </w:r>
      <w:r w:rsidR="00BB57E1">
        <w:t>the</w:t>
      </w:r>
      <w:r w:rsidR="001C52D7" w:rsidRPr="002B5EFF">
        <w:t xml:space="preserve"> proposed changes to the procedure on amendments,</w:t>
      </w:r>
      <w:r w:rsidR="001C52D7" w:rsidRPr="008C73C6">
        <w:t xml:space="preserve"> </w:t>
      </w:r>
      <w:r w:rsidR="001C52D7" w:rsidRPr="00AB411F">
        <w:t xml:space="preserve">on making the regional integration organizations eligible to accede and on integrating the smart </w:t>
      </w:r>
      <w:proofErr w:type="spellStart"/>
      <w:r w:rsidR="001C52D7" w:rsidRPr="00AB411F">
        <w:t>tachograph</w:t>
      </w:r>
      <w:proofErr w:type="spellEnd"/>
      <w:r w:rsidR="001C52D7" w:rsidRPr="00AB411F">
        <w:t xml:space="preserve"> in the Agreement. </w:t>
      </w:r>
    </w:p>
    <w:p w:rsidR="001C52D7" w:rsidRPr="00AB411F" w:rsidRDefault="00BB5DE8" w:rsidP="00AB411F">
      <w:pPr>
        <w:pStyle w:val="SingleTxtG"/>
      </w:pPr>
      <w:r>
        <w:t>17.</w:t>
      </w:r>
      <w:r>
        <w:tab/>
      </w:r>
      <w:r w:rsidR="001C52D7" w:rsidRPr="00AB411F">
        <w:t xml:space="preserve">The Chair also informed SC.1 that Turkey had presented to the Group of Experts its project to establish </w:t>
      </w:r>
      <w:proofErr w:type="gramStart"/>
      <w:r w:rsidR="001C52D7" w:rsidRPr="00AB411F">
        <w:t>a national driving times</w:t>
      </w:r>
      <w:proofErr w:type="gramEnd"/>
      <w:r w:rsidR="001C52D7" w:rsidRPr="00AB411F">
        <w:t xml:space="preserve"> and rest periods data monitoring centre.</w:t>
      </w:r>
    </w:p>
    <w:p w:rsidR="001C52D7" w:rsidRPr="00AB411F" w:rsidRDefault="00BB5DE8" w:rsidP="00AB411F">
      <w:pPr>
        <w:pStyle w:val="SingleTxtG"/>
      </w:pPr>
      <w:r>
        <w:t>18.</w:t>
      </w:r>
      <w:r>
        <w:tab/>
      </w:r>
      <w:r w:rsidR="001C52D7" w:rsidRPr="00AB411F">
        <w:t>SC.1 took note of the information provided and invited Turkey to provide periodic updates.</w:t>
      </w:r>
    </w:p>
    <w:p w:rsidR="001C52D7" w:rsidRPr="008C73C6" w:rsidRDefault="001C52D7" w:rsidP="00BB5DE8">
      <w:pPr>
        <w:pStyle w:val="HChG"/>
      </w:pPr>
      <w:r w:rsidRPr="008C73C6">
        <w:tab/>
      </w:r>
      <w:r w:rsidR="002B5EFF">
        <w:t>V</w:t>
      </w:r>
      <w:r w:rsidRPr="008C73C6">
        <w:t>.</w:t>
      </w:r>
      <w:r w:rsidRPr="008C73C6">
        <w:tab/>
        <w:t>European Agreement on Main International Traffic Arteries (AGR)</w:t>
      </w:r>
      <w:r w:rsidR="002B5EFF">
        <w:t xml:space="preserve"> (agenda item 4)</w:t>
      </w:r>
    </w:p>
    <w:p w:rsidR="001C52D7" w:rsidRPr="008C73C6" w:rsidRDefault="001C52D7" w:rsidP="00AB411F">
      <w:pPr>
        <w:pStyle w:val="H1G"/>
      </w:pPr>
      <w:r w:rsidRPr="008C73C6">
        <w:tab/>
      </w:r>
      <w:r w:rsidR="00AB411F">
        <w:t>A.</w:t>
      </w:r>
      <w:r w:rsidRPr="008C73C6">
        <w:tab/>
        <w:t>Status of the Agreement</w:t>
      </w:r>
    </w:p>
    <w:p w:rsidR="001C52D7" w:rsidRPr="00AB411F" w:rsidRDefault="00BB5DE8" w:rsidP="00AB411F">
      <w:pPr>
        <w:pStyle w:val="SingleTxtG"/>
      </w:pPr>
      <w:r>
        <w:t>19.</w:t>
      </w:r>
      <w:r>
        <w:tab/>
      </w:r>
      <w:r w:rsidR="001C52D7" w:rsidRPr="00AB411F">
        <w:t xml:space="preserve">The secretariat informed SC.1 about the status of the AGR Agreement.  The number of </w:t>
      </w:r>
      <w:r w:rsidR="00BB57E1">
        <w:t>C</w:t>
      </w:r>
      <w:r w:rsidR="001C52D7" w:rsidRPr="00AB411F">
        <w:t xml:space="preserve">ontracting </w:t>
      </w:r>
      <w:r w:rsidR="00BB57E1">
        <w:t>P</w:t>
      </w:r>
      <w:r w:rsidR="001C52D7" w:rsidRPr="00AB411F">
        <w:t>arties has remained the same since the last SC.1 session.</w:t>
      </w:r>
    </w:p>
    <w:p w:rsidR="001C52D7" w:rsidRPr="008C73C6" w:rsidRDefault="001C52D7" w:rsidP="00AB411F">
      <w:pPr>
        <w:pStyle w:val="H1G"/>
      </w:pPr>
      <w:r w:rsidRPr="008C73C6">
        <w:tab/>
      </w:r>
      <w:r w:rsidR="00AB411F">
        <w:t>B.</w:t>
      </w:r>
      <w:r w:rsidRPr="008C73C6">
        <w:tab/>
        <w:t>Amendments to the Agreement</w:t>
      </w:r>
    </w:p>
    <w:p w:rsidR="001C52D7" w:rsidRPr="00AB411F" w:rsidRDefault="00BB5DE8" w:rsidP="00AB411F">
      <w:pPr>
        <w:pStyle w:val="SingleTxtG"/>
      </w:pPr>
      <w:r>
        <w:t>20.</w:t>
      </w:r>
      <w:r>
        <w:tab/>
      </w:r>
      <w:r w:rsidR="001C52D7" w:rsidRPr="00AB411F">
        <w:t>SC.1 was invited to consider amendment proposals submitted by Norway (ECE/TRANS/SC.1/2016/1)</w:t>
      </w:r>
      <w:r w:rsidR="00BB57E1">
        <w:t>,</w:t>
      </w:r>
      <w:r w:rsidR="001C52D7" w:rsidRPr="00AB411F">
        <w:t xml:space="preserve"> and Finland and Norway (ECE/TRANS/SC.1/2016/2) to Annex I of the Agreement to (respectively) extend E134 from Drammen to </w:t>
      </w:r>
      <w:proofErr w:type="spellStart"/>
      <w:r w:rsidR="001C52D7" w:rsidRPr="00AB411F">
        <w:t>Vassum</w:t>
      </w:r>
      <w:proofErr w:type="spellEnd"/>
      <w:r w:rsidR="001C52D7" w:rsidRPr="00AB411F">
        <w:t xml:space="preserve"> (Norway) and E45 from </w:t>
      </w:r>
      <w:proofErr w:type="spellStart"/>
      <w:r w:rsidR="001C52D7" w:rsidRPr="00AB411F">
        <w:t>Karesuando</w:t>
      </w:r>
      <w:proofErr w:type="spellEnd"/>
      <w:r w:rsidR="001C52D7" w:rsidRPr="00AB411F">
        <w:t xml:space="preserve"> (Sweden) to Alta (Norway). </w:t>
      </w:r>
    </w:p>
    <w:p w:rsidR="001C52D7" w:rsidRPr="00AB411F" w:rsidRDefault="00BB5DE8" w:rsidP="00AB411F">
      <w:pPr>
        <w:pStyle w:val="SingleTxtG"/>
      </w:pPr>
      <w:r>
        <w:t>21.</w:t>
      </w:r>
      <w:r>
        <w:tab/>
      </w:r>
      <w:r w:rsidR="001C52D7" w:rsidRPr="00AB411F">
        <w:t xml:space="preserve">SC.1 adopted the two amendment proposals from </w:t>
      </w:r>
      <w:r w:rsidR="000B5515">
        <w:t>Norway</w:t>
      </w:r>
      <w:r w:rsidR="00BB57E1">
        <w:t>,</w:t>
      </w:r>
      <w:r w:rsidR="000B5515">
        <w:t xml:space="preserve"> </w:t>
      </w:r>
      <w:r w:rsidR="001C52D7" w:rsidRPr="00AB411F">
        <w:t xml:space="preserve">and </w:t>
      </w:r>
      <w:r w:rsidR="00E04402">
        <w:t xml:space="preserve">from </w:t>
      </w:r>
      <w:r w:rsidR="000B5515">
        <w:t xml:space="preserve">Finland and </w:t>
      </w:r>
      <w:r w:rsidR="001C52D7" w:rsidRPr="00AB411F">
        <w:t>Norway. The proposals are attached in Annex I and II.</w:t>
      </w:r>
    </w:p>
    <w:p w:rsidR="001C52D7" w:rsidRPr="008C73C6" w:rsidRDefault="001C52D7" w:rsidP="00AB411F">
      <w:pPr>
        <w:pStyle w:val="H1G"/>
      </w:pPr>
      <w:r w:rsidRPr="008C73C6">
        <w:tab/>
      </w:r>
      <w:r w:rsidR="00AB411F">
        <w:t>C.</w:t>
      </w:r>
      <w:r w:rsidRPr="008C73C6">
        <w:tab/>
        <w:t>Consolidation of the Agreement</w:t>
      </w:r>
    </w:p>
    <w:p w:rsidR="001C52D7" w:rsidRPr="00AB411F" w:rsidRDefault="00BB5DE8" w:rsidP="00AB411F">
      <w:pPr>
        <w:pStyle w:val="SingleTxtG"/>
      </w:pPr>
      <w:r>
        <w:t>22.</w:t>
      </w:r>
      <w:r>
        <w:tab/>
      </w:r>
      <w:r w:rsidR="001C52D7" w:rsidRPr="00AB411F">
        <w:t xml:space="preserve">At the last session, Germany had requested the secretariat </w:t>
      </w:r>
      <w:r w:rsidR="00BB57E1">
        <w:t xml:space="preserve">to </w:t>
      </w:r>
      <w:r w:rsidR="001C52D7" w:rsidRPr="00AB411F">
        <w:t xml:space="preserve">prepare a consolidated version of the AGR agreement, incorporating all amendments adopted to-date since the last consolidation. The secretariat made ECE/TRANS/SC.1/2016/3 available (and related Informal document </w:t>
      </w:r>
      <w:r w:rsidR="006C5013">
        <w:t>N</w:t>
      </w:r>
      <w:r w:rsidR="001C52D7" w:rsidRPr="00AB411F">
        <w:t>o. 9) which contains a consolidated version of the AGR Agreement.</w:t>
      </w:r>
    </w:p>
    <w:p w:rsidR="001C52D7" w:rsidRPr="00AB411F" w:rsidRDefault="00BB5DE8" w:rsidP="00AB411F">
      <w:pPr>
        <w:pStyle w:val="SingleTxtG"/>
      </w:pPr>
      <w:r>
        <w:t>23.</w:t>
      </w:r>
      <w:r>
        <w:tab/>
      </w:r>
      <w:r w:rsidR="001C52D7" w:rsidRPr="00AB411F">
        <w:t xml:space="preserve">Germany pointed out an omission on page 21 and </w:t>
      </w:r>
      <w:r w:rsidR="00BB57E1">
        <w:t xml:space="preserve">an </w:t>
      </w:r>
      <w:r w:rsidR="001C52D7" w:rsidRPr="00AB411F">
        <w:t xml:space="preserve">ambiguous explanatory note on the cover page.  SC.1 requested the secretariat to rectify the omission and to clarify the explanatory note.  </w:t>
      </w:r>
    </w:p>
    <w:p w:rsidR="001C52D7" w:rsidRPr="008C73C6" w:rsidRDefault="001C52D7" w:rsidP="00AB411F">
      <w:pPr>
        <w:pStyle w:val="HChG"/>
      </w:pPr>
      <w:r w:rsidRPr="008C73C6">
        <w:tab/>
      </w:r>
      <w:r w:rsidR="00AB411F">
        <w:t>VI</w:t>
      </w:r>
      <w:r w:rsidRPr="008C73C6">
        <w:t>.</w:t>
      </w:r>
      <w:r w:rsidRPr="008C73C6">
        <w:tab/>
        <w:t>Trans-European North-South Motorway (TEM) Project</w:t>
      </w:r>
      <w:r w:rsidR="00AB411F">
        <w:t xml:space="preserve"> (agenda item 5)</w:t>
      </w:r>
    </w:p>
    <w:p w:rsidR="001C52D7" w:rsidRPr="000C6141" w:rsidRDefault="00BB5DE8" w:rsidP="00AB411F">
      <w:pPr>
        <w:pStyle w:val="SingleTxtG"/>
      </w:pPr>
      <w:r>
        <w:rPr>
          <w:lang w:eastAsia="en-GB"/>
        </w:rPr>
        <w:t>24.</w:t>
      </w:r>
      <w:r>
        <w:rPr>
          <w:lang w:eastAsia="en-GB"/>
        </w:rPr>
        <w:tab/>
      </w:r>
      <w:r w:rsidR="001C52D7" w:rsidRPr="008C73C6">
        <w:rPr>
          <w:lang w:eastAsia="en-GB"/>
        </w:rPr>
        <w:t xml:space="preserve">SC.1 took note of the information provided </w:t>
      </w:r>
      <w:r w:rsidR="00BB57E1">
        <w:rPr>
          <w:lang w:eastAsia="en-GB"/>
        </w:rPr>
        <w:t xml:space="preserve">on </w:t>
      </w:r>
      <w:r w:rsidR="001C52D7" w:rsidRPr="008C73C6">
        <w:rPr>
          <w:lang w:eastAsia="en-GB"/>
        </w:rPr>
        <w:t>the TEM project.  The Regional Advisor, on behalf of TEM Project Central Office, provided information on a recent workshop on building information modelling (Warsaw) and on a ro</w:t>
      </w:r>
      <w:r w:rsidR="00DD1D45">
        <w:rPr>
          <w:lang w:eastAsia="en-GB"/>
        </w:rPr>
        <w:t>ad maintenance workshop (Prague</w:t>
      </w:r>
      <w:r w:rsidR="001C52D7" w:rsidRPr="008C73C6">
        <w:rPr>
          <w:lang w:eastAsia="en-GB"/>
        </w:rPr>
        <w:t xml:space="preserve">).  In addition, the contents of the study on </w:t>
      </w:r>
      <w:r w:rsidR="00BB57E1">
        <w:rPr>
          <w:lang w:eastAsia="en-GB"/>
        </w:rPr>
        <w:t>r</w:t>
      </w:r>
      <w:r w:rsidR="001C52D7" w:rsidRPr="008C73C6">
        <w:rPr>
          <w:lang w:eastAsia="en-GB"/>
        </w:rPr>
        <w:t xml:space="preserve">oad safety audit and road safety inspection of the TEM network and work leading to the development of the </w:t>
      </w:r>
      <w:r w:rsidR="001C52D7" w:rsidRPr="000C6141">
        <w:t>2017-</w:t>
      </w:r>
      <w:r w:rsidR="001C52D7" w:rsidRPr="000C6141">
        <w:lastRenderedPageBreak/>
        <w:t>2021 TEM strategy were shared. The strategy is being prepared with the goal of assisting the implementation of S</w:t>
      </w:r>
      <w:r w:rsidR="001F21E3">
        <w:t>ustainable Development Goals (SD</w:t>
      </w:r>
      <w:r w:rsidR="001C52D7" w:rsidRPr="000C6141">
        <w:t>Gs</w:t>
      </w:r>
      <w:r w:rsidR="001F21E3">
        <w:t>)</w:t>
      </w:r>
      <w:r w:rsidR="001C52D7" w:rsidRPr="000C6141">
        <w:t xml:space="preserve"> relevant to road infrastructure development.  It focuses on six areas: (</w:t>
      </w:r>
      <w:proofErr w:type="spellStart"/>
      <w:r w:rsidR="001C52D7" w:rsidRPr="000C6141">
        <w:t>i</w:t>
      </w:r>
      <w:proofErr w:type="spellEnd"/>
      <w:r w:rsidR="001C52D7" w:rsidRPr="000C6141">
        <w:t xml:space="preserve">) environment and its protection, (ii) system of roads and motorways - organization and financing, (iii) management of motorway network, </w:t>
      </w:r>
      <w:proofErr w:type="gramStart"/>
      <w:r w:rsidR="001C52D7" w:rsidRPr="000C6141">
        <w:t>(iv) information</w:t>
      </w:r>
      <w:proofErr w:type="gramEnd"/>
      <w:r w:rsidR="001C52D7" w:rsidRPr="000C6141">
        <w:t xml:space="preserve"> systems in the management of road infrastructure, (v) innovation, and (vi) road safety.</w:t>
      </w:r>
    </w:p>
    <w:p w:rsidR="001C52D7" w:rsidRPr="008C73C6" w:rsidRDefault="001C52D7" w:rsidP="00BB5DE8">
      <w:pPr>
        <w:pStyle w:val="HChG"/>
      </w:pPr>
      <w:r w:rsidRPr="008C73C6">
        <w:tab/>
      </w:r>
      <w:r w:rsidR="00AB411F">
        <w:t>VII</w:t>
      </w:r>
      <w:r w:rsidRPr="008C73C6">
        <w:t>.</w:t>
      </w:r>
      <w:r w:rsidRPr="008C73C6">
        <w:tab/>
        <w:t>Convention on the Contract for the International Carriage of Goods by Road (CMR)</w:t>
      </w:r>
      <w:r w:rsidR="00AB411F">
        <w:t xml:space="preserve"> (agenda item 6)</w:t>
      </w:r>
    </w:p>
    <w:p w:rsidR="001C52D7" w:rsidRPr="008C73C6" w:rsidRDefault="001C52D7" w:rsidP="00AB411F">
      <w:pPr>
        <w:pStyle w:val="H1G"/>
      </w:pPr>
      <w:r w:rsidRPr="008C73C6">
        <w:tab/>
      </w:r>
      <w:r w:rsidR="00AB411F">
        <w:t>A.</w:t>
      </w:r>
      <w:r w:rsidRPr="008C73C6">
        <w:tab/>
        <w:t>Status of the Convention</w:t>
      </w:r>
    </w:p>
    <w:p w:rsidR="001C52D7" w:rsidRPr="008C73C6" w:rsidRDefault="000C6141" w:rsidP="001C52D7">
      <w:pPr>
        <w:pStyle w:val="SingleTxtG"/>
        <w:jc w:val="left"/>
      </w:pPr>
      <w:r>
        <w:t>25.</w:t>
      </w:r>
      <w:r>
        <w:tab/>
      </w:r>
      <w:r w:rsidR="001C52D7" w:rsidRPr="008C73C6">
        <w:t xml:space="preserve">The secretariat informed SC.1 that the number of </w:t>
      </w:r>
      <w:r w:rsidR="00D60779">
        <w:t>C</w:t>
      </w:r>
      <w:r w:rsidR="001C52D7" w:rsidRPr="008C73C6">
        <w:t xml:space="preserve">ontracting </w:t>
      </w:r>
      <w:r w:rsidR="00D60779">
        <w:t>P</w:t>
      </w:r>
      <w:r w:rsidR="001C52D7" w:rsidRPr="008C73C6">
        <w:t xml:space="preserve">arties to this Convention has remained unchanged since the last SC.1 session. </w:t>
      </w:r>
    </w:p>
    <w:p w:rsidR="001C52D7" w:rsidRPr="008C73C6" w:rsidRDefault="001C52D7" w:rsidP="00AB411F">
      <w:pPr>
        <w:pStyle w:val="H1G"/>
      </w:pPr>
      <w:r w:rsidRPr="008C73C6">
        <w:tab/>
      </w:r>
      <w:r w:rsidR="00AB411F">
        <w:t>B.</w:t>
      </w:r>
      <w:r w:rsidRPr="008C73C6">
        <w:tab/>
        <w:t>Protocol to the Convention on the Contract for the International Carriage of Goods by Road (CMR)</w:t>
      </w:r>
    </w:p>
    <w:p w:rsidR="001C52D7" w:rsidRPr="00AB411F" w:rsidRDefault="000C6141" w:rsidP="00AB411F">
      <w:pPr>
        <w:pStyle w:val="SingleTxtG"/>
      </w:pPr>
      <w:r>
        <w:t>26.</w:t>
      </w:r>
      <w:r>
        <w:tab/>
      </w:r>
      <w:r w:rsidR="001C52D7" w:rsidRPr="00AB411F">
        <w:t xml:space="preserve">The secretariat informed SC.1 that, since the last SC.1 session, only one </w:t>
      </w:r>
      <w:r w:rsidR="00D60779">
        <w:t>S</w:t>
      </w:r>
      <w:r w:rsidR="001C52D7" w:rsidRPr="00AB411F">
        <w:t>tate (the Russian Federation) has acceded to this Protocol</w:t>
      </w:r>
      <w:r w:rsidR="00D60779">
        <w:t>,</w:t>
      </w:r>
      <w:r w:rsidR="001C52D7" w:rsidRPr="00AB411F">
        <w:t xml:space="preserve"> bringing the total number of Contracting Parties to 43.</w:t>
      </w:r>
    </w:p>
    <w:p w:rsidR="001C52D7" w:rsidRPr="008C73C6" w:rsidRDefault="001C52D7" w:rsidP="00880E04">
      <w:pPr>
        <w:pStyle w:val="H1G"/>
      </w:pPr>
      <w:r w:rsidRPr="008C73C6">
        <w:tab/>
      </w:r>
      <w:r w:rsidR="00AB411F">
        <w:t>C.</w:t>
      </w:r>
      <w:r w:rsidRPr="008C73C6">
        <w:tab/>
        <w:t>Additional Protocol to the CMR concerning the Electronic Consignment Note</w:t>
      </w:r>
    </w:p>
    <w:p w:rsidR="001C52D7" w:rsidRPr="00880E04" w:rsidRDefault="000C6141" w:rsidP="00880E04">
      <w:pPr>
        <w:pStyle w:val="SingleTxtG"/>
      </w:pPr>
      <w:r>
        <w:t>27.</w:t>
      </w:r>
      <w:r>
        <w:tab/>
      </w:r>
      <w:r w:rsidR="001C52D7" w:rsidRPr="00880E04">
        <w:t>The secretariat informed SC.1 about the status of the Additional Protocol to the Convention.  Since the last meeting, France has acceded to the Additional Protocol, which brought the number of Contracting</w:t>
      </w:r>
      <w:r w:rsidR="00F33647">
        <w:t xml:space="preserve"> Parties</w:t>
      </w:r>
      <w:r w:rsidR="001C52D7" w:rsidRPr="00880E04">
        <w:t xml:space="preserve"> to 10. </w:t>
      </w:r>
    </w:p>
    <w:p w:rsidR="001C52D7" w:rsidRPr="00880E04" w:rsidRDefault="000C6141" w:rsidP="00880E04">
      <w:pPr>
        <w:pStyle w:val="SingleTxtG"/>
      </w:pPr>
      <w:r>
        <w:t>28.</w:t>
      </w:r>
      <w:r>
        <w:tab/>
      </w:r>
      <w:r w:rsidR="001C52D7" w:rsidRPr="00880E04">
        <w:t xml:space="preserve">The secretariat emphasized the fact that Contracting Parties should begin work (as per Article 5) to operationalize this Additional Protocol if they wish </w:t>
      </w:r>
      <w:r w:rsidR="006D709B">
        <w:t xml:space="preserve">that the </w:t>
      </w:r>
      <w:r w:rsidR="001C52D7" w:rsidRPr="00880E04">
        <w:t xml:space="preserve">electronic consignment note become a standard.  </w:t>
      </w:r>
    </w:p>
    <w:p w:rsidR="001C52D7" w:rsidRPr="00880E04" w:rsidRDefault="000C6141" w:rsidP="00880E04">
      <w:pPr>
        <w:pStyle w:val="SingleTxtG"/>
      </w:pPr>
      <w:r>
        <w:t>29.</w:t>
      </w:r>
      <w:r>
        <w:tab/>
      </w:r>
      <w:r w:rsidR="001C52D7" w:rsidRPr="00880E04">
        <w:t xml:space="preserve">IRU informed SC.1 about two pilot projects (for Belgium, France, the Netherlands and Spain, </w:t>
      </w:r>
      <w:r w:rsidR="006D709B">
        <w:t xml:space="preserve">and </w:t>
      </w:r>
      <w:r w:rsidR="001C52D7" w:rsidRPr="00880E04">
        <w:t xml:space="preserve">Bulgaria, Greece and Romania) aimed at promoting the use of e-consignment notes. </w:t>
      </w:r>
    </w:p>
    <w:p w:rsidR="001C52D7" w:rsidRPr="008C73C6" w:rsidRDefault="000C6141" w:rsidP="00880E04">
      <w:pPr>
        <w:pStyle w:val="SingleTxtG"/>
      </w:pPr>
      <w:r>
        <w:t>30.</w:t>
      </w:r>
      <w:r>
        <w:tab/>
      </w:r>
      <w:r w:rsidR="001C52D7" w:rsidRPr="00880E04">
        <w:t>The secretariat expressed gratitude to IRU for promoting United Nations legal instruments and for organizing in Geneva awareness</w:t>
      </w:r>
      <w:r w:rsidR="00A833D8">
        <w:t>-</w:t>
      </w:r>
      <w:r w:rsidR="001C52D7" w:rsidRPr="00880E04">
        <w:t>raising and capacity</w:t>
      </w:r>
      <w:r w:rsidR="00A833D8">
        <w:t>-</w:t>
      </w:r>
      <w:r w:rsidR="001C52D7" w:rsidRPr="00880E04">
        <w:t>building events on these instruments to the League of Arab States, China and Pakistan</w:t>
      </w:r>
      <w:r w:rsidR="001C52D7" w:rsidRPr="008C73C6">
        <w:t>.</w:t>
      </w:r>
    </w:p>
    <w:p w:rsidR="001C52D7" w:rsidRPr="008C73C6" w:rsidRDefault="001C52D7" w:rsidP="00880E04">
      <w:pPr>
        <w:pStyle w:val="HChG"/>
      </w:pPr>
      <w:r w:rsidRPr="008C73C6">
        <w:tab/>
      </w:r>
      <w:r w:rsidR="00880E04">
        <w:t>VIII</w:t>
      </w:r>
      <w:r w:rsidRPr="008C73C6">
        <w:t>.</w:t>
      </w:r>
      <w:r w:rsidRPr="008C73C6">
        <w:tab/>
        <w:t>Facilitation of international road transport</w:t>
      </w:r>
      <w:r w:rsidR="00880E04">
        <w:t xml:space="preserve"> (agenda item 7)</w:t>
      </w:r>
    </w:p>
    <w:p w:rsidR="001C52D7" w:rsidRPr="008C73C6" w:rsidRDefault="001C52D7" w:rsidP="00880E04">
      <w:pPr>
        <w:pStyle w:val="H1G"/>
      </w:pPr>
      <w:r w:rsidRPr="008C73C6">
        <w:tab/>
      </w:r>
      <w:r w:rsidR="00880E04">
        <w:t>A.</w:t>
      </w:r>
      <w:r w:rsidRPr="008C73C6">
        <w:tab/>
        <w:t>International Motor Insurance System (Green Card)</w:t>
      </w:r>
    </w:p>
    <w:p w:rsidR="001C52D7" w:rsidRPr="00880E04" w:rsidRDefault="000C6141" w:rsidP="00880E04">
      <w:pPr>
        <w:pStyle w:val="SingleTxtG"/>
      </w:pPr>
      <w:r>
        <w:t>31.</w:t>
      </w:r>
      <w:r>
        <w:tab/>
      </w:r>
      <w:r w:rsidR="001C52D7" w:rsidRPr="00880E04">
        <w:t>The Working Party was informed by the Secretary</w:t>
      </w:r>
      <w:r w:rsidR="00A833D8">
        <w:t>-</w:t>
      </w:r>
      <w:r w:rsidR="001C52D7" w:rsidRPr="00880E04">
        <w:t xml:space="preserve">General of the Council of Bureaux about recent developments in the “Green Card system” (detailed information is available in Informal document </w:t>
      </w:r>
      <w:r w:rsidR="00A833D8">
        <w:t>N</w:t>
      </w:r>
      <w:r w:rsidR="001C52D7" w:rsidRPr="00880E04">
        <w:t>o. 5).  Turkey noted interest in the Green Card system in China and Pakistan and invited the COB Secretary</w:t>
      </w:r>
      <w:r w:rsidR="00A833D8">
        <w:t>-</w:t>
      </w:r>
      <w:r w:rsidR="001C52D7" w:rsidRPr="00880E04">
        <w:t xml:space="preserve">General to explore possibilities for sharing COB expertise in those countries.  </w:t>
      </w:r>
    </w:p>
    <w:p w:rsidR="001C52D7" w:rsidRPr="008C73C6" w:rsidRDefault="00880E04" w:rsidP="00880E04">
      <w:pPr>
        <w:pStyle w:val="H1G"/>
      </w:pPr>
      <w:r>
        <w:rPr>
          <w:lang w:val="en-US"/>
        </w:rPr>
        <w:lastRenderedPageBreak/>
        <w:tab/>
      </w:r>
      <w:r>
        <w:t>B.</w:t>
      </w:r>
      <w:r w:rsidR="001C52D7" w:rsidRPr="008C73C6">
        <w:tab/>
        <w:t>Proposal for a global multilateral agreement on the international regular transport of passengers by coach and bus (</w:t>
      </w:r>
      <w:proofErr w:type="spellStart"/>
      <w:r w:rsidR="001C52D7" w:rsidRPr="008C73C6">
        <w:t>OmniBUS</w:t>
      </w:r>
      <w:proofErr w:type="spellEnd"/>
      <w:r w:rsidR="001C52D7" w:rsidRPr="008C73C6">
        <w:t>)</w:t>
      </w:r>
    </w:p>
    <w:p w:rsidR="001C52D7" w:rsidRPr="00A37673" w:rsidRDefault="000C6141" w:rsidP="00A37673">
      <w:pPr>
        <w:pStyle w:val="SingleTxtG"/>
      </w:pPr>
      <w:r>
        <w:t>32.</w:t>
      </w:r>
      <w:r>
        <w:tab/>
      </w:r>
      <w:r w:rsidR="001C52D7" w:rsidRPr="00A37673">
        <w:t xml:space="preserve">The secretariat recalled the invitation from </w:t>
      </w:r>
      <w:r w:rsidR="003D5025">
        <w:t xml:space="preserve">the </w:t>
      </w:r>
      <w:r w:rsidR="001C52D7" w:rsidRPr="00A37673">
        <w:t>Inland Transport Committee for SC.1 to take an appropriate position with regard to finalization of the global multilateral agreement on the international regular transport of passengers by coach and bus (</w:t>
      </w:r>
      <w:proofErr w:type="spellStart"/>
      <w:r w:rsidR="001C52D7" w:rsidRPr="00A37673">
        <w:t>OmniBus</w:t>
      </w:r>
      <w:proofErr w:type="spellEnd"/>
      <w:r w:rsidR="001C52D7" w:rsidRPr="00A37673">
        <w:t>)</w:t>
      </w:r>
      <w:r w:rsidR="001C52D7" w:rsidRPr="008C73C6">
        <w:t xml:space="preserve"> </w:t>
      </w:r>
      <w:r w:rsidR="001C52D7" w:rsidRPr="00A37673">
        <w:t xml:space="preserve">(ECE/TRANS/254, paras. 88–90).  Switzerland would welcome finalization of the </w:t>
      </w:r>
      <w:proofErr w:type="spellStart"/>
      <w:r w:rsidR="001C52D7" w:rsidRPr="00A37673">
        <w:t>OmniBus</w:t>
      </w:r>
      <w:proofErr w:type="spellEnd"/>
      <w:r w:rsidR="001C52D7" w:rsidRPr="00A37673">
        <w:t xml:space="preserve"> Agreement. The European Union updated SC.1 on developments related to the extension of the </w:t>
      </w:r>
      <w:proofErr w:type="spellStart"/>
      <w:r w:rsidR="001C52D7" w:rsidRPr="00A37673">
        <w:t>InterBus</w:t>
      </w:r>
      <w:proofErr w:type="spellEnd"/>
      <w:r w:rsidR="001C52D7" w:rsidRPr="00A37673">
        <w:t xml:space="preserve"> Agreement to include the international regular bus service. A draft of this new Agreement was being finalized among EU members and it was expected that negotiations with the Contracting Parties to the existing </w:t>
      </w:r>
      <w:proofErr w:type="spellStart"/>
      <w:r w:rsidR="001C52D7" w:rsidRPr="00A37673">
        <w:t>InterBus</w:t>
      </w:r>
      <w:proofErr w:type="spellEnd"/>
      <w:r w:rsidR="001C52D7" w:rsidRPr="00A37673">
        <w:t xml:space="preserve"> Agreement will begin by early 2017.  The new </w:t>
      </w:r>
      <w:proofErr w:type="spellStart"/>
      <w:r w:rsidR="001C52D7" w:rsidRPr="00A37673">
        <w:t>InterBus</w:t>
      </w:r>
      <w:proofErr w:type="spellEnd"/>
      <w:r w:rsidR="001C52D7" w:rsidRPr="00A37673">
        <w:t xml:space="preserve"> Agreement would then be open for accession by all ECMT members. </w:t>
      </w:r>
    </w:p>
    <w:p w:rsidR="001C52D7" w:rsidRPr="00A37673" w:rsidRDefault="000C6141" w:rsidP="00A37673">
      <w:pPr>
        <w:pStyle w:val="SingleTxtG"/>
      </w:pPr>
      <w:r>
        <w:t>33.</w:t>
      </w:r>
      <w:r>
        <w:tab/>
      </w:r>
      <w:r w:rsidR="00932B15">
        <w:t xml:space="preserve">The </w:t>
      </w:r>
      <w:r w:rsidR="001C52D7" w:rsidRPr="00A37673">
        <w:t xml:space="preserve">SC.1 took note of the information provided by the European Union. It further noted that the procedure adopted by the European Union in developing the new </w:t>
      </w:r>
      <w:proofErr w:type="spellStart"/>
      <w:r w:rsidR="001C52D7" w:rsidRPr="00A37673">
        <w:t>InterBus</w:t>
      </w:r>
      <w:proofErr w:type="spellEnd"/>
      <w:r w:rsidR="001C52D7" w:rsidRPr="00A37673">
        <w:t xml:space="preserve"> Agreement would not allow all ECMT members to participate in the negotiations if they are not Contracting Parties to the </w:t>
      </w:r>
      <w:proofErr w:type="spellStart"/>
      <w:r w:rsidR="001C52D7" w:rsidRPr="00A37673">
        <w:t>InterBus</w:t>
      </w:r>
      <w:proofErr w:type="spellEnd"/>
      <w:r w:rsidR="001C52D7" w:rsidRPr="00A37673">
        <w:t xml:space="preserve"> Agreement. SC.1 invited the European Union to reconsider the procedure so that the negotiations are open to all ECMT members, including those countries that played an important role in elaboration of the draft </w:t>
      </w:r>
      <w:proofErr w:type="spellStart"/>
      <w:r w:rsidR="001C52D7" w:rsidRPr="00A37673">
        <w:t>OmniBus</w:t>
      </w:r>
      <w:proofErr w:type="spellEnd"/>
      <w:r w:rsidR="001C52D7" w:rsidRPr="00A37673">
        <w:t xml:space="preserve"> Agreement.</w:t>
      </w:r>
    </w:p>
    <w:p w:rsidR="001C52D7" w:rsidRPr="008C73C6" w:rsidRDefault="000C6141" w:rsidP="00A37673">
      <w:pPr>
        <w:pStyle w:val="SingleTxtG"/>
      </w:pPr>
      <w:r>
        <w:t>34.</w:t>
      </w:r>
      <w:r>
        <w:tab/>
      </w:r>
      <w:r w:rsidR="001C52D7" w:rsidRPr="00A37673">
        <w:t xml:space="preserve">Regarding the intervention of the European Union, Switzerland proposes to wait for more information </w:t>
      </w:r>
      <w:r w:rsidR="003D5025">
        <w:t>about</w:t>
      </w:r>
      <w:r w:rsidR="001C52D7" w:rsidRPr="00A37673">
        <w:t xml:space="preserve"> the contents of the new </w:t>
      </w:r>
      <w:proofErr w:type="spellStart"/>
      <w:r w:rsidR="001C52D7" w:rsidRPr="00A37673">
        <w:t>InterBus</w:t>
      </w:r>
      <w:proofErr w:type="spellEnd"/>
      <w:r w:rsidR="001C52D7" w:rsidRPr="00A37673">
        <w:t xml:space="preserve"> Agreement before taking further </w:t>
      </w:r>
      <w:r w:rsidR="001C52D7" w:rsidRPr="008C2741">
        <w:t>action.</w:t>
      </w:r>
      <w:r w:rsidR="001C52D7">
        <w:t xml:space="preserve"> </w:t>
      </w:r>
    </w:p>
    <w:p w:rsidR="001C52D7" w:rsidRPr="008C73C6" w:rsidRDefault="00A37673" w:rsidP="00A37673">
      <w:pPr>
        <w:pStyle w:val="H1G"/>
      </w:pPr>
      <w:r>
        <w:rPr>
          <w:lang w:val="en-US"/>
        </w:rPr>
        <w:tab/>
      </w:r>
      <w:r>
        <w:t>C.</w:t>
      </w:r>
      <w:r w:rsidR="001C52D7" w:rsidRPr="008C73C6">
        <w:tab/>
        <w:t>Quantitative restrictions imposed on international road transport of goods</w:t>
      </w:r>
    </w:p>
    <w:p w:rsidR="001C52D7" w:rsidRPr="00A37673" w:rsidRDefault="000C6141" w:rsidP="00A37673">
      <w:pPr>
        <w:pStyle w:val="SingleTxtG"/>
      </w:pPr>
      <w:r>
        <w:t>35.</w:t>
      </w:r>
      <w:r>
        <w:tab/>
      </w:r>
      <w:r w:rsidR="003D5025">
        <w:t xml:space="preserve">The </w:t>
      </w:r>
      <w:r w:rsidR="001C52D7" w:rsidRPr="00A37673">
        <w:t>SC.1 continued discussions on a study on economic analysis of an agreement between European Union and Turkey which was carried</w:t>
      </w:r>
      <w:r w:rsidR="003D5025">
        <w:t xml:space="preserve"> out by the European Commission, which had</w:t>
      </w:r>
      <w:r w:rsidR="001C52D7" w:rsidRPr="00A37673">
        <w:t xml:space="preserve"> estimated </w:t>
      </w:r>
      <w:r w:rsidR="00932B15">
        <w:t xml:space="preserve">that the </w:t>
      </w:r>
      <w:r w:rsidR="001C52D7" w:rsidRPr="00A37673">
        <w:t>European Union and Turkey had sustained</w:t>
      </w:r>
      <w:r w:rsidR="00DC797B">
        <w:t xml:space="preserve"> </w:t>
      </w:r>
      <w:r w:rsidR="001C52D7" w:rsidRPr="00A37673">
        <w:t xml:space="preserve">large financial losses due to transport quotas and restrictions. It invited all those who were interested to continue to work on estimating the effects of quotas on road transport as well as to communicate the results at SC.1. </w:t>
      </w:r>
    </w:p>
    <w:p w:rsidR="001C52D7" w:rsidRPr="00A37673" w:rsidRDefault="000C6141" w:rsidP="00A37673">
      <w:pPr>
        <w:pStyle w:val="SingleTxtG"/>
      </w:pPr>
      <w:r>
        <w:t>36.</w:t>
      </w:r>
      <w:r>
        <w:tab/>
      </w:r>
      <w:r w:rsidR="001C52D7" w:rsidRPr="00A37673">
        <w:t xml:space="preserve">Turkey summarized the results of the study which showed large economic losses, estimated at €3.5 billion, both by the European Union and Turkey.  Turkey believed that an agreement on freedom of transit between Turkey and the EU could help to reduce or eliminate these losses. To this end, Turkey invited the European Union to inform </w:t>
      </w:r>
      <w:r w:rsidR="006F05EA">
        <w:t xml:space="preserve">SC.1 </w:t>
      </w:r>
      <w:r w:rsidR="001C52D7" w:rsidRPr="00A37673">
        <w:t>about any possible measures to address the matter.</w:t>
      </w:r>
    </w:p>
    <w:p w:rsidR="001C52D7" w:rsidRPr="00A37673" w:rsidRDefault="000C6141" w:rsidP="00A37673">
      <w:pPr>
        <w:pStyle w:val="SingleTxtG"/>
      </w:pPr>
      <w:r>
        <w:t>37.</w:t>
      </w:r>
      <w:r>
        <w:tab/>
      </w:r>
      <w:r w:rsidR="001C52D7" w:rsidRPr="00A37673">
        <w:t>The European Union appreciated the results of the study while noting that it does not offer a full assessment</w:t>
      </w:r>
      <w:r w:rsidR="006F05EA">
        <w:t>,</w:t>
      </w:r>
      <w:r w:rsidR="001C52D7" w:rsidRPr="00A37673">
        <w:t xml:space="preserve"> in particular</w:t>
      </w:r>
      <w:r w:rsidR="006F05EA">
        <w:t>,</w:t>
      </w:r>
      <w:r w:rsidR="001C52D7" w:rsidRPr="00A37673">
        <w:t xml:space="preserve"> on social and environmental impacts. The European Union informed </w:t>
      </w:r>
      <w:r w:rsidR="006F05EA">
        <w:t xml:space="preserve">SC.1 </w:t>
      </w:r>
      <w:r w:rsidR="001C52D7" w:rsidRPr="00A37673">
        <w:t>that currently there was no intention to conclude a transit agreement with Turkey. At the same time, preparations were being made to extend the Customs Agreement to services. However, no decision has been taken on whether or not transport services will be included.</w:t>
      </w:r>
    </w:p>
    <w:p w:rsidR="001C52D7" w:rsidRPr="00A37673" w:rsidRDefault="000C6141" w:rsidP="00A37673">
      <w:pPr>
        <w:pStyle w:val="SingleTxtG"/>
      </w:pPr>
      <w:r>
        <w:t>38.</w:t>
      </w:r>
      <w:r>
        <w:tab/>
      </w:r>
      <w:r w:rsidR="001C52D7" w:rsidRPr="00A37673">
        <w:t xml:space="preserve">SC.1 invited the European Commission to report on new developments </w:t>
      </w:r>
      <w:r w:rsidR="00BC30C3">
        <w:t>on</w:t>
      </w:r>
      <w:r w:rsidR="001C52D7" w:rsidRPr="00A37673">
        <w:t xml:space="preserve"> the extension of the mandate of the Customs Agreement and related activities at the next meeting. </w:t>
      </w:r>
    </w:p>
    <w:p w:rsidR="001C52D7" w:rsidRPr="008C73C6" w:rsidRDefault="001C52D7" w:rsidP="00A37673">
      <w:pPr>
        <w:pStyle w:val="H1G"/>
      </w:pPr>
      <w:r w:rsidRPr="008C73C6">
        <w:lastRenderedPageBreak/>
        <w:tab/>
      </w:r>
      <w:r w:rsidR="00A37673">
        <w:t>D.</w:t>
      </w:r>
      <w:r w:rsidRPr="008C73C6">
        <w:tab/>
        <w:t>The relationship between the origin of goods and transport operations</w:t>
      </w:r>
    </w:p>
    <w:p w:rsidR="001C52D7" w:rsidRPr="00A37673" w:rsidRDefault="000C6141" w:rsidP="00A37673">
      <w:pPr>
        <w:pStyle w:val="SingleTxtG"/>
      </w:pPr>
      <w:r>
        <w:t>39.</w:t>
      </w:r>
      <w:r>
        <w:tab/>
      </w:r>
      <w:r w:rsidR="001C52D7" w:rsidRPr="00A37673">
        <w:t>At the last session, SC.1 agreed to create an informal expert group to reflect on possible revisions to the Consolidated Resolution on the Facilitation of International Road Transport RE.4</w:t>
      </w:r>
      <w:r w:rsidR="00B310D9">
        <w:t xml:space="preserve">. </w:t>
      </w:r>
      <w:r w:rsidR="001C52D7" w:rsidRPr="00A37673">
        <w:t xml:space="preserve">To this end, Latvia and Poland presented a proposal (Informal document </w:t>
      </w:r>
      <w:r w:rsidR="00E235D5">
        <w:t>N</w:t>
      </w:r>
      <w:r w:rsidR="001C52D7" w:rsidRPr="00A37673">
        <w:t>o. 6) to amend RE.4 to introduce the definition of ‘bilateral carriage’. Both proposal proponents, given the objective of facilitating road transport operations, believed that adding such a</w:t>
      </w:r>
      <w:r w:rsidR="001C52D7" w:rsidRPr="008C73C6">
        <w:t xml:space="preserve"> </w:t>
      </w:r>
      <w:r w:rsidR="001C52D7" w:rsidRPr="00A37673">
        <w:t xml:space="preserve">definition would lead to </w:t>
      </w:r>
      <w:r w:rsidR="00E73F49">
        <w:t xml:space="preserve">a </w:t>
      </w:r>
      <w:bookmarkStart w:id="0" w:name="_GoBack"/>
      <w:bookmarkEnd w:id="0"/>
      <w:r w:rsidR="001C52D7" w:rsidRPr="00A37673">
        <w:t>correct classification of transport operations by the relevant control aut</w:t>
      </w:r>
      <w:r w:rsidR="007F51F2">
        <w:t xml:space="preserve">horities in various countries. </w:t>
      </w:r>
      <w:r w:rsidR="001C52D7" w:rsidRPr="00A37673">
        <w:t xml:space="preserve">SC.1 did not oppose this proposal and invited both countries to table a formal document (based on Informal document </w:t>
      </w:r>
      <w:r w:rsidR="00E235D5">
        <w:t>N</w:t>
      </w:r>
      <w:r w:rsidR="001C52D7" w:rsidRPr="00A37673">
        <w:t xml:space="preserve">o. 6) at the next session so it could serve as a basis for SC.1 consideration and possible adoption. </w:t>
      </w:r>
    </w:p>
    <w:p w:rsidR="001C52D7" w:rsidRPr="008C73C6" w:rsidRDefault="001C52D7" w:rsidP="00A37673">
      <w:pPr>
        <w:pStyle w:val="HChG"/>
      </w:pPr>
      <w:r w:rsidRPr="008C73C6">
        <w:tab/>
      </w:r>
      <w:r w:rsidR="00A37673">
        <w:t>IX.</w:t>
      </w:r>
      <w:r w:rsidRPr="008C73C6">
        <w:tab/>
      </w:r>
      <w:r w:rsidR="009E66E2">
        <w:t xml:space="preserve">Group of Experts on </w:t>
      </w:r>
      <w:r w:rsidR="009E66E2" w:rsidRPr="005E3D4C">
        <w:t xml:space="preserve">Safety at Level Crossings </w:t>
      </w:r>
      <w:r w:rsidR="00A37673">
        <w:t>(agenda item 8)</w:t>
      </w:r>
    </w:p>
    <w:p w:rsidR="001C52D7" w:rsidRPr="00A37673" w:rsidRDefault="000C6141" w:rsidP="00A37673">
      <w:pPr>
        <w:pStyle w:val="SingleTxtG"/>
      </w:pPr>
      <w:r>
        <w:t>40.</w:t>
      </w:r>
      <w:r>
        <w:tab/>
      </w:r>
      <w:r w:rsidR="001C52D7" w:rsidRPr="00A37673">
        <w:t>SC.1 took note of the information about the progress achieved by the Group of Experts on Improving Safety at Level Crossings and provided preliminary information about the Group’s draft final report. The draft</w:t>
      </w:r>
      <w:r w:rsidR="00B310D9">
        <w:t xml:space="preserve"> report consists of two parts. </w:t>
      </w:r>
      <w:r w:rsidR="001C52D7" w:rsidRPr="00A37673">
        <w:t>The first part describes the knowledge and pract</w:t>
      </w:r>
      <w:r w:rsidR="00B310D9">
        <w:t xml:space="preserve">ices available in UNECE members States </w:t>
      </w:r>
      <w:r w:rsidR="001C52D7" w:rsidRPr="00A37673">
        <w:t>and other countries as well as the gaps and challenges identified in the areas such as: level crossing safety performance data, accidents costs, infrastructure, education, training, legislation, enforcement, institutional framework, human factors and risk management.  The first part provides number of recommendations for each of these areas. The second part provides information about a level crossing safe system approach and ways for its effective implementatio</w:t>
      </w:r>
      <w:r w:rsidR="006D1465">
        <w:t xml:space="preserve">n, including plans of actions. </w:t>
      </w:r>
      <w:r w:rsidR="001C52D7" w:rsidRPr="00A37673">
        <w:t>The secretariat also informed</w:t>
      </w:r>
      <w:r w:rsidR="006D1465">
        <w:t xml:space="preserve"> SC.1</w:t>
      </w:r>
      <w:r w:rsidR="001C52D7" w:rsidRPr="00A37673">
        <w:t xml:space="preserve"> that the Group of Experts is considering whether or not safety at level crossings could be improved by establishing a working party for level crossings at UNECE. </w:t>
      </w:r>
    </w:p>
    <w:p w:rsidR="001C52D7" w:rsidRPr="008C73C6" w:rsidRDefault="001C52D7" w:rsidP="006A1E60">
      <w:pPr>
        <w:pStyle w:val="HChG"/>
      </w:pPr>
      <w:r w:rsidRPr="008C73C6">
        <w:tab/>
      </w:r>
      <w:r w:rsidR="006A1E60">
        <w:t>X.</w:t>
      </w:r>
      <w:r w:rsidRPr="008C73C6">
        <w:tab/>
        <w:t>Revision of SC.1 terms of reference and rules of procedure</w:t>
      </w:r>
      <w:r w:rsidR="006A1E60">
        <w:t xml:space="preserve"> (agenda item 9)</w:t>
      </w:r>
    </w:p>
    <w:p w:rsidR="001C52D7" w:rsidRPr="006A1E60" w:rsidRDefault="000C6141" w:rsidP="006A1E60">
      <w:pPr>
        <w:pStyle w:val="SingleTxtG"/>
      </w:pPr>
      <w:r>
        <w:t>41.</w:t>
      </w:r>
      <w:r>
        <w:tab/>
      </w:r>
      <w:r w:rsidR="001C52D7" w:rsidRPr="006A1E60">
        <w:t xml:space="preserve">At its last session, SC.1 established an informal group (Belgium and Germany) to make a proposal for amending the SC.1 terms of reference and rules of procedures. This informal group submitted a proposal for changes to the existing version of the terms of reference and rules of procedures (Informal document </w:t>
      </w:r>
      <w:proofErr w:type="spellStart"/>
      <w:r w:rsidR="009E66E2">
        <w:t>N</w:t>
      </w:r>
      <w:r w:rsidR="001C52D7" w:rsidRPr="006A1E60">
        <w:t>o</w:t>
      </w:r>
      <w:r w:rsidR="006D1465">
        <w:t>s</w:t>
      </w:r>
      <w:proofErr w:type="spellEnd"/>
      <w:r w:rsidR="001C52D7" w:rsidRPr="006A1E60">
        <w:t xml:space="preserve"> 3 and 4). SC.1 decided to consider the proposal at the next session. </w:t>
      </w:r>
    </w:p>
    <w:p w:rsidR="001C52D7" w:rsidRPr="008C73C6" w:rsidRDefault="001C52D7" w:rsidP="006A1E60">
      <w:pPr>
        <w:pStyle w:val="HChG"/>
      </w:pPr>
      <w:r w:rsidRPr="008C73C6">
        <w:tab/>
      </w:r>
      <w:r w:rsidR="006A1E60">
        <w:t>XI</w:t>
      </w:r>
      <w:r w:rsidRPr="008C73C6">
        <w:t>.</w:t>
      </w:r>
      <w:r w:rsidRPr="008C73C6">
        <w:tab/>
        <w:t>Programme of work and biennial evaluation</w:t>
      </w:r>
      <w:r w:rsidR="006A1E60">
        <w:t xml:space="preserve"> (agenda 10)</w:t>
      </w:r>
    </w:p>
    <w:p w:rsidR="001C52D7" w:rsidRPr="006A1E60" w:rsidRDefault="000C6141" w:rsidP="006A1E60">
      <w:pPr>
        <w:pStyle w:val="SingleTxtG"/>
      </w:pPr>
      <w:r>
        <w:t>42.</w:t>
      </w:r>
      <w:r>
        <w:tab/>
      </w:r>
      <w:r w:rsidR="001C52D7" w:rsidRPr="006A1E60">
        <w:t>At the last session, SC.1 had reviewed and adopted with a minor modification its programme of work for 2016–2017 (ECE/TRANS/SC.1/2015/4). SC.1 had requested the secretariat to submit the revised ECE/TRANS/SC.1/2015/4 to ITC and to table the revised document (ECE/TRANS/SC.1/2015/4/Rev.1) for “formal” approval at the next session.  SC.1 “formally approved” ECE/TRANS/SC.1/2015/4/Rev.1 at the current session.</w:t>
      </w:r>
    </w:p>
    <w:p w:rsidR="001C52D7" w:rsidRPr="008C73C6" w:rsidRDefault="001C52D7" w:rsidP="006A1E60">
      <w:pPr>
        <w:pStyle w:val="HChG"/>
      </w:pPr>
      <w:r w:rsidRPr="008C73C6">
        <w:tab/>
      </w:r>
      <w:r w:rsidR="006A1E60">
        <w:t>XII</w:t>
      </w:r>
      <w:r w:rsidRPr="008C73C6">
        <w:tab/>
        <w:t>Other business</w:t>
      </w:r>
      <w:r w:rsidR="006A1E60">
        <w:t xml:space="preserve"> (agenda item 11)</w:t>
      </w:r>
    </w:p>
    <w:p w:rsidR="001C52D7" w:rsidRPr="006A1E60" w:rsidRDefault="000C6141" w:rsidP="006A1E60">
      <w:pPr>
        <w:pStyle w:val="SingleTxtG"/>
      </w:pPr>
      <w:r>
        <w:t>43.</w:t>
      </w:r>
      <w:r>
        <w:tab/>
      </w:r>
      <w:r w:rsidR="001C52D7" w:rsidRPr="006A1E60">
        <w:t xml:space="preserve">SC.1 discussed a draft SC.1 resolution prepared by the IRU (Informal document </w:t>
      </w:r>
      <w:r w:rsidR="009E66E2">
        <w:t>N</w:t>
      </w:r>
      <w:r w:rsidR="001C52D7" w:rsidRPr="006A1E60">
        <w:t xml:space="preserve">o. 1), made revisions and adopted it (Annex III).  It requested the secretariat to submit it to the next ITC session (as per para 147, ECE/TRANS/254).  Upon the invitation of IRU, SC.1 </w:t>
      </w:r>
      <w:r w:rsidR="001C52D7" w:rsidRPr="006A1E60">
        <w:lastRenderedPageBreak/>
        <w:t xml:space="preserve">decided not to discuss a draft resolution on uncontrolled migration and the international refugee crisis, and addressing its impact on the road transport industry (Informal document </w:t>
      </w:r>
      <w:r w:rsidR="00C7339C">
        <w:t>N</w:t>
      </w:r>
      <w:r w:rsidR="001C52D7" w:rsidRPr="006A1E60">
        <w:t>o</w:t>
      </w:r>
      <w:r w:rsidR="009E66E2">
        <w:t>.</w:t>
      </w:r>
      <w:r w:rsidR="001C52D7" w:rsidRPr="006A1E60">
        <w:t xml:space="preserve"> 2).</w:t>
      </w:r>
    </w:p>
    <w:p w:rsidR="001C52D7" w:rsidRPr="008C73C6" w:rsidRDefault="001C52D7" w:rsidP="006A1E60">
      <w:pPr>
        <w:pStyle w:val="HChG"/>
      </w:pPr>
      <w:r w:rsidRPr="008C73C6">
        <w:tab/>
      </w:r>
      <w:r w:rsidR="006A1E60">
        <w:t>XII</w:t>
      </w:r>
      <w:r w:rsidR="00C7339C">
        <w:t>I</w:t>
      </w:r>
      <w:r w:rsidRPr="008C73C6">
        <w:t>.</w:t>
      </w:r>
      <w:r w:rsidRPr="008C73C6">
        <w:tab/>
        <w:t>Date of next session</w:t>
      </w:r>
      <w:r w:rsidR="00C7339C">
        <w:t xml:space="preserve"> (agenda item 12)</w:t>
      </w:r>
    </w:p>
    <w:p w:rsidR="001C52D7" w:rsidRPr="00C7339C" w:rsidRDefault="000C6141" w:rsidP="00C7339C">
      <w:pPr>
        <w:pStyle w:val="SingleTxtG"/>
      </w:pPr>
      <w:r>
        <w:t>44.</w:t>
      </w:r>
      <w:r>
        <w:tab/>
      </w:r>
      <w:r w:rsidR="001C52D7" w:rsidRPr="00C7339C">
        <w:t>The Working Party was informed that the next session has been scheduled for 16–18 October 2017. SC.1 requested the secretariat to explore with IRU a possibility of organizing, as p</w:t>
      </w:r>
      <w:r w:rsidR="009E66E2">
        <w:t>art of the next session, a half-</w:t>
      </w:r>
      <w:r w:rsidR="001C52D7" w:rsidRPr="00C7339C">
        <w:t xml:space="preserve">day seminar on the future of road transport. </w:t>
      </w:r>
    </w:p>
    <w:p w:rsidR="001C52D7" w:rsidRPr="00D3399D" w:rsidRDefault="001C52D7" w:rsidP="00D3399D">
      <w:pPr>
        <w:pStyle w:val="HChG"/>
      </w:pPr>
      <w:r w:rsidRPr="00D3399D">
        <w:tab/>
      </w:r>
      <w:r w:rsidR="00C7339C" w:rsidRPr="00D3399D">
        <w:t>XIV</w:t>
      </w:r>
      <w:r w:rsidRPr="00D3399D">
        <w:t>.</w:t>
      </w:r>
      <w:r w:rsidRPr="00D3399D">
        <w:tab/>
        <w:t>Election of officers</w:t>
      </w:r>
      <w:r w:rsidR="00C7339C" w:rsidRPr="00D3399D">
        <w:t xml:space="preserve"> (agenda item 13)</w:t>
      </w:r>
    </w:p>
    <w:p w:rsidR="001C52D7" w:rsidRPr="00C7339C" w:rsidRDefault="000C6141" w:rsidP="00C7339C">
      <w:pPr>
        <w:pStyle w:val="SingleTxtG"/>
      </w:pPr>
      <w:r>
        <w:t>45.</w:t>
      </w:r>
      <w:r>
        <w:tab/>
      </w:r>
      <w:r w:rsidR="001C52D7" w:rsidRPr="00C7339C">
        <w:t xml:space="preserve">The Working Party elected its officers for the period November 2016 – October 2018. Mr. R. </w:t>
      </w:r>
      <w:proofErr w:type="spellStart"/>
      <w:r w:rsidR="001C52D7" w:rsidRPr="00C7339C">
        <w:t>Symonenko</w:t>
      </w:r>
      <w:proofErr w:type="spellEnd"/>
      <w:r w:rsidR="001C52D7" w:rsidRPr="00C7339C">
        <w:t xml:space="preserve"> from Ukraine was elected to be the Chair while Ms. N. </w:t>
      </w:r>
      <w:proofErr w:type="spellStart"/>
      <w:r w:rsidR="001C52D7" w:rsidRPr="00C7339C">
        <w:t>Tufekcioglu</w:t>
      </w:r>
      <w:proofErr w:type="spellEnd"/>
      <w:r w:rsidR="001C52D7" w:rsidRPr="00C7339C">
        <w:t xml:space="preserve"> from Turkey and Mr. K. </w:t>
      </w:r>
      <w:proofErr w:type="spellStart"/>
      <w:r w:rsidR="001C52D7" w:rsidRPr="00C7339C">
        <w:t>Lewczak</w:t>
      </w:r>
      <w:proofErr w:type="spellEnd"/>
      <w:r w:rsidR="001C52D7" w:rsidRPr="00C7339C">
        <w:t xml:space="preserve"> from Poland were elected as Vice-Chairs.</w:t>
      </w:r>
    </w:p>
    <w:p w:rsidR="001C52D7" w:rsidRPr="00D3399D" w:rsidRDefault="001C52D7" w:rsidP="00D3399D">
      <w:pPr>
        <w:pStyle w:val="HChG"/>
      </w:pPr>
      <w:r w:rsidRPr="00D3399D">
        <w:tab/>
      </w:r>
      <w:r w:rsidR="00C7339C" w:rsidRPr="00D3399D">
        <w:t>XV</w:t>
      </w:r>
      <w:r w:rsidRPr="00D3399D">
        <w:t>.</w:t>
      </w:r>
      <w:r w:rsidRPr="00D3399D">
        <w:tab/>
        <w:t>Adoption of the report</w:t>
      </w:r>
      <w:r w:rsidR="00C7339C" w:rsidRPr="00D3399D">
        <w:t xml:space="preserve"> (agenda item 14)</w:t>
      </w:r>
    </w:p>
    <w:p w:rsidR="00C7339C" w:rsidRDefault="000C6141" w:rsidP="00C7339C">
      <w:pPr>
        <w:pStyle w:val="SingleTxtG"/>
      </w:pPr>
      <w:r>
        <w:t>46.</w:t>
      </w:r>
      <w:r>
        <w:tab/>
      </w:r>
      <w:r w:rsidR="001C52D7" w:rsidRPr="00C7339C">
        <w:t>The Working Party adopted the report of this session.</w:t>
      </w:r>
    </w:p>
    <w:p w:rsidR="00C7339C" w:rsidRDefault="00C7339C" w:rsidP="00C7339C">
      <w:r>
        <w:br w:type="page"/>
      </w:r>
    </w:p>
    <w:p w:rsidR="001C52D7" w:rsidRPr="00C7339C" w:rsidRDefault="00C7339C" w:rsidP="00C7339C">
      <w:pPr>
        <w:pStyle w:val="HChG"/>
      </w:pPr>
      <w:r>
        <w:lastRenderedPageBreak/>
        <w:tab/>
      </w:r>
      <w:r>
        <w:tab/>
        <w:t>Annex I</w:t>
      </w:r>
    </w:p>
    <w:p w:rsidR="00E46EC2" w:rsidRPr="009E66E2" w:rsidRDefault="00E67D44" w:rsidP="009E66E2">
      <w:pPr>
        <w:pStyle w:val="HChG"/>
      </w:pPr>
      <w:r>
        <w:tab/>
      </w:r>
      <w:r>
        <w:tab/>
      </w:r>
      <w:r w:rsidR="00E46EC2" w:rsidRPr="009E66E2">
        <w:t xml:space="preserve">Amendment proposal to Annex I to the European Agreement on Main International Traffic Arteries (AGR) </w:t>
      </w:r>
    </w:p>
    <w:p w:rsidR="00F65AF7" w:rsidRDefault="00E46EC2" w:rsidP="00E67D44">
      <w:pPr>
        <w:pStyle w:val="SingleTxtG"/>
      </w:pPr>
      <w:r w:rsidRPr="00E67D44">
        <w:t xml:space="preserve">The Government of </w:t>
      </w:r>
      <w:r w:rsidR="004702B4" w:rsidRPr="00E67D44">
        <w:t>Norway</w:t>
      </w:r>
      <w:r w:rsidRPr="00E67D44">
        <w:t xml:space="preserve"> has proposed to extend </w:t>
      </w:r>
      <w:r w:rsidR="004702B4" w:rsidRPr="00E67D44">
        <w:t xml:space="preserve">E134 from Drammen to </w:t>
      </w:r>
      <w:proofErr w:type="spellStart"/>
      <w:r w:rsidR="004702B4" w:rsidRPr="00E67D44">
        <w:t>Vassum</w:t>
      </w:r>
      <w:proofErr w:type="spellEnd"/>
      <w:r w:rsidR="004702B4" w:rsidRPr="00E67D44">
        <w:t xml:space="preserve"> (Norway)</w:t>
      </w:r>
      <w:r w:rsidRPr="00E67D44">
        <w:t xml:space="preserve">. </w:t>
      </w:r>
      <w:r w:rsidR="004702B4" w:rsidRPr="00E67D44">
        <w:t xml:space="preserve"> </w:t>
      </w:r>
      <w:r w:rsidRPr="00E67D44">
        <w:t xml:space="preserve">In doing so, it has proposed to amend Annex </w:t>
      </w:r>
      <w:proofErr w:type="gramStart"/>
      <w:r w:rsidRPr="00E67D44">
        <w:t>I</w:t>
      </w:r>
      <w:proofErr w:type="gramEnd"/>
      <w:r w:rsidRPr="00E67D44">
        <w:t xml:space="preserve"> to the AGR Agreement as follows</w:t>
      </w:r>
      <w:r w:rsidR="004702B4" w:rsidRPr="00E67D44">
        <w:t xml:space="preserve"> (additions</w:t>
      </w:r>
      <w:r w:rsidR="004702B4">
        <w:t xml:space="preserve"> </w:t>
      </w:r>
      <w:r w:rsidR="004702B4" w:rsidRPr="001F45E3">
        <w:rPr>
          <w:b/>
        </w:rPr>
        <w:t>in bold</w:t>
      </w:r>
      <w:r w:rsidR="004702B4">
        <w:t>)</w:t>
      </w:r>
      <w:r>
        <w:t xml:space="preserve">: </w:t>
      </w:r>
    </w:p>
    <w:p w:rsidR="004702B4" w:rsidRPr="004702B4" w:rsidRDefault="00E46EC2" w:rsidP="00E67D44">
      <w:pPr>
        <w:pStyle w:val="SingleTxtG"/>
        <w:rPr>
          <w:b/>
        </w:rPr>
      </w:pPr>
      <w:r w:rsidRPr="00E67D44">
        <w:t xml:space="preserve">E </w:t>
      </w:r>
      <w:r w:rsidR="004702B4" w:rsidRPr="00E67D44">
        <w:t>134</w:t>
      </w:r>
      <w:r w:rsidRPr="00E67D44">
        <w:t xml:space="preserve"> </w:t>
      </w:r>
      <w:r w:rsidR="004702B4" w:rsidRPr="00E67D44">
        <w:tab/>
      </w:r>
      <w:r w:rsidR="004702B4" w:rsidRPr="00E67D44">
        <w:tab/>
      </w:r>
      <w:proofErr w:type="spellStart"/>
      <w:r w:rsidR="004702B4" w:rsidRPr="00E67D44">
        <w:t>Haugesund</w:t>
      </w:r>
      <w:proofErr w:type="spellEnd"/>
      <w:r w:rsidR="004702B4" w:rsidRPr="00E67D44">
        <w:t xml:space="preserve"> – </w:t>
      </w:r>
      <w:proofErr w:type="spellStart"/>
      <w:r w:rsidR="004702B4" w:rsidRPr="00E67D44">
        <w:t>Haukeligrend</w:t>
      </w:r>
      <w:proofErr w:type="spellEnd"/>
      <w:r w:rsidR="004702B4" w:rsidRPr="00E67D44">
        <w:t xml:space="preserve"> – Drammen</w:t>
      </w:r>
      <w:r w:rsidR="004702B4" w:rsidRPr="004702B4">
        <w:rPr>
          <w:b/>
        </w:rPr>
        <w:t xml:space="preserve"> – </w:t>
      </w:r>
      <w:proofErr w:type="spellStart"/>
      <w:r w:rsidR="004702B4" w:rsidRPr="004702B4">
        <w:rPr>
          <w:b/>
        </w:rPr>
        <w:t>Drøbak</w:t>
      </w:r>
      <w:proofErr w:type="spellEnd"/>
      <w:r w:rsidR="004702B4" w:rsidRPr="004702B4">
        <w:rPr>
          <w:b/>
        </w:rPr>
        <w:t xml:space="preserve"> – </w:t>
      </w:r>
      <w:proofErr w:type="spellStart"/>
      <w:r w:rsidR="004702B4" w:rsidRPr="004702B4">
        <w:rPr>
          <w:b/>
        </w:rPr>
        <w:t>Vassum</w:t>
      </w:r>
      <w:proofErr w:type="spellEnd"/>
    </w:p>
    <w:p w:rsidR="00A3234C" w:rsidRPr="00E67D44" w:rsidRDefault="00E46EC2" w:rsidP="00E67D44">
      <w:pPr>
        <w:pStyle w:val="SingleTxtG"/>
      </w:pPr>
      <w:r w:rsidRPr="00E67D44">
        <w:t>SC.1 adopted this amendment proposal as per Article 8 of the AGR Agreement.</w:t>
      </w:r>
    </w:p>
    <w:p w:rsidR="006541C7" w:rsidRDefault="006541C7">
      <w:pPr>
        <w:suppressAutoHyphens w:val="0"/>
        <w:spacing w:line="240" w:lineRule="auto"/>
        <w:rPr>
          <w:b/>
        </w:rPr>
      </w:pPr>
      <w:r>
        <w:rPr>
          <w:b/>
        </w:rPr>
        <w:br w:type="page"/>
      </w:r>
    </w:p>
    <w:p w:rsidR="00D72D05" w:rsidRDefault="006541C7" w:rsidP="006541C7">
      <w:pPr>
        <w:pStyle w:val="HChG"/>
      </w:pPr>
      <w:r>
        <w:lastRenderedPageBreak/>
        <w:tab/>
      </w:r>
      <w:r>
        <w:tab/>
        <w:t>Annex II</w:t>
      </w:r>
    </w:p>
    <w:p w:rsidR="006A493A" w:rsidRPr="00D3399D" w:rsidRDefault="00E67D44" w:rsidP="00D3399D">
      <w:pPr>
        <w:pStyle w:val="HChG"/>
      </w:pPr>
      <w:r>
        <w:tab/>
      </w:r>
      <w:r>
        <w:tab/>
      </w:r>
      <w:r w:rsidR="006A493A" w:rsidRPr="00D3399D">
        <w:t xml:space="preserve">Amendment proposal to Annex I to the European Agreement on Main International Traffic Arteries (AGR) </w:t>
      </w:r>
    </w:p>
    <w:p w:rsidR="00C45DCB" w:rsidRPr="00E67D44" w:rsidRDefault="00C45DCB" w:rsidP="00E67D44">
      <w:pPr>
        <w:pStyle w:val="SingleTxtG"/>
      </w:pPr>
      <w:r w:rsidRPr="00E67D44">
        <w:t xml:space="preserve">The Governments of Finland and Norway have proposed to extend E45 from </w:t>
      </w:r>
      <w:proofErr w:type="spellStart"/>
      <w:r w:rsidRPr="00E67D44">
        <w:t>Karesuando</w:t>
      </w:r>
      <w:proofErr w:type="spellEnd"/>
      <w:r w:rsidRPr="00E67D44">
        <w:t xml:space="preserve"> (Sweden) through Finland to Alta (Norway)</w:t>
      </w:r>
    </w:p>
    <w:p w:rsidR="00C45DCB" w:rsidRDefault="00C45DCB" w:rsidP="00E67D44">
      <w:pPr>
        <w:pStyle w:val="SingleTxtG"/>
      </w:pPr>
      <w:r w:rsidRPr="00E67D44">
        <w:t xml:space="preserve">In doing so, they have proposed to amend Annex I to the AGR Agreement as follows (additions </w:t>
      </w:r>
      <w:r w:rsidRPr="001F45E3">
        <w:rPr>
          <w:b/>
        </w:rPr>
        <w:t>in bold</w:t>
      </w:r>
      <w:r>
        <w:t xml:space="preserve">): </w:t>
      </w:r>
    </w:p>
    <w:p w:rsidR="00C45DCB" w:rsidRPr="00E67D44" w:rsidRDefault="00C45DCB" w:rsidP="00E67D44">
      <w:pPr>
        <w:pStyle w:val="SingleTxtG"/>
      </w:pPr>
      <w:r w:rsidRPr="00C45DCB">
        <w:rPr>
          <w:b/>
        </w:rPr>
        <w:t xml:space="preserve">Alta – </w:t>
      </w:r>
      <w:proofErr w:type="spellStart"/>
      <w:r w:rsidRPr="00C45DCB">
        <w:rPr>
          <w:b/>
        </w:rPr>
        <w:t>Kautokeino</w:t>
      </w:r>
      <w:proofErr w:type="spellEnd"/>
      <w:r w:rsidRPr="00C45DCB">
        <w:rPr>
          <w:b/>
        </w:rPr>
        <w:t xml:space="preserve"> – </w:t>
      </w:r>
      <w:proofErr w:type="spellStart"/>
      <w:r w:rsidRPr="00C45DCB">
        <w:rPr>
          <w:b/>
        </w:rPr>
        <w:t>Hetta</w:t>
      </w:r>
      <w:proofErr w:type="spellEnd"/>
      <w:r w:rsidRPr="00C45DCB">
        <w:rPr>
          <w:b/>
        </w:rPr>
        <w:t xml:space="preserve"> – </w:t>
      </w:r>
      <w:proofErr w:type="spellStart"/>
      <w:r w:rsidRPr="00C45DCB">
        <w:rPr>
          <w:b/>
        </w:rPr>
        <w:t>Palojoensuu</w:t>
      </w:r>
      <w:proofErr w:type="spellEnd"/>
      <w:r w:rsidRPr="00C45DCB">
        <w:rPr>
          <w:b/>
        </w:rPr>
        <w:t xml:space="preserve"> – </w:t>
      </w:r>
      <w:proofErr w:type="spellStart"/>
      <w:r w:rsidRPr="00C45DCB">
        <w:rPr>
          <w:b/>
        </w:rPr>
        <w:t>Kaaresuvanto</w:t>
      </w:r>
      <w:proofErr w:type="spellEnd"/>
      <w:r w:rsidRPr="00C45DCB">
        <w:rPr>
          <w:b/>
        </w:rPr>
        <w:t xml:space="preserve"> -</w:t>
      </w:r>
      <w:r>
        <w:t xml:space="preserve"> </w:t>
      </w:r>
      <w:proofErr w:type="spellStart"/>
      <w:r w:rsidRPr="00E67D44">
        <w:t>Karesuando</w:t>
      </w:r>
      <w:proofErr w:type="spellEnd"/>
      <w:r w:rsidRPr="00E67D44">
        <w:t xml:space="preserve"> – </w:t>
      </w:r>
      <w:proofErr w:type="spellStart"/>
      <w:r w:rsidRPr="00E67D44">
        <w:t>Hetta</w:t>
      </w:r>
      <w:proofErr w:type="spellEnd"/>
      <w:r w:rsidRPr="00E67D44">
        <w:t xml:space="preserve"> – </w:t>
      </w:r>
      <w:proofErr w:type="spellStart"/>
      <w:r w:rsidRPr="00E67D44">
        <w:t>Palojoensuu</w:t>
      </w:r>
      <w:proofErr w:type="spellEnd"/>
      <w:r w:rsidRPr="00E67D44">
        <w:t xml:space="preserve"> - </w:t>
      </w:r>
      <w:proofErr w:type="spellStart"/>
      <w:r w:rsidRPr="00E67D44">
        <w:t>Gällivare</w:t>
      </w:r>
      <w:proofErr w:type="spellEnd"/>
      <w:r w:rsidRPr="00E67D44">
        <w:t xml:space="preserve"> – </w:t>
      </w:r>
      <w:proofErr w:type="spellStart"/>
      <w:r w:rsidRPr="00E67D44">
        <w:t>Storuman</w:t>
      </w:r>
      <w:proofErr w:type="spellEnd"/>
      <w:r w:rsidRPr="00E67D44">
        <w:t xml:space="preserve"> – </w:t>
      </w:r>
      <w:proofErr w:type="spellStart"/>
      <w:r w:rsidRPr="00E67D44">
        <w:t>Östersund</w:t>
      </w:r>
      <w:proofErr w:type="spellEnd"/>
      <w:r w:rsidRPr="00E67D44">
        <w:t xml:space="preserve"> – Mora – </w:t>
      </w:r>
      <w:proofErr w:type="spellStart"/>
      <w:r w:rsidRPr="00E67D44">
        <w:t>Grums</w:t>
      </w:r>
      <w:proofErr w:type="spellEnd"/>
      <w:r w:rsidRPr="00E67D44">
        <w:t xml:space="preserve"> – </w:t>
      </w:r>
      <w:proofErr w:type="spellStart"/>
      <w:r w:rsidRPr="00E67D44">
        <w:t>Trollhättan</w:t>
      </w:r>
      <w:proofErr w:type="spellEnd"/>
      <w:r w:rsidRPr="00E67D44">
        <w:t xml:space="preserve"> – </w:t>
      </w:r>
      <w:proofErr w:type="spellStart"/>
      <w:r w:rsidRPr="00E67D44">
        <w:t>Göteborg</w:t>
      </w:r>
      <w:proofErr w:type="spellEnd"/>
      <w:r w:rsidRPr="00E67D44">
        <w:t xml:space="preserve"> </w:t>
      </w:r>
      <w:proofErr w:type="spellStart"/>
      <w:r w:rsidRPr="00E67D44">
        <w:t>Frederikshavn</w:t>
      </w:r>
      <w:proofErr w:type="spellEnd"/>
      <w:r w:rsidRPr="00E67D44">
        <w:t xml:space="preserve"> – Aalborg – </w:t>
      </w:r>
      <w:proofErr w:type="spellStart"/>
      <w:r w:rsidRPr="00E67D44">
        <w:t>Århus</w:t>
      </w:r>
      <w:proofErr w:type="spellEnd"/>
      <w:r w:rsidRPr="00E67D44">
        <w:t xml:space="preserve"> – </w:t>
      </w:r>
      <w:proofErr w:type="spellStart"/>
      <w:r w:rsidRPr="00E67D44">
        <w:t>Vejle</w:t>
      </w:r>
      <w:proofErr w:type="spellEnd"/>
      <w:r w:rsidRPr="00E67D44">
        <w:t xml:space="preserve"> – Kolding – </w:t>
      </w:r>
      <w:proofErr w:type="spellStart"/>
      <w:r w:rsidRPr="00E67D44">
        <w:t>Frøslev</w:t>
      </w:r>
      <w:proofErr w:type="spellEnd"/>
      <w:r w:rsidRPr="00E67D44">
        <w:t xml:space="preserve"> – Flensburg – Hamburg – Hannover – </w:t>
      </w:r>
      <w:proofErr w:type="spellStart"/>
      <w:r w:rsidRPr="00E67D44">
        <w:t>Göttingen</w:t>
      </w:r>
      <w:proofErr w:type="spellEnd"/>
      <w:r w:rsidRPr="00E67D44">
        <w:t xml:space="preserve"> – Kassel – Fulda – </w:t>
      </w:r>
      <w:proofErr w:type="spellStart"/>
      <w:r w:rsidRPr="00E67D44">
        <w:t>Würzburg</w:t>
      </w:r>
      <w:proofErr w:type="spellEnd"/>
      <w:r w:rsidRPr="00E67D44">
        <w:t xml:space="preserve"> – </w:t>
      </w:r>
      <w:proofErr w:type="spellStart"/>
      <w:r w:rsidRPr="00E67D44">
        <w:t>Nürnberg</w:t>
      </w:r>
      <w:proofErr w:type="spellEnd"/>
      <w:r w:rsidRPr="00E67D44">
        <w:t xml:space="preserve"> – </w:t>
      </w:r>
      <w:proofErr w:type="spellStart"/>
      <w:r w:rsidRPr="00E67D44">
        <w:t>München</w:t>
      </w:r>
      <w:proofErr w:type="spellEnd"/>
      <w:r w:rsidRPr="00E67D44">
        <w:t xml:space="preserve"> – Rosenheim – </w:t>
      </w:r>
      <w:proofErr w:type="spellStart"/>
      <w:r w:rsidRPr="00E67D44">
        <w:t>Wörgl</w:t>
      </w:r>
      <w:proofErr w:type="spellEnd"/>
      <w:r w:rsidRPr="00E67D44">
        <w:t xml:space="preserve"> – Innsbruck – </w:t>
      </w:r>
      <w:proofErr w:type="spellStart"/>
      <w:r w:rsidRPr="00E67D44">
        <w:t>Brennerpasset</w:t>
      </w:r>
      <w:proofErr w:type="spellEnd"/>
      <w:r w:rsidRPr="00E67D44">
        <w:t xml:space="preserve"> – </w:t>
      </w:r>
      <w:proofErr w:type="spellStart"/>
      <w:r w:rsidRPr="00E67D44">
        <w:t>Franzenfeste</w:t>
      </w:r>
      <w:proofErr w:type="spellEnd"/>
      <w:r w:rsidRPr="00E67D44">
        <w:t xml:space="preserve"> – Bolzano – Trento – Verona – Modena – Bologna – Cesena – Perugia – </w:t>
      </w:r>
      <w:proofErr w:type="spellStart"/>
      <w:r w:rsidRPr="00E67D44">
        <w:t>Fiano</w:t>
      </w:r>
      <w:proofErr w:type="spellEnd"/>
      <w:r w:rsidRPr="00E67D44">
        <w:t xml:space="preserve"> (Roma) – S. </w:t>
      </w:r>
      <w:proofErr w:type="spellStart"/>
      <w:r w:rsidRPr="00E67D44">
        <w:t>Cesareo</w:t>
      </w:r>
      <w:proofErr w:type="spellEnd"/>
      <w:r w:rsidRPr="00E67D44">
        <w:t xml:space="preserve"> (Roma) – Napoli – Salerno – </w:t>
      </w:r>
      <w:proofErr w:type="spellStart"/>
      <w:r w:rsidRPr="00E67D44">
        <w:t>Sicignano</w:t>
      </w:r>
      <w:proofErr w:type="spellEnd"/>
      <w:r w:rsidRPr="00E67D44">
        <w:t xml:space="preserve"> – Cosenza – Villa S. Giovanni ... Messina – </w:t>
      </w:r>
      <w:proofErr w:type="spellStart"/>
      <w:r w:rsidRPr="00E67D44">
        <w:t>Catània</w:t>
      </w:r>
      <w:proofErr w:type="spellEnd"/>
      <w:r w:rsidRPr="00E67D44">
        <w:t xml:space="preserve"> – </w:t>
      </w:r>
      <w:proofErr w:type="spellStart"/>
      <w:r w:rsidRPr="00E67D44">
        <w:t>Siracusa</w:t>
      </w:r>
      <w:proofErr w:type="spellEnd"/>
      <w:r w:rsidRPr="00E67D44">
        <w:t xml:space="preserve"> – Gela</w:t>
      </w:r>
    </w:p>
    <w:p w:rsidR="00C45DCB" w:rsidRPr="00E67D44" w:rsidRDefault="00C45DCB" w:rsidP="00E67D44">
      <w:pPr>
        <w:pStyle w:val="SingleTxtG"/>
      </w:pPr>
      <w:r w:rsidRPr="00E67D44">
        <w:t>SC.1 adopted this amendment proposal as per Article 8 of the AGR Agreement.</w:t>
      </w:r>
    </w:p>
    <w:p w:rsidR="006541C7" w:rsidRDefault="006541C7" w:rsidP="006A493A">
      <w:pPr>
        <w:suppressAutoHyphens w:val="0"/>
        <w:spacing w:line="240" w:lineRule="auto"/>
      </w:pPr>
      <w:r>
        <w:br w:type="page"/>
      </w:r>
    </w:p>
    <w:p w:rsidR="006541C7" w:rsidRPr="00D3399D" w:rsidRDefault="006541C7" w:rsidP="00D3399D">
      <w:pPr>
        <w:pStyle w:val="HChG"/>
      </w:pPr>
      <w:r>
        <w:lastRenderedPageBreak/>
        <w:tab/>
      </w:r>
      <w:r>
        <w:tab/>
      </w:r>
      <w:r w:rsidRPr="00D3399D">
        <w:t>Annex III</w:t>
      </w:r>
    </w:p>
    <w:p w:rsidR="00C542C7" w:rsidRDefault="00D3399D" w:rsidP="00D3399D">
      <w:pPr>
        <w:pStyle w:val="HChG"/>
      </w:pPr>
      <w:r>
        <w:tab/>
      </w:r>
      <w:r>
        <w:tab/>
        <w:t>SC.1 Resolution to be submitted to the 2017 session of ITC</w:t>
      </w:r>
    </w:p>
    <w:p w:rsidR="00C542C7" w:rsidRDefault="00C542C7" w:rsidP="00C542C7">
      <w:pPr>
        <w:pStyle w:val="SingleTxtG"/>
        <w:rPr>
          <w:b/>
        </w:rPr>
      </w:pPr>
      <w:r>
        <w:rPr>
          <w:b/>
        </w:rPr>
        <w:t>SC.1 Resolution to be submitted to the 2017 session of ITC</w:t>
      </w:r>
    </w:p>
    <w:p w:rsidR="00C542C7" w:rsidRDefault="00C542C7" w:rsidP="00C542C7">
      <w:pPr>
        <w:pStyle w:val="SingleTxtG"/>
        <w:rPr>
          <w:b/>
        </w:rPr>
      </w:pPr>
      <w:r>
        <w:rPr>
          <w:b/>
        </w:rPr>
        <w:t>The UNECE Working Party on Road Transport (SC.1):</w:t>
      </w:r>
    </w:p>
    <w:p w:rsidR="00C542C7" w:rsidRDefault="00C542C7" w:rsidP="00C542C7">
      <w:pPr>
        <w:pStyle w:val="SingleTxtG"/>
      </w:pPr>
      <w:r w:rsidRPr="00A9704B">
        <w:rPr>
          <w:b/>
        </w:rPr>
        <w:t>Commanding</w:t>
      </w:r>
      <w:r>
        <w:t xml:space="preserve"> on the occasion of the 70</w:t>
      </w:r>
      <w:r w:rsidRPr="00A9704B">
        <w:rPr>
          <w:vertAlign w:val="superscript"/>
        </w:rPr>
        <w:t>th</w:t>
      </w:r>
      <w:r>
        <w:t xml:space="preserve"> Anniversary Session of ITC, the work of the ITC, national governments and the UNECE secretariat in striving to develop sustainable road transport;</w:t>
      </w:r>
    </w:p>
    <w:p w:rsidR="00C542C7" w:rsidRPr="00F1062A" w:rsidRDefault="00C542C7" w:rsidP="00C542C7">
      <w:pPr>
        <w:pStyle w:val="SingleTxtG"/>
      </w:pPr>
      <w:r w:rsidRPr="00F1062A">
        <w:rPr>
          <w:b/>
        </w:rPr>
        <w:t>Acknowledg</w:t>
      </w:r>
      <w:r>
        <w:rPr>
          <w:b/>
        </w:rPr>
        <w:t>ing</w:t>
      </w:r>
      <w:r w:rsidRPr="00F1062A">
        <w:t xml:space="preserve"> the importance of the existing U</w:t>
      </w:r>
      <w:r>
        <w:t xml:space="preserve">nited </w:t>
      </w:r>
      <w:r w:rsidRPr="00F1062A">
        <w:t>N</w:t>
      </w:r>
      <w:r>
        <w:t>ations</w:t>
      </w:r>
      <w:r w:rsidRPr="00F1062A">
        <w:t xml:space="preserve"> international legal instruments related to road transport;</w:t>
      </w:r>
    </w:p>
    <w:p w:rsidR="00C542C7" w:rsidRPr="00F1062A" w:rsidRDefault="00C542C7" w:rsidP="00C542C7">
      <w:pPr>
        <w:pStyle w:val="SingleTxtG"/>
      </w:pPr>
      <w:r w:rsidRPr="00F1062A">
        <w:rPr>
          <w:b/>
        </w:rPr>
        <w:t>Recognis</w:t>
      </w:r>
      <w:r>
        <w:rPr>
          <w:b/>
        </w:rPr>
        <w:t>ing</w:t>
      </w:r>
      <w:r w:rsidRPr="00F1062A">
        <w:rPr>
          <w:b/>
        </w:rPr>
        <w:t xml:space="preserve"> </w:t>
      </w:r>
      <w:r w:rsidRPr="00251492">
        <w:t>t</w:t>
      </w:r>
      <w:r w:rsidRPr="00F1062A">
        <w:t>he role of road transport as a producti</w:t>
      </w:r>
      <w:r>
        <w:t>ve</w:t>
      </w:r>
      <w:r w:rsidRPr="00F1062A">
        <w:t xml:space="preserve"> tool in the globalised economy and as an enabler of the U</w:t>
      </w:r>
      <w:r>
        <w:t xml:space="preserve">nited </w:t>
      </w:r>
      <w:r w:rsidRPr="00F1062A">
        <w:t>N</w:t>
      </w:r>
      <w:r>
        <w:t>ations</w:t>
      </w:r>
      <w:r w:rsidRPr="00F1062A">
        <w:t xml:space="preserve"> Sustainable Development Goals;</w:t>
      </w:r>
    </w:p>
    <w:p w:rsidR="00C542C7" w:rsidRPr="00F1062A" w:rsidRDefault="00C542C7" w:rsidP="00C542C7">
      <w:pPr>
        <w:pStyle w:val="SingleTxtG"/>
      </w:pPr>
      <w:r w:rsidRPr="00F1062A">
        <w:rPr>
          <w:b/>
        </w:rPr>
        <w:t>Tak</w:t>
      </w:r>
      <w:r>
        <w:rPr>
          <w:b/>
        </w:rPr>
        <w:t>ing</w:t>
      </w:r>
      <w:r w:rsidRPr="00F1062A">
        <w:rPr>
          <w:b/>
        </w:rPr>
        <w:t xml:space="preserve"> note</w:t>
      </w:r>
      <w:r w:rsidRPr="00F1062A">
        <w:t xml:space="preserve"> of </w:t>
      </w:r>
      <w:r>
        <w:t>the</w:t>
      </w:r>
      <w:r w:rsidRPr="00F1062A">
        <w:t xml:space="preserve"> ongoing </w:t>
      </w:r>
      <w:r>
        <w:t>efforts</w:t>
      </w:r>
      <w:r w:rsidRPr="00F1062A">
        <w:t xml:space="preserve"> </w:t>
      </w:r>
      <w:r>
        <w:t xml:space="preserve">and activities </w:t>
      </w:r>
      <w:r w:rsidRPr="00F1062A">
        <w:t>to facilitate international road transport for passengers and goods</w:t>
      </w:r>
      <w:r>
        <w:t xml:space="preserve"> by improving international road transport legal framework</w:t>
      </w:r>
      <w:r w:rsidRPr="00F1062A">
        <w:t>;</w:t>
      </w:r>
    </w:p>
    <w:p w:rsidR="00C542C7" w:rsidRDefault="00C542C7" w:rsidP="00C542C7">
      <w:pPr>
        <w:pStyle w:val="SingleTxtG"/>
      </w:pPr>
      <w:r w:rsidRPr="00F1062A">
        <w:rPr>
          <w:b/>
        </w:rPr>
        <w:t>Recognis</w:t>
      </w:r>
      <w:r>
        <w:rPr>
          <w:b/>
        </w:rPr>
        <w:t>ing</w:t>
      </w:r>
      <w:r w:rsidRPr="00F1062A">
        <w:t xml:space="preserve"> the continuous update</w:t>
      </w:r>
      <w:r>
        <w:t>s</w:t>
      </w:r>
      <w:r w:rsidRPr="00F1062A">
        <w:t xml:space="preserve"> </w:t>
      </w:r>
      <w:r>
        <w:t xml:space="preserve">of </w:t>
      </w:r>
      <w:r w:rsidRPr="00F1062A">
        <w:t>the European Agreement concerning the Work of Crews of Vehicles Engaged in International Road Transport (AETR)</w:t>
      </w:r>
      <w:r>
        <w:t xml:space="preserve"> which offers the state of the art, an internationally-harmonized system to improve road safety, ensure fair competition and enhance social conditions of professional drivers;</w:t>
      </w:r>
    </w:p>
    <w:p w:rsidR="00C542C7" w:rsidRPr="00A9704B" w:rsidRDefault="00C542C7" w:rsidP="00C542C7">
      <w:pPr>
        <w:pStyle w:val="SingleTxtG"/>
        <w:rPr>
          <w:b/>
        </w:rPr>
      </w:pPr>
      <w:r w:rsidRPr="00CD5F32">
        <w:rPr>
          <w:b/>
          <w:bCs/>
        </w:rPr>
        <w:t>Welcoming</w:t>
      </w:r>
      <w:r w:rsidRPr="00A9704B">
        <w:rPr>
          <w:bCs/>
        </w:rPr>
        <w:t xml:space="preserve"> the opening of the AETR Agreement for accession to Algeria, Jordan, Morocco and Tunisia as a first step towards </w:t>
      </w:r>
      <w:r>
        <w:rPr>
          <w:bCs/>
        </w:rPr>
        <w:t xml:space="preserve">promoting the AETR Agreement as a suitable internationally-harmonized system of driving times and rest periods </w:t>
      </w:r>
      <w:r w:rsidRPr="00A9704B">
        <w:rPr>
          <w:bCs/>
        </w:rPr>
        <w:t xml:space="preserve">beyond </w:t>
      </w:r>
      <w:r>
        <w:rPr>
          <w:bCs/>
        </w:rPr>
        <w:t xml:space="preserve">the </w:t>
      </w:r>
      <w:r w:rsidRPr="00A9704B">
        <w:rPr>
          <w:bCs/>
        </w:rPr>
        <w:t>UNECE region</w:t>
      </w:r>
      <w:r>
        <w:rPr>
          <w:b/>
        </w:rPr>
        <w:t>;</w:t>
      </w:r>
    </w:p>
    <w:p w:rsidR="00C542C7" w:rsidRPr="00F1062A" w:rsidRDefault="00C542C7" w:rsidP="00C542C7">
      <w:pPr>
        <w:pStyle w:val="SingleTxtG"/>
      </w:pPr>
      <w:r w:rsidRPr="00F1062A">
        <w:rPr>
          <w:b/>
        </w:rPr>
        <w:t>Welcom</w:t>
      </w:r>
      <w:r>
        <w:rPr>
          <w:b/>
        </w:rPr>
        <w:t>ing</w:t>
      </w:r>
      <w:r w:rsidRPr="00F1062A">
        <w:t xml:space="preserve"> the work on the European Agreement on Main International Traffic Arteries (AGR) and the Trans-European-Motorway (TEM) Project</w:t>
      </w:r>
      <w:r>
        <w:t xml:space="preserve">, which continue to offer coordinated plans for the construction and development of roads of international importance in the UNECE </w:t>
      </w:r>
      <w:proofErr w:type="gramStart"/>
      <w:r>
        <w:t>region</w:t>
      </w:r>
      <w:r w:rsidRPr="00F1062A">
        <w:t>;</w:t>
      </w:r>
      <w:proofErr w:type="gramEnd"/>
    </w:p>
    <w:p w:rsidR="00C542C7" w:rsidRPr="00F1062A" w:rsidRDefault="00C542C7" w:rsidP="00C542C7">
      <w:pPr>
        <w:pStyle w:val="SingleTxtG"/>
      </w:pPr>
      <w:r w:rsidRPr="00F1062A">
        <w:rPr>
          <w:b/>
        </w:rPr>
        <w:t>Underlin</w:t>
      </w:r>
      <w:r>
        <w:rPr>
          <w:b/>
        </w:rPr>
        <w:t>ing</w:t>
      </w:r>
      <w:r w:rsidRPr="00F1062A">
        <w:rPr>
          <w:b/>
        </w:rPr>
        <w:t xml:space="preserve"> </w:t>
      </w:r>
      <w:r w:rsidRPr="00F1062A">
        <w:t>the importance of the Convention on the Contract for the International Carriage of Goods by Road (CMR) and the additional Protocol to the CMR concerning the Electronic Consignment Note to facilitate international road transport</w:t>
      </w:r>
      <w:r>
        <w:t xml:space="preserve"> by providing harmonized contract conditions as well as the foundation for developing an electronic consignment note</w:t>
      </w:r>
      <w:r w:rsidRPr="00F1062A">
        <w:t>;</w:t>
      </w:r>
    </w:p>
    <w:p w:rsidR="00C542C7" w:rsidRPr="00F1062A" w:rsidRDefault="00C542C7" w:rsidP="00C542C7">
      <w:pPr>
        <w:pStyle w:val="SingleTxtG"/>
      </w:pPr>
      <w:r>
        <w:rPr>
          <w:b/>
        </w:rPr>
        <w:t>Welcoming</w:t>
      </w:r>
      <w:r w:rsidRPr="00F1062A">
        <w:rPr>
          <w:b/>
        </w:rPr>
        <w:t xml:space="preserve"> </w:t>
      </w:r>
      <w:r w:rsidRPr="00F1062A">
        <w:t xml:space="preserve">the improvement of professionalism in the road transport industry through training programmes provided by national training institutes </w:t>
      </w:r>
      <w:r>
        <w:t xml:space="preserve">taking into account the best practice provided by </w:t>
      </w:r>
      <w:r w:rsidRPr="00F1062A">
        <w:t xml:space="preserve">the IRU Academy; </w:t>
      </w:r>
    </w:p>
    <w:p w:rsidR="00C542C7" w:rsidRPr="000E4F79" w:rsidRDefault="00C542C7" w:rsidP="00C542C7">
      <w:pPr>
        <w:pStyle w:val="SingleTxtG"/>
        <w:rPr>
          <w:b/>
        </w:rPr>
      </w:pPr>
      <w:r w:rsidRPr="000E4F79">
        <w:rPr>
          <w:b/>
          <w:lang w:val="en-US"/>
        </w:rPr>
        <w:t>Noting</w:t>
      </w:r>
      <w:r w:rsidRPr="000E4F79">
        <w:rPr>
          <w:lang w:val="en-US"/>
        </w:rPr>
        <w:t xml:space="preserve"> the significant impact that shared binding </w:t>
      </w:r>
      <w:r>
        <w:rPr>
          <w:lang w:val="en-US"/>
        </w:rPr>
        <w:t xml:space="preserve">international </w:t>
      </w:r>
      <w:r w:rsidRPr="000E4F79">
        <w:rPr>
          <w:lang w:val="en-US"/>
        </w:rPr>
        <w:t>principles and harmonized guidelines have for the development of sustainable road transport</w:t>
      </w:r>
      <w:r>
        <w:rPr>
          <w:lang w:val="en-US"/>
        </w:rPr>
        <w:t>, SC.1</w:t>
      </w:r>
      <w:r w:rsidRPr="000E4F79">
        <w:rPr>
          <w:lang w:val="en-US"/>
        </w:rPr>
        <w:t>:</w:t>
      </w:r>
    </w:p>
    <w:p w:rsidR="00C542C7" w:rsidRPr="00F1062A" w:rsidRDefault="00C542C7" w:rsidP="00C542C7">
      <w:pPr>
        <w:pStyle w:val="SingleTxtG"/>
        <w:numPr>
          <w:ilvl w:val="0"/>
          <w:numId w:val="16"/>
        </w:numPr>
      </w:pPr>
      <w:r>
        <w:rPr>
          <w:b/>
        </w:rPr>
        <w:t xml:space="preserve">Commits </w:t>
      </w:r>
      <w:r w:rsidRPr="00CD5F32">
        <w:t>to the</w:t>
      </w:r>
      <w:r w:rsidRPr="00F1062A">
        <w:rPr>
          <w:b/>
        </w:rPr>
        <w:t xml:space="preserve"> </w:t>
      </w:r>
      <w:r w:rsidRPr="00F1062A">
        <w:t xml:space="preserve">effective implementation and geographical expansion of the AETR Agreement and particularly </w:t>
      </w:r>
      <w:r>
        <w:t>to the use of the AETR-consistent control device for enforcing driving times and rest periods of professional drivers</w:t>
      </w:r>
      <w:r w:rsidRPr="00F1062A">
        <w:t>;</w:t>
      </w:r>
    </w:p>
    <w:p w:rsidR="00C542C7" w:rsidRDefault="00C542C7" w:rsidP="00C542C7">
      <w:pPr>
        <w:pStyle w:val="SingleTxtG"/>
        <w:numPr>
          <w:ilvl w:val="0"/>
          <w:numId w:val="16"/>
        </w:numPr>
      </w:pPr>
      <w:r>
        <w:rPr>
          <w:b/>
        </w:rPr>
        <w:t xml:space="preserve">Reaffirms </w:t>
      </w:r>
      <w:r w:rsidRPr="005D6DA7">
        <w:rPr>
          <w:bCs/>
        </w:rPr>
        <w:t>its role</w:t>
      </w:r>
      <w:r>
        <w:rPr>
          <w:b/>
        </w:rPr>
        <w:t xml:space="preserve"> </w:t>
      </w:r>
      <w:r w:rsidRPr="00CD5F32">
        <w:t>in promoting</w:t>
      </w:r>
      <w:r>
        <w:rPr>
          <w:b/>
        </w:rPr>
        <w:t xml:space="preserve"> </w:t>
      </w:r>
      <w:r w:rsidRPr="00F1062A">
        <w:t>AGR standards which have the purpose of enhancing regional integration, economic development, social inclusiveness and the decarbonisation of transport;</w:t>
      </w:r>
    </w:p>
    <w:p w:rsidR="00C542C7" w:rsidRDefault="00C542C7" w:rsidP="00C542C7">
      <w:pPr>
        <w:pStyle w:val="SingleTxtG"/>
        <w:numPr>
          <w:ilvl w:val="0"/>
          <w:numId w:val="16"/>
        </w:numPr>
      </w:pPr>
      <w:r w:rsidRPr="00F1062A">
        <w:rPr>
          <w:b/>
        </w:rPr>
        <w:t>Encourage</w:t>
      </w:r>
      <w:r>
        <w:rPr>
          <w:b/>
        </w:rPr>
        <w:t>s</w:t>
      </w:r>
      <w:r w:rsidRPr="00F1062A">
        <w:t xml:space="preserve"> </w:t>
      </w:r>
      <w:r>
        <w:t xml:space="preserve">the international community to work towards </w:t>
      </w:r>
      <w:r w:rsidRPr="00F1062A">
        <w:t xml:space="preserve">further developments </w:t>
      </w:r>
      <w:r>
        <w:t>for</w:t>
      </w:r>
      <w:r w:rsidRPr="00F1062A">
        <w:t xml:space="preserve"> paperless cross border trade</w:t>
      </w:r>
      <w:r>
        <w:t xml:space="preserve"> and facilitation of sustainable road transport services</w:t>
      </w:r>
      <w:r w:rsidRPr="00F1062A">
        <w:t>;</w:t>
      </w:r>
    </w:p>
    <w:p w:rsidR="00C542C7" w:rsidRDefault="00C542C7" w:rsidP="00C542C7">
      <w:pPr>
        <w:pStyle w:val="SingleTxtG"/>
        <w:numPr>
          <w:ilvl w:val="0"/>
          <w:numId w:val="16"/>
        </w:numPr>
      </w:pPr>
      <w:r w:rsidRPr="00F1062A">
        <w:rPr>
          <w:b/>
        </w:rPr>
        <w:lastRenderedPageBreak/>
        <w:t>Invite</w:t>
      </w:r>
      <w:r>
        <w:rPr>
          <w:b/>
        </w:rPr>
        <w:t>s</w:t>
      </w:r>
      <w:r w:rsidRPr="00F1062A">
        <w:t xml:space="preserve"> governments to </w:t>
      </w:r>
      <w:r>
        <w:t>accede</w:t>
      </w:r>
      <w:r w:rsidRPr="00F1062A">
        <w:t xml:space="preserve"> to and support operationalising the </w:t>
      </w:r>
      <w:r>
        <w:t>A</w:t>
      </w:r>
      <w:r w:rsidRPr="00F1062A">
        <w:t>dditional Protocol to the CMR concerning the Electronic Consignment Note;</w:t>
      </w:r>
    </w:p>
    <w:p w:rsidR="00C542C7" w:rsidRDefault="00C542C7" w:rsidP="00C542C7">
      <w:pPr>
        <w:pStyle w:val="SingleTxtG"/>
        <w:numPr>
          <w:ilvl w:val="0"/>
          <w:numId w:val="16"/>
        </w:numPr>
      </w:pPr>
      <w:r w:rsidRPr="00F1062A">
        <w:rPr>
          <w:b/>
        </w:rPr>
        <w:t>Invite</w:t>
      </w:r>
      <w:r>
        <w:rPr>
          <w:b/>
        </w:rPr>
        <w:t>s</w:t>
      </w:r>
      <w:r w:rsidRPr="00F1062A">
        <w:t xml:space="preserve"> governments to accede </w:t>
      </w:r>
      <w:r>
        <w:t xml:space="preserve">to </w:t>
      </w:r>
      <w:r w:rsidRPr="00F1062A">
        <w:t>and fully implement tried and test</w:t>
      </w:r>
      <w:r>
        <w:t>ed</w:t>
      </w:r>
      <w:r w:rsidRPr="00F1062A">
        <w:t xml:space="preserve"> U</w:t>
      </w:r>
      <w:r>
        <w:t xml:space="preserve">nited </w:t>
      </w:r>
      <w:r w:rsidRPr="00F1062A">
        <w:t>N</w:t>
      </w:r>
      <w:r>
        <w:t>ations</w:t>
      </w:r>
      <w:r w:rsidRPr="00F1062A">
        <w:t xml:space="preserve"> Conventions that facilitate </w:t>
      </w:r>
      <w:r>
        <w:t xml:space="preserve">sustainable </w:t>
      </w:r>
      <w:r w:rsidRPr="00F1062A">
        <w:t xml:space="preserve">transport and thus </w:t>
      </w:r>
      <w:r>
        <w:t xml:space="preserve">international </w:t>
      </w:r>
      <w:r w:rsidRPr="00F1062A">
        <w:t>trade;</w:t>
      </w:r>
    </w:p>
    <w:p w:rsidR="00C542C7" w:rsidRPr="009F4CCF" w:rsidRDefault="00C542C7" w:rsidP="00C542C7">
      <w:pPr>
        <w:pStyle w:val="SingleTxtG"/>
        <w:numPr>
          <w:ilvl w:val="0"/>
          <w:numId w:val="16"/>
        </w:numPr>
      </w:pPr>
      <w:r w:rsidRPr="009F4CCF">
        <w:rPr>
          <w:b/>
        </w:rPr>
        <w:t xml:space="preserve">Endeavours </w:t>
      </w:r>
      <w:r w:rsidRPr="00E3762F">
        <w:t>to</w:t>
      </w:r>
      <w:r w:rsidRPr="009F4CCF">
        <w:rPr>
          <w:b/>
        </w:rPr>
        <w:t xml:space="preserve"> </w:t>
      </w:r>
      <w:r w:rsidRPr="00F1062A">
        <w:t>develop</w:t>
      </w:r>
      <w:r>
        <w:t>, if deemed necessary,</w:t>
      </w:r>
      <w:r w:rsidRPr="00F1062A">
        <w:t xml:space="preserve"> new </w:t>
      </w:r>
      <w:r>
        <w:t xml:space="preserve">United Nations legal instruments </w:t>
      </w:r>
      <w:r w:rsidRPr="00F1062A">
        <w:t xml:space="preserve">relevant to </w:t>
      </w:r>
      <w:r>
        <w:t xml:space="preserve">sustainable </w:t>
      </w:r>
      <w:r w:rsidRPr="00F1062A">
        <w:t>international transport facilitation of passengers and goods.</w:t>
      </w:r>
    </w:p>
    <w:p w:rsidR="00C542C7" w:rsidRPr="008D51D9" w:rsidRDefault="008D51D9" w:rsidP="008D51D9">
      <w:pPr>
        <w:spacing w:before="240"/>
        <w:ind w:left="1134" w:right="1134"/>
        <w:jc w:val="center"/>
        <w:rPr>
          <w:u w:val="single"/>
        </w:rPr>
      </w:pPr>
      <w:r>
        <w:rPr>
          <w:u w:val="single"/>
        </w:rPr>
        <w:tab/>
      </w:r>
      <w:r>
        <w:rPr>
          <w:u w:val="single"/>
        </w:rPr>
        <w:tab/>
      </w:r>
      <w:r>
        <w:rPr>
          <w:u w:val="single"/>
        </w:rPr>
        <w:tab/>
      </w:r>
    </w:p>
    <w:sectPr w:rsidR="00C542C7" w:rsidRPr="008D51D9" w:rsidSect="009B0BE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EC" w:rsidRDefault="009B0BEC"/>
  </w:endnote>
  <w:endnote w:type="continuationSeparator" w:id="0">
    <w:p w:rsidR="009B0BEC" w:rsidRDefault="009B0BEC"/>
  </w:endnote>
  <w:endnote w:type="continuationNotice" w:id="1">
    <w:p w:rsidR="009B0BEC" w:rsidRDefault="009B0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EC" w:rsidRPr="009B0BEC" w:rsidRDefault="009B0BEC" w:rsidP="009B0BEC">
    <w:pPr>
      <w:pStyle w:val="Footer"/>
      <w:tabs>
        <w:tab w:val="right" w:pos="9638"/>
      </w:tabs>
      <w:rPr>
        <w:sz w:val="18"/>
      </w:rPr>
    </w:pPr>
    <w:r w:rsidRPr="009B0BEC">
      <w:rPr>
        <w:b/>
        <w:sz w:val="18"/>
      </w:rPr>
      <w:fldChar w:fldCharType="begin"/>
    </w:r>
    <w:r w:rsidRPr="009B0BEC">
      <w:rPr>
        <w:b/>
        <w:sz w:val="18"/>
      </w:rPr>
      <w:instrText xml:space="preserve"> PAGE  \* MERGEFORMAT </w:instrText>
    </w:r>
    <w:r w:rsidRPr="009B0BEC">
      <w:rPr>
        <w:b/>
        <w:sz w:val="18"/>
      </w:rPr>
      <w:fldChar w:fldCharType="separate"/>
    </w:r>
    <w:r w:rsidR="00E73F49">
      <w:rPr>
        <w:b/>
        <w:noProof/>
        <w:sz w:val="18"/>
      </w:rPr>
      <w:t>8</w:t>
    </w:r>
    <w:r w:rsidRPr="009B0BE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EC" w:rsidRPr="009B0BEC" w:rsidRDefault="009B0BEC" w:rsidP="009B0BEC">
    <w:pPr>
      <w:pStyle w:val="Footer"/>
      <w:tabs>
        <w:tab w:val="right" w:pos="9638"/>
      </w:tabs>
      <w:rPr>
        <w:b/>
        <w:sz w:val="18"/>
      </w:rPr>
    </w:pPr>
    <w:r>
      <w:tab/>
    </w:r>
    <w:r w:rsidRPr="009B0BEC">
      <w:rPr>
        <w:b/>
        <w:sz w:val="18"/>
      </w:rPr>
      <w:fldChar w:fldCharType="begin"/>
    </w:r>
    <w:r w:rsidRPr="009B0BEC">
      <w:rPr>
        <w:b/>
        <w:sz w:val="18"/>
      </w:rPr>
      <w:instrText xml:space="preserve"> PAGE  \* MERGEFORMAT </w:instrText>
    </w:r>
    <w:r w:rsidRPr="009B0BEC">
      <w:rPr>
        <w:b/>
        <w:sz w:val="18"/>
      </w:rPr>
      <w:fldChar w:fldCharType="separate"/>
    </w:r>
    <w:r w:rsidR="00E73F49">
      <w:rPr>
        <w:b/>
        <w:noProof/>
        <w:sz w:val="18"/>
      </w:rPr>
      <w:t>7</w:t>
    </w:r>
    <w:r w:rsidRPr="009B0BE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EC" w:rsidRPr="000B175B" w:rsidRDefault="009B0BEC" w:rsidP="000B175B">
      <w:pPr>
        <w:tabs>
          <w:tab w:val="right" w:pos="2155"/>
        </w:tabs>
        <w:spacing w:after="80"/>
        <w:ind w:left="680"/>
        <w:rPr>
          <w:u w:val="single"/>
        </w:rPr>
      </w:pPr>
      <w:r>
        <w:rPr>
          <w:u w:val="single"/>
        </w:rPr>
        <w:tab/>
      </w:r>
    </w:p>
  </w:footnote>
  <w:footnote w:type="continuationSeparator" w:id="0">
    <w:p w:rsidR="009B0BEC" w:rsidRPr="00FC68B7" w:rsidRDefault="009B0BEC" w:rsidP="00FC68B7">
      <w:pPr>
        <w:tabs>
          <w:tab w:val="left" w:pos="2155"/>
        </w:tabs>
        <w:spacing w:after="80"/>
        <w:ind w:left="680"/>
        <w:rPr>
          <w:u w:val="single"/>
        </w:rPr>
      </w:pPr>
      <w:r>
        <w:rPr>
          <w:u w:val="single"/>
        </w:rPr>
        <w:tab/>
      </w:r>
    </w:p>
  </w:footnote>
  <w:footnote w:type="continuationNotice" w:id="1">
    <w:p w:rsidR="009B0BEC" w:rsidRDefault="009B0B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EC" w:rsidRPr="009B0BEC" w:rsidRDefault="009B0BEC">
    <w:pPr>
      <w:pStyle w:val="Header"/>
    </w:pPr>
    <w:r>
      <w:t>ECE/TRANS/SC.1/406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EC" w:rsidRPr="009B0BEC" w:rsidRDefault="009B0BEC" w:rsidP="009B0BEC">
    <w:pPr>
      <w:pStyle w:val="Header"/>
      <w:jc w:val="right"/>
    </w:pPr>
    <w:r>
      <w:t>ECE/TRANS/SC.1/406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C56122"/>
    <w:multiLevelType w:val="hybridMultilevel"/>
    <w:tmpl w:val="31D4F170"/>
    <w:lvl w:ilvl="0" w:tplc="3D2E9AE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1"/>
    <w:rsid w:val="000135D2"/>
    <w:rsid w:val="00046B1F"/>
    <w:rsid w:val="00050F6B"/>
    <w:rsid w:val="00057E97"/>
    <w:rsid w:val="00060A47"/>
    <w:rsid w:val="000646F4"/>
    <w:rsid w:val="0007064F"/>
    <w:rsid w:val="00072C8C"/>
    <w:rsid w:val="000733B5"/>
    <w:rsid w:val="0007348D"/>
    <w:rsid w:val="00081815"/>
    <w:rsid w:val="000931C0"/>
    <w:rsid w:val="000A2561"/>
    <w:rsid w:val="000B0595"/>
    <w:rsid w:val="000B175B"/>
    <w:rsid w:val="000B3A0F"/>
    <w:rsid w:val="000B4EF7"/>
    <w:rsid w:val="000B5515"/>
    <w:rsid w:val="000C2C03"/>
    <w:rsid w:val="000C2D2E"/>
    <w:rsid w:val="000C6141"/>
    <w:rsid w:val="000E0415"/>
    <w:rsid w:val="001103AA"/>
    <w:rsid w:val="0011666B"/>
    <w:rsid w:val="001359D7"/>
    <w:rsid w:val="0014334A"/>
    <w:rsid w:val="00165F3A"/>
    <w:rsid w:val="00187D10"/>
    <w:rsid w:val="001A0F34"/>
    <w:rsid w:val="001A499E"/>
    <w:rsid w:val="001B4B04"/>
    <w:rsid w:val="001B56FD"/>
    <w:rsid w:val="001C52D7"/>
    <w:rsid w:val="001C6663"/>
    <w:rsid w:val="001C7895"/>
    <w:rsid w:val="001D0C8C"/>
    <w:rsid w:val="001D1419"/>
    <w:rsid w:val="001D26DF"/>
    <w:rsid w:val="001D3A03"/>
    <w:rsid w:val="001E783A"/>
    <w:rsid w:val="001E7B67"/>
    <w:rsid w:val="001F21E3"/>
    <w:rsid w:val="001F45E3"/>
    <w:rsid w:val="00202DA8"/>
    <w:rsid w:val="00210C5D"/>
    <w:rsid w:val="00211E0B"/>
    <w:rsid w:val="0024220E"/>
    <w:rsid w:val="00244C96"/>
    <w:rsid w:val="0024772E"/>
    <w:rsid w:val="00267F5F"/>
    <w:rsid w:val="00286B4D"/>
    <w:rsid w:val="002A39AD"/>
    <w:rsid w:val="002B5EFF"/>
    <w:rsid w:val="002D4643"/>
    <w:rsid w:val="002F0120"/>
    <w:rsid w:val="002F175C"/>
    <w:rsid w:val="00302E18"/>
    <w:rsid w:val="003229D8"/>
    <w:rsid w:val="0032325C"/>
    <w:rsid w:val="00352709"/>
    <w:rsid w:val="003619B5"/>
    <w:rsid w:val="00365763"/>
    <w:rsid w:val="00371178"/>
    <w:rsid w:val="00392E47"/>
    <w:rsid w:val="003A6810"/>
    <w:rsid w:val="003B1C0B"/>
    <w:rsid w:val="003C2CC4"/>
    <w:rsid w:val="003D1847"/>
    <w:rsid w:val="003D4B23"/>
    <w:rsid w:val="003D5025"/>
    <w:rsid w:val="003E130E"/>
    <w:rsid w:val="003F2CCF"/>
    <w:rsid w:val="00410C89"/>
    <w:rsid w:val="00422E03"/>
    <w:rsid w:val="00426B9B"/>
    <w:rsid w:val="004325CB"/>
    <w:rsid w:val="00442A83"/>
    <w:rsid w:val="0045495B"/>
    <w:rsid w:val="004561E5"/>
    <w:rsid w:val="00461AE0"/>
    <w:rsid w:val="004702B4"/>
    <w:rsid w:val="0048397A"/>
    <w:rsid w:val="00485CBB"/>
    <w:rsid w:val="004866B7"/>
    <w:rsid w:val="004B1E63"/>
    <w:rsid w:val="004C2461"/>
    <w:rsid w:val="004C7462"/>
    <w:rsid w:val="004D1A89"/>
    <w:rsid w:val="004E77B2"/>
    <w:rsid w:val="004F5B7C"/>
    <w:rsid w:val="00504B2D"/>
    <w:rsid w:val="00504E0B"/>
    <w:rsid w:val="005132D2"/>
    <w:rsid w:val="0052136D"/>
    <w:rsid w:val="00521A9B"/>
    <w:rsid w:val="0052775E"/>
    <w:rsid w:val="00533802"/>
    <w:rsid w:val="005420F2"/>
    <w:rsid w:val="00551BE5"/>
    <w:rsid w:val="005628B6"/>
    <w:rsid w:val="00586F24"/>
    <w:rsid w:val="00592635"/>
    <w:rsid w:val="005941EC"/>
    <w:rsid w:val="0059724D"/>
    <w:rsid w:val="005B3DB3"/>
    <w:rsid w:val="005B4E13"/>
    <w:rsid w:val="005C342F"/>
    <w:rsid w:val="005C4CF0"/>
    <w:rsid w:val="005D62BF"/>
    <w:rsid w:val="005E650A"/>
    <w:rsid w:val="005F4C81"/>
    <w:rsid w:val="005F7B75"/>
    <w:rsid w:val="006001EE"/>
    <w:rsid w:val="00605042"/>
    <w:rsid w:val="00611FC4"/>
    <w:rsid w:val="006176FB"/>
    <w:rsid w:val="00640B26"/>
    <w:rsid w:val="00652D0A"/>
    <w:rsid w:val="006541C7"/>
    <w:rsid w:val="00662BB6"/>
    <w:rsid w:val="00676606"/>
    <w:rsid w:val="00684C21"/>
    <w:rsid w:val="00692BE4"/>
    <w:rsid w:val="006A1E60"/>
    <w:rsid w:val="006A2530"/>
    <w:rsid w:val="006A493A"/>
    <w:rsid w:val="006C2AC4"/>
    <w:rsid w:val="006C3589"/>
    <w:rsid w:val="006C5013"/>
    <w:rsid w:val="006D1465"/>
    <w:rsid w:val="006D37AF"/>
    <w:rsid w:val="006D51D0"/>
    <w:rsid w:val="006D5FB9"/>
    <w:rsid w:val="006D709B"/>
    <w:rsid w:val="006E564B"/>
    <w:rsid w:val="006E7191"/>
    <w:rsid w:val="006F05EA"/>
    <w:rsid w:val="00703577"/>
    <w:rsid w:val="007048FD"/>
    <w:rsid w:val="00705894"/>
    <w:rsid w:val="00717BCE"/>
    <w:rsid w:val="0072632A"/>
    <w:rsid w:val="00726728"/>
    <w:rsid w:val="007327D5"/>
    <w:rsid w:val="0073299C"/>
    <w:rsid w:val="00747C27"/>
    <w:rsid w:val="007629C8"/>
    <w:rsid w:val="007629DD"/>
    <w:rsid w:val="0077047D"/>
    <w:rsid w:val="007B6BA5"/>
    <w:rsid w:val="007C3390"/>
    <w:rsid w:val="007C4F4B"/>
    <w:rsid w:val="007E01E9"/>
    <w:rsid w:val="007E63F3"/>
    <w:rsid w:val="007F51F2"/>
    <w:rsid w:val="007F6611"/>
    <w:rsid w:val="00811060"/>
    <w:rsid w:val="00811920"/>
    <w:rsid w:val="00814C9B"/>
    <w:rsid w:val="00815AD0"/>
    <w:rsid w:val="008242D7"/>
    <w:rsid w:val="008257B1"/>
    <w:rsid w:val="00832334"/>
    <w:rsid w:val="00843767"/>
    <w:rsid w:val="0086407C"/>
    <w:rsid w:val="008679D9"/>
    <w:rsid w:val="00880E04"/>
    <w:rsid w:val="008878DE"/>
    <w:rsid w:val="008979B1"/>
    <w:rsid w:val="008A6B25"/>
    <w:rsid w:val="008A6C4F"/>
    <w:rsid w:val="008B2335"/>
    <w:rsid w:val="008C4401"/>
    <w:rsid w:val="008D51D9"/>
    <w:rsid w:val="008E0678"/>
    <w:rsid w:val="008F31D2"/>
    <w:rsid w:val="008F4881"/>
    <w:rsid w:val="00917FDE"/>
    <w:rsid w:val="009223CA"/>
    <w:rsid w:val="00932B15"/>
    <w:rsid w:val="00940F93"/>
    <w:rsid w:val="00970333"/>
    <w:rsid w:val="009760F3"/>
    <w:rsid w:val="00976CFB"/>
    <w:rsid w:val="009A0830"/>
    <w:rsid w:val="009A0E8D"/>
    <w:rsid w:val="009B0BEC"/>
    <w:rsid w:val="009B26E7"/>
    <w:rsid w:val="009D5DF4"/>
    <w:rsid w:val="009E49E7"/>
    <w:rsid w:val="009E66E2"/>
    <w:rsid w:val="00A00697"/>
    <w:rsid w:val="00A00A3F"/>
    <w:rsid w:val="00A01489"/>
    <w:rsid w:val="00A128F7"/>
    <w:rsid w:val="00A3026E"/>
    <w:rsid w:val="00A3234C"/>
    <w:rsid w:val="00A338F1"/>
    <w:rsid w:val="00A35BE0"/>
    <w:rsid w:val="00A37673"/>
    <w:rsid w:val="00A55467"/>
    <w:rsid w:val="00A6129C"/>
    <w:rsid w:val="00A72F22"/>
    <w:rsid w:val="00A7360F"/>
    <w:rsid w:val="00A748A6"/>
    <w:rsid w:val="00A769F4"/>
    <w:rsid w:val="00A776B4"/>
    <w:rsid w:val="00A833D8"/>
    <w:rsid w:val="00A94361"/>
    <w:rsid w:val="00AA293C"/>
    <w:rsid w:val="00AA444C"/>
    <w:rsid w:val="00AB411F"/>
    <w:rsid w:val="00AE18FB"/>
    <w:rsid w:val="00B30179"/>
    <w:rsid w:val="00B310D9"/>
    <w:rsid w:val="00B421C1"/>
    <w:rsid w:val="00B42778"/>
    <w:rsid w:val="00B55C71"/>
    <w:rsid w:val="00B56E4A"/>
    <w:rsid w:val="00B56E9C"/>
    <w:rsid w:val="00B64B1F"/>
    <w:rsid w:val="00B6553F"/>
    <w:rsid w:val="00B71847"/>
    <w:rsid w:val="00B77D05"/>
    <w:rsid w:val="00B81206"/>
    <w:rsid w:val="00B81E12"/>
    <w:rsid w:val="00B906F0"/>
    <w:rsid w:val="00BA15E2"/>
    <w:rsid w:val="00BB57E1"/>
    <w:rsid w:val="00BB5DE8"/>
    <w:rsid w:val="00BC30C3"/>
    <w:rsid w:val="00BC3FA0"/>
    <w:rsid w:val="00BC74E9"/>
    <w:rsid w:val="00BF68A8"/>
    <w:rsid w:val="00C11A03"/>
    <w:rsid w:val="00C1784E"/>
    <w:rsid w:val="00C22C0C"/>
    <w:rsid w:val="00C4527F"/>
    <w:rsid w:val="00C459FA"/>
    <w:rsid w:val="00C45DCB"/>
    <w:rsid w:val="00C463DD"/>
    <w:rsid w:val="00C4724C"/>
    <w:rsid w:val="00C542C7"/>
    <w:rsid w:val="00C629A0"/>
    <w:rsid w:val="00C64629"/>
    <w:rsid w:val="00C657C2"/>
    <w:rsid w:val="00C7339C"/>
    <w:rsid w:val="00C745C3"/>
    <w:rsid w:val="00C96DF2"/>
    <w:rsid w:val="00CB3E03"/>
    <w:rsid w:val="00CD4AA6"/>
    <w:rsid w:val="00CE3F3D"/>
    <w:rsid w:val="00CE4A8F"/>
    <w:rsid w:val="00CE74DD"/>
    <w:rsid w:val="00D10A58"/>
    <w:rsid w:val="00D2031B"/>
    <w:rsid w:val="00D248B6"/>
    <w:rsid w:val="00D25FE2"/>
    <w:rsid w:val="00D3399D"/>
    <w:rsid w:val="00D33C9B"/>
    <w:rsid w:val="00D43252"/>
    <w:rsid w:val="00D47EEA"/>
    <w:rsid w:val="00D60779"/>
    <w:rsid w:val="00D67F0D"/>
    <w:rsid w:val="00D72D05"/>
    <w:rsid w:val="00D773DF"/>
    <w:rsid w:val="00D81C63"/>
    <w:rsid w:val="00D84FDF"/>
    <w:rsid w:val="00D95303"/>
    <w:rsid w:val="00D978C6"/>
    <w:rsid w:val="00DA3C1C"/>
    <w:rsid w:val="00DC797B"/>
    <w:rsid w:val="00DD1D45"/>
    <w:rsid w:val="00DE2527"/>
    <w:rsid w:val="00DE7CA5"/>
    <w:rsid w:val="00E04402"/>
    <w:rsid w:val="00E046DF"/>
    <w:rsid w:val="00E235D5"/>
    <w:rsid w:val="00E27346"/>
    <w:rsid w:val="00E46EC2"/>
    <w:rsid w:val="00E554C9"/>
    <w:rsid w:val="00E67D44"/>
    <w:rsid w:val="00E71BC8"/>
    <w:rsid w:val="00E7260F"/>
    <w:rsid w:val="00E73F49"/>
    <w:rsid w:val="00E73F5D"/>
    <w:rsid w:val="00E77E4E"/>
    <w:rsid w:val="00E94FA4"/>
    <w:rsid w:val="00E96630"/>
    <w:rsid w:val="00ED7A2A"/>
    <w:rsid w:val="00EF1D7F"/>
    <w:rsid w:val="00F31E5F"/>
    <w:rsid w:val="00F33647"/>
    <w:rsid w:val="00F6100A"/>
    <w:rsid w:val="00F65AF7"/>
    <w:rsid w:val="00F93781"/>
    <w:rsid w:val="00F94D90"/>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A3234C"/>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1C52D7"/>
    <w:rPr>
      <w:b/>
      <w:sz w:val="24"/>
      <w:lang w:eastAsia="en-US"/>
    </w:rPr>
  </w:style>
  <w:style w:type="paragraph" w:styleId="BalloonText">
    <w:name w:val="Balloon Text"/>
    <w:basedOn w:val="Normal"/>
    <w:link w:val="BalloonTextChar"/>
    <w:rsid w:val="004D1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1A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A3234C"/>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1C52D7"/>
    <w:rPr>
      <w:b/>
      <w:sz w:val="24"/>
      <w:lang w:eastAsia="en-US"/>
    </w:rPr>
  </w:style>
  <w:style w:type="paragraph" w:styleId="BalloonText">
    <w:name w:val="Balloon Text"/>
    <w:basedOn w:val="Normal"/>
    <w:link w:val="BalloonTextChar"/>
    <w:rsid w:val="004D1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1A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F455-3C4F-4212-94C0-8E122194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853</TotalTime>
  <Pages>13</Pages>
  <Words>3964</Words>
  <Characters>21690</Characters>
  <Application>Microsoft Office Word</Application>
  <DocSecurity>0</DocSecurity>
  <Lines>390</Lines>
  <Paragraphs>161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94</cp:revision>
  <cp:lastPrinted>2016-11-21T14:59:00Z</cp:lastPrinted>
  <dcterms:created xsi:type="dcterms:W3CDTF">2016-10-27T14:28:00Z</dcterms:created>
  <dcterms:modified xsi:type="dcterms:W3CDTF">2016-11-22T13:51:00Z</dcterms:modified>
</cp:coreProperties>
</file>