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69328A" w:rsidTr="009E6CB7">
        <w:trPr>
          <w:cantSplit/>
          <w:trHeight w:hRule="exact" w:val="851"/>
        </w:trPr>
        <w:tc>
          <w:tcPr>
            <w:tcW w:w="1276" w:type="dxa"/>
            <w:tcBorders>
              <w:bottom w:val="single" w:sz="4" w:space="0" w:color="auto"/>
            </w:tcBorders>
            <w:vAlign w:val="bottom"/>
          </w:tcPr>
          <w:p w:rsidR="009E6CB7" w:rsidRPr="0069328A" w:rsidRDefault="009E6CB7" w:rsidP="009E6CB7">
            <w:pPr>
              <w:spacing w:after="80"/>
            </w:pPr>
          </w:p>
        </w:tc>
        <w:tc>
          <w:tcPr>
            <w:tcW w:w="2268" w:type="dxa"/>
            <w:tcBorders>
              <w:bottom w:val="single" w:sz="4" w:space="0" w:color="auto"/>
            </w:tcBorders>
            <w:vAlign w:val="bottom"/>
          </w:tcPr>
          <w:p w:rsidR="009E6CB7" w:rsidRPr="0069328A" w:rsidRDefault="009E6CB7" w:rsidP="009E6CB7">
            <w:pPr>
              <w:spacing w:after="80" w:line="300" w:lineRule="exact"/>
              <w:rPr>
                <w:b/>
                <w:sz w:val="24"/>
                <w:szCs w:val="24"/>
              </w:rPr>
            </w:pPr>
            <w:r w:rsidRPr="0069328A">
              <w:rPr>
                <w:sz w:val="28"/>
                <w:szCs w:val="28"/>
              </w:rPr>
              <w:t>United Nations</w:t>
            </w:r>
          </w:p>
        </w:tc>
        <w:tc>
          <w:tcPr>
            <w:tcW w:w="6095" w:type="dxa"/>
            <w:gridSpan w:val="2"/>
            <w:tcBorders>
              <w:bottom w:val="single" w:sz="4" w:space="0" w:color="auto"/>
            </w:tcBorders>
            <w:vAlign w:val="bottom"/>
          </w:tcPr>
          <w:p w:rsidR="009E6CB7" w:rsidRPr="0069328A" w:rsidRDefault="003A5F98" w:rsidP="00E64CD0">
            <w:pPr>
              <w:jc w:val="right"/>
            </w:pPr>
            <w:r w:rsidRPr="0069328A">
              <w:rPr>
                <w:sz w:val="40"/>
              </w:rPr>
              <w:t>ECE</w:t>
            </w:r>
            <w:r w:rsidRPr="0069328A">
              <w:t>/TRANS/2016/</w:t>
            </w:r>
            <w:r w:rsidR="00E64CD0" w:rsidRPr="0069328A">
              <w:t>8</w:t>
            </w:r>
          </w:p>
        </w:tc>
      </w:tr>
      <w:tr w:rsidR="009E6CB7" w:rsidRPr="00CB58F0" w:rsidTr="009E6CB7">
        <w:trPr>
          <w:cantSplit/>
          <w:trHeight w:hRule="exact" w:val="2835"/>
        </w:trPr>
        <w:tc>
          <w:tcPr>
            <w:tcW w:w="1276" w:type="dxa"/>
            <w:tcBorders>
              <w:top w:val="single" w:sz="4" w:space="0" w:color="auto"/>
              <w:bottom w:val="single" w:sz="12" w:space="0" w:color="auto"/>
            </w:tcBorders>
          </w:tcPr>
          <w:p w:rsidR="009E6CB7" w:rsidRPr="0069328A" w:rsidRDefault="00BC7F91" w:rsidP="009E6CB7">
            <w:pPr>
              <w:spacing w:before="120"/>
            </w:pPr>
            <w:r w:rsidRPr="00B870A4">
              <w:rPr>
                <w:noProof/>
                <w:lang w:val="en-US"/>
              </w:rPr>
              <w:drawing>
                <wp:inline distT="0" distB="0" distL="0" distR="0" wp14:anchorId="21F5CC74" wp14:editId="6DB1468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B65754" w:rsidRDefault="009E6CB7" w:rsidP="009E6CB7">
            <w:pPr>
              <w:spacing w:before="120" w:line="420" w:lineRule="exact"/>
              <w:rPr>
                <w:sz w:val="40"/>
                <w:szCs w:val="40"/>
              </w:rPr>
            </w:pPr>
            <w:r w:rsidRPr="00B65754">
              <w:rPr>
                <w:b/>
                <w:sz w:val="40"/>
                <w:szCs w:val="40"/>
              </w:rPr>
              <w:t>Economic and Social Council</w:t>
            </w:r>
          </w:p>
        </w:tc>
        <w:tc>
          <w:tcPr>
            <w:tcW w:w="2835" w:type="dxa"/>
            <w:tcBorders>
              <w:top w:val="single" w:sz="4" w:space="0" w:color="auto"/>
              <w:bottom w:val="single" w:sz="12" w:space="0" w:color="auto"/>
            </w:tcBorders>
          </w:tcPr>
          <w:p w:rsidR="009E6CB7" w:rsidRPr="00CB58F0" w:rsidRDefault="003A5F98" w:rsidP="003A5F98">
            <w:pPr>
              <w:spacing w:before="240" w:line="240" w:lineRule="exact"/>
            </w:pPr>
            <w:r w:rsidRPr="00CB58F0">
              <w:t>Distr.: General</w:t>
            </w:r>
          </w:p>
          <w:p w:rsidR="003A5F98" w:rsidRPr="00CB58F0" w:rsidRDefault="003A5F98" w:rsidP="003A5F98">
            <w:pPr>
              <w:spacing w:line="240" w:lineRule="exact"/>
            </w:pPr>
            <w:r w:rsidRPr="00CB58F0">
              <w:t>15 December 2015</w:t>
            </w:r>
          </w:p>
          <w:p w:rsidR="003A5F98" w:rsidRPr="00CB58F0" w:rsidRDefault="003A5F98" w:rsidP="003A5F98">
            <w:pPr>
              <w:spacing w:line="240" w:lineRule="exact"/>
            </w:pPr>
          </w:p>
          <w:p w:rsidR="003A5F98" w:rsidRPr="00CB58F0" w:rsidRDefault="003A5F98" w:rsidP="003A5F98">
            <w:pPr>
              <w:spacing w:line="240" w:lineRule="exact"/>
            </w:pPr>
            <w:r w:rsidRPr="00CB58F0">
              <w:t>Original: English</w:t>
            </w:r>
          </w:p>
        </w:tc>
      </w:tr>
    </w:tbl>
    <w:p w:rsidR="003A5F98" w:rsidRPr="00CB58F0" w:rsidRDefault="003A5F98" w:rsidP="003A5F98">
      <w:pPr>
        <w:spacing w:before="120"/>
        <w:rPr>
          <w:b/>
          <w:bCs/>
          <w:sz w:val="28"/>
          <w:szCs w:val="28"/>
        </w:rPr>
      </w:pPr>
      <w:r w:rsidRPr="00CB58F0">
        <w:rPr>
          <w:b/>
          <w:bCs/>
          <w:sz w:val="28"/>
          <w:szCs w:val="28"/>
        </w:rPr>
        <w:t>Economic Commission for Europe</w:t>
      </w:r>
    </w:p>
    <w:p w:rsidR="003A5F98" w:rsidRPr="00CB58F0" w:rsidRDefault="003A5F98" w:rsidP="003A5F98">
      <w:pPr>
        <w:spacing w:before="120"/>
        <w:rPr>
          <w:sz w:val="28"/>
          <w:szCs w:val="28"/>
        </w:rPr>
      </w:pPr>
      <w:r w:rsidRPr="00CB58F0">
        <w:rPr>
          <w:sz w:val="28"/>
          <w:szCs w:val="28"/>
        </w:rPr>
        <w:t>Inland Transport Committee</w:t>
      </w:r>
    </w:p>
    <w:p w:rsidR="003A5F98" w:rsidRPr="006F1DC3" w:rsidRDefault="003A5F98" w:rsidP="003A5F98">
      <w:pPr>
        <w:spacing w:before="120"/>
        <w:rPr>
          <w:b/>
          <w:bCs/>
        </w:rPr>
      </w:pPr>
      <w:r w:rsidRPr="006F1DC3">
        <w:rPr>
          <w:b/>
          <w:bCs/>
        </w:rPr>
        <w:t xml:space="preserve">Seventy-eighth </w:t>
      </w:r>
      <w:proofErr w:type="gramStart"/>
      <w:r w:rsidRPr="006F1DC3">
        <w:rPr>
          <w:b/>
          <w:bCs/>
        </w:rPr>
        <w:t>session</w:t>
      </w:r>
      <w:proofErr w:type="gramEnd"/>
    </w:p>
    <w:p w:rsidR="00770F06" w:rsidRPr="00CB58F0" w:rsidRDefault="003A5F98" w:rsidP="003A5F98">
      <w:pPr>
        <w:rPr>
          <w:b/>
          <w:bCs/>
        </w:rPr>
      </w:pPr>
      <w:r w:rsidRPr="0069328A">
        <w:t>Geneva, 23–26 February 2016</w:t>
      </w:r>
      <w:r w:rsidRPr="0069328A">
        <w:br/>
        <w:t xml:space="preserve">Item </w:t>
      </w:r>
      <w:r w:rsidR="007B1E83" w:rsidRPr="00B65754">
        <w:t>4</w:t>
      </w:r>
      <w:r w:rsidR="00770F06" w:rsidRPr="00B65754">
        <w:t xml:space="preserve"> (</w:t>
      </w:r>
      <w:r w:rsidR="007B1E83" w:rsidRPr="00CB58F0">
        <w:t>d</w:t>
      </w:r>
      <w:r w:rsidR="00770F06" w:rsidRPr="00CB58F0">
        <w:t xml:space="preserve">) </w:t>
      </w:r>
      <w:r w:rsidR="007B1E83" w:rsidRPr="00CB58F0">
        <w:t>(iii)</w:t>
      </w:r>
      <w:r w:rsidRPr="00CB58F0">
        <w:t xml:space="preserve"> of the provisional agenda</w:t>
      </w:r>
      <w:r w:rsidRPr="00CB58F0">
        <w:br/>
      </w:r>
      <w:r w:rsidR="00770F06" w:rsidRPr="00CB58F0">
        <w:rPr>
          <w:b/>
          <w:bCs/>
        </w:rPr>
        <w:t>Strategic questions of a horizontal policy nature:</w:t>
      </w:r>
      <w:r w:rsidR="00770F06" w:rsidRPr="00CB58F0">
        <w:t xml:space="preserve"> </w:t>
      </w:r>
      <w:r w:rsidR="00770F06" w:rsidRPr="00CB58F0">
        <w:br/>
      </w:r>
      <w:r w:rsidR="00770F06" w:rsidRPr="00CB58F0">
        <w:rPr>
          <w:b/>
          <w:bCs/>
        </w:rPr>
        <w:t xml:space="preserve">Environment, climate change and transport – </w:t>
      </w:r>
    </w:p>
    <w:p w:rsidR="003A5F98" w:rsidRPr="00CB58F0" w:rsidRDefault="007B1E83" w:rsidP="003A5F98">
      <w:pPr>
        <w:rPr>
          <w:b/>
          <w:bCs/>
        </w:rPr>
      </w:pPr>
      <w:r w:rsidRPr="00CB58F0">
        <w:rPr>
          <w:b/>
          <w:bCs/>
        </w:rPr>
        <w:t xml:space="preserve">Impacts of climate change on international transport networks </w:t>
      </w:r>
      <w:r w:rsidR="00770F06" w:rsidRPr="00CB58F0">
        <w:rPr>
          <w:b/>
          <w:bCs/>
        </w:rPr>
        <w:br/>
      </w:r>
      <w:r w:rsidRPr="00CB58F0">
        <w:rPr>
          <w:b/>
          <w:bCs/>
        </w:rPr>
        <w:t>and adaptation requirements</w:t>
      </w:r>
    </w:p>
    <w:p w:rsidR="003A5F98" w:rsidRPr="00CB58F0" w:rsidRDefault="003A5F98" w:rsidP="003A5F98">
      <w:pPr>
        <w:pStyle w:val="HChG"/>
      </w:pPr>
      <w:r w:rsidRPr="00CB58F0">
        <w:tab/>
      </w:r>
      <w:r w:rsidRPr="00CB58F0">
        <w:tab/>
      </w:r>
      <w:r w:rsidR="007B1E83" w:rsidRPr="00CB58F0">
        <w:t>Climate Change and the role of the Inland Transport Committee</w:t>
      </w:r>
    </w:p>
    <w:p w:rsidR="003A5F98" w:rsidRPr="00CB58F0" w:rsidRDefault="003A5F98" w:rsidP="003A5F98">
      <w:pPr>
        <w:pStyle w:val="H1G"/>
      </w:pPr>
      <w:r w:rsidRPr="00CB58F0">
        <w:tab/>
      </w:r>
      <w:r w:rsidRPr="00CB58F0">
        <w:tab/>
        <w:t>Note by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CC7980" w:rsidRPr="00CB58F0" w:rsidTr="00B65BC4">
        <w:trPr>
          <w:jc w:val="center"/>
        </w:trPr>
        <w:tc>
          <w:tcPr>
            <w:tcW w:w="9637" w:type="dxa"/>
            <w:tcBorders>
              <w:top w:val="single" w:sz="4" w:space="0" w:color="auto"/>
              <w:left w:val="single" w:sz="4" w:space="0" w:color="auto"/>
              <w:bottom w:val="nil"/>
              <w:right w:val="single" w:sz="4" w:space="0" w:color="auto"/>
            </w:tcBorders>
            <w:hideMark/>
          </w:tcPr>
          <w:p w:rsidR="00CC7980" w:rsidRPr="00CB58F0" w:rsidRDefault="00CC7980" w:rsidP="00B65BC4">
            <w:pPr>
              <w:spacing w:before="240" w:after="120"/>
              <w:ind w:left="255"/>
              <w:rPr>
                <w:i/>
                <w:sz w:val="24"/>
              </w:rPr>
            </w:pPr>
            <w:r w:rsidRPr="00CB58F0">
              <w:rPr>
                <w:i/>
                <w:sz w:val="24"/>
              </w:rPr>
              <w:t>Summary</w:t>
            </w:r>
          </w:p>
        </w:tc>
      </w:tr>
      <w:tr w:rsidR="00CC7980" w:rsidRPr="00CB58F0" w:rsidTr="00B65BC4">
        <w:trPr>
          <w:jc w:val="center"/>
        </w:trPr>
        <w:tc>
          <w:tcPr>
            <w:tcW w:w="9637" w:type="dxa"/>
            <w:tcBorders>
              <w:top w:val="nil"/>
              <w:left w:val="single" w:sz="4" w:space="0" w:color="auto"/>
              <w:bottom w:val="nil"/>
              <w:right w:val="single" w:sz="4" w:space="0" w:color="auto"/>
            </w:tcBorders>
            <w:hideMark/>
          </w:tcPr>
          <w:p w:rsidR="00CC7980" w:rsidRPr="0069328A" w:rsidRDefault="00CC7980" w:rsidP="006F1DC3">
            <w:pPr>
              <w:ind w:left="1134" w:right="1134"/>
              <w:jc w:val="both"/>
            </w:pPr>
            <w:r w:rsidRPr="00CB58F0">
              <w:tab/>
              <w:t xml:space="preserve">On 12 December 2015, representatives of 195 countries reached the </w:t>
            </w:r>
            <w:r w:rsidR="000477D8" w:rsidRPr="00CB58F0">
              <w:t xml:space="preserve">landmark </w:t>
            </w:r>
            <w:r w:rsidRPr="00CB58F0">
              <w:t>Paris climate accord</w:t>
            </w:r>
            <w:r w:rsidR="00B870A4">
              <w:t>,</w:t>
            </w:r>
            <w:r w:rsidRPr="00CB58F0">
              <w:t xml:space="preserve"> </w:t>
            </w:r>
            <w:r w:rsidR="00B870A4">
              <w:t xml:space="preserve">which </w:t>
            </w:r>
            <w:r w:rsidRPr="00CB58F0">
              <w:t>aims to lower planet-warming greenhouse gas emissions to 2</w:t>
            </w:r>
            <w:r w:rsidR="0069328A">
              <w:t>°C</w:t>
            </w:r>
            <w:r w:rsidRPr="0069328A">
              <w:t xml:space="preserve"> and </w:t>
            </w:r>
            <w:r w:rsidR="0069328A" w:rsidRPr="0069328A">
              <w:t>aspir</w:t>
            </w:r>
            <w:r w:rsidR="0069328A">
              <w:t>es</w:t>
            </w:r>
            <w:r w:rsidR="0069328A" w:rsidRPr="0069328A">
              <w:t xml:space="preserve"> </w:t>
            </w:r>
            <w:r w:rsidRPr="0069328A">
              <w:t>to 1.5</w:t>
            </w:r>
            <w:r w:rsidR="0069328A">
              <w:t>°C</w:t>
            </w:r>
            <w:r w:rsidRPr="0069328A">
              <w:t xml:space="preserve">. </w:t>
            </w:r>
          </w:p>
        </w:tc>
      </w:tr>
      <w:tr w:rsidR="00DC14A6" w:rsidRPr="00CB58F0" w:rsidTr="00B65BC4">
        <w:trPr>
          <w:jc w:val="center"/>
        </w:trPr>
        <w:tc>
          <w:tcPr>
            <w:tcW w:w="9637" w:type="dxa"/>
            <w:tcBorders>
              <w:top w:val="nil"/>
              <w:left w:val="single" w:sz="4" w:space="0" w:color="auto"/>
              <w:bottom w:val="nil"/>
              <w:right w:val="single" w:sz="4" w:space="0" w:color="auto"/>
            </w:tcBorders>
          </w:tcPr>
          <w:p w:rsidR="00DC14A6" w:rsidRPr="00B65754" w:rsidRDefault="00DC14A6" w:rsidP="00DA6E92">
            <w:pPr>
              <w:ind w:left="1134" w:right="1134"/>
              <w:jc w:val="both"/>
            </w:pPr>
            <w:r w:rsidRPr="00CB58F0">
              <w:tab/>
              <w:t xml:space="preserve">At the same time, according to </w:t>
            </w:r>
            <w:r w:rsidR="00CC3C49">
              <w:t>the Intergovernmental Panel on Climate Change (</w:t>
            </w:r>
            <w:r w:rsidRPr="00CB58F0">
              <w:t>IPCC</w:t>
            </w:r>
            <w:r w:rsidR="00CC3C49">
              <w:t>)</w:t>
            </w:r>
            <w:r w:rsidRPr="0069328A">
              <w:t>, in 2010 the transport sector generated 23 per cent of total energy related CO</w:t>
            </w:r>
            <w:r w:rsidRPr="0069328A">
              <w:rPr>
                <w:vertAlign w:val="subscript"/>
              </w:rPr>
              <w:t xml:space="preserve">2 </w:t>
            </w:r>
            <w:r w:rsidRPr="0069328A">
              <w:t>emissions. Of these, more than three</w:t>
            </w:r>
            <w:r w:rsidR="0069328A">
              <w:t>-</w:t>
            </w:r>
            <w:r w:rsidRPr="0069328A">
              <w:t xml:space="preserve">quarters </w:t>
            </w:r>
            <w:proofErr w:type="gramStart"/>
            <w:r w:rsidRPr="0069328A">
              <w:t>were generated</w:t>
            </w:r>
            <w:proofErr w:type="gramEnd"/>
            <w:r w:rsidRPr="0069328A">
              <w:t xml:space="preserve"> by inland transport.</w:t>
            </w:r>
          </w:p>
        </w:tc>
      </w:tr>
      <w:tr w:rsidR="00CC7980" w:rsidRPr="00CB58F0" w:rsidTr="00B65BC4">
        <w:trPr>
          <w:jc w:val="center"/>
        </w:trPr>
        <w:tc>
          <w:tcPr>
            <w:tcW w:w="9637" w:type="dxa"/>
            <w:tcBorders>
              <w:top w:val="nil"/>
              <w:left w:val="single" w:sz="4" w:space="0" w:color="auto"/>
              <w:bottom w:val="nil"/>
              <w:right w:val="single" w:sz="4" w:space="0" w:color="auto"/>
            </w:tcBorders>
            <w:hideMark/>
          </w:tcPr>
          <w:p w:rsidR="00CC7980" w:rsidRPr="00B65754" w:rsidRDefault="00CC7980" w:rsidP="00DA6E92">
            <w:pPr>
              <w:ind w:left="1134" w:right="1134"/>
              <w:jc w:val="both"/>
            </w:pPr>
            <w:r w:rsidRPr="00CB58F0">
              <w:tab/>
            </w:r>
            <w:r w:rsidR="00DA6E92" w:rsidRPr="00CB58F0">
              <w:t>In light of these historic developments and facts</w:t>
            </w:r>
            <w:r w:rsidR="00DA6E92" w:rsidRPr="0069328A">
              <w:t>, the Committee may wish to exchange views on how to intensify its climate-related work and strengthen its contribution to the global efforts to combat climate change an</w:t>
            </w:r>
            <w:r w:rsidR="00DA6E92" w:rsidRPr="00B65754">
              <w:t>d to enhance the resilience of local, national and international transport systems and networks.</w:t>
            </w:r>
          </w:p>
        </w:tc>
      </w:tr>
      <w:tr w:rsidR="00CC7980" w:rsidRPr="00CB58F0" w:rsidTr="00B65BC4">
        <w:trPr>
          <w:jc w:val="center"/>
        </w:trPr>
        <w:tc>
          <w:tcPr>
            <w:tcW w:w="9637" w:type="dxa"/>
            <w:tcBorders>
              <w:top w:val="nil"/>
              <w:left w:val="single" w:sz="4" w:space="0" w:color="auto"/>
              <w:bottom w:val="single" w:sz="4" w:space="0" w:color="auto"/>
              <w:right w:val="single" w:sz="4" w:space="0" w:color="auto"/>
            </w:tcBorders>
          </w:tcPr>
          <w:p w:rsidR="00CC7980" w:rsidRPr="00CB58F0" w:rsidRDefault="00CC7980" w:rsidP="00B65BC4"/>
        </w:tc>
      </w:tr>
    </w:tbl>
    <w:p w:rsidR="007B1E83" w:rsidRPr="00CB58F0" w:rsidRDefault="007B1E83" w:rsidP="00DC14A6">
      <w:pPr>
        <w:pStyle w:val="HChG"/>
      </w:pPr>
      <w:r w:rsidRPr="00CB58F0">
        <w:tab/>
      </w:r>
      <w:r w:rsidRPr="00CB58F0">
        <w:tab/>
      </w:r>
      <w:r w:rsidR="00CC7980" w:rsidRPr="00CB58F0">
        <w:t>I.</w:t>
      </w:r>
      <w:r w:rsidR="00CC7980" w:rsidRPr="00CB58F0">
        <w:tab/>
      </w:r>
      <w:r w:rsidRPr="00CB58F0">
        <w:t>Introduction</w:t>
      </w:r>
    </w:p>
    <w:p w:rsidR="00F82619" w:rsidRPr="0069328A" w:rsidRDefault="007B1E83" w:rsidP="00F82619">
      <w:pPr>
        <w:pStyle w:val="SingleTxtG"/>
      </w:pPr>
      <w:r w:rsidRPr="00CB58F0">
        <w:t>1.</w:t>
      </w:r>
      <w:r w:rsidRPr="00CB58F0">
        <w:tab/>
      </w:r>
      <w:r w:rsidR="00F82619" w:rsidRPr="00CB58F0">
        <w:t xml:space="preserve">On 12 December 2015, representatives of 195 countries </w:t>
      </w:r>
      <w:r w:rsidR="00CC7980" w:rsidRPr="00CB58F0">
        <w:t xml:space="preserve">at </w:t>
      </w:r>
      <w:r w:rsidR="00F82619" w:rsidRPr="00CB58F0">
        <w:t xml:space="preserve">the twenty-first meeting of the Conference of the Parties (COP21) to the United Nations Framework Convention on Climate Change (UNFCCC) reached a landmark accord (the Paris climate accord) that </w:t>
      </w:r>
      <w:proofErr w:type="gramStart"/>
      <w:r w:rsidR="00F82619" w:rsidRPr="00CB58F0">
        <w:t>will, for the first time, commit</w:t>
      </w:r>
      <w:proofErr w:type="gramEnd"/>
      <w:r w:rsidR="00F82619" w:rsidRPr="00CB58F0">
        <w:t xml:space="preserve"> nearly every country to climate mitigation and adaptation. </w:t>
      </w:r>
      <w:r w:rsidR="00E377FD">
        <w:t>T</w:t>
      </w:r>
      <w:r w:rsidR="00F82619" w:rsidRPr="00CB58F0">
        <w:t xml:space="preserve">he agreement commits nations </w:t>
      </w:r>
      <w:proofErr w:type="gramStart"/>
      <w:r w:rsidR="00F82619" w:rsidRPr="0069328A">
        <w:t>to</w:t>
      </w:r>
      <w:proofErr w:type="gramEnd"/>
      <w:r w:rsidR="00F82619" w:rsidRPr="0069328A">
        <w:t xml:space="preserve">: </w:t>
      </w:r>
    </w:p>
    <w:p w:rsidR="00F82619" w:rsidRPr="0069328A" w:rsidRDefault="00F82619" w:rsidP="00F82619">
      <w:pPr>
        <w:pStyle w:val="SingleTxtG"/>
      </w:pPr>
      <w:r w:rsidRPr="0069328A">
        <w:lastRenderedPageBreak/>
        <w:t>“</w:t>
      </w:r>
      <w:r w:rsidRPr="006F1DC3">
        <w:t>Holding the increase in the global average temperature to well below 2°C above pre-industrial levels and to pursue efforts to limit the temperature increase to 1.5°C above pre-industrial levels, recognizing that this would significantly reduce the risks and impacts of climate change</w:t>
      </w:r>
      <w:r w:rsidRPr="0069328A">
        <w:t xml:space="preserve">;” (Article 2.1(a)) </w:t>
      </w:r>
    </w:p>
    <w:p w:rsidR="00F82619" w:rsidRPr="00B65754" w:rsidRDefault="00F82619" w:rsidP="00F82619">
      <w:pPr>
        <w:pStyle w:val="SingleTxtG"/>
      </w:pPr>
      <w:proofErr w:type="gramStart"/>
      <w:r w:rsidRPr="00B65754">
        <w:t>and</w:t>
      </w:r>
      <w:proofErr w:type="gramEnd"/>
      <w:r w:rsidRPr="00B65754">
        <w:t xml:space="preserve"> to: </w:t>
      </w:r>
    </w:p>
    <w:p w:rsidR="007B1E83" w:rsidRPr="0069328A" w:rsidRDefault="00F82619" w:rsidP="00F82619">
      <w:pPr>
        <w:pStyle w:val="SingleTxtG"/>
      </w:pPr>
      <w:r w:rsidRPr="00B65754">
        <w:t>“</w:t>
      </w:r>
      <w:r w:rsidRPr="006F1DC3">
        <w:t xml:space="preserve">Increasing the ability to adapt to the adverse impacts of climate change and foster climate resilience and low greenhouse gas emissions development, in a manner that does not threaten food </w:t>
      </w:r>
      <w:proofErr w:type="gramStart"/>
      <w:r w:rsidRPr="006F1DC3">
        <w:t>production;</w:t>
      </w:r>
      <w:proofErr w:type="gramEnd"/>
      <w:r w:rsidRPr="0069328A">
        <w:t>”(Article 2.1(b)).</w:t>
      </w:r>
    </w:p>
    <w:p w:rsidR="00F82619" w:rsidRPr="00B65754" w:rsidRDefault="007B1E83" w:rsidP="007B1E83">
      <w:pPr>
        <w:pStyle w:val="SingleTxtG"/>
      </w:pPr>
      <w:r w:rsidRPr="0069328A">
        <w:t>2.</w:t>
      </w:r>
      <w:r w:rsidRPr="0069328A">
        <w:tab/>
      </w:r>
      <w:r w:rsidR="00F82619" w:rsidRPr="0069328A">
        <w:t>Intended Nationally Determined Contributions (INDCs) are essentially the backbone of the Paris climate accord. Some countries focus only on mitigating carbon emissions</w:t>
      </w:r>
      <w:r w:rsidR="00F82619" w:rsidRPr="00B65754">
        <w:t xml:space="preserve">, while others include measures </w:t>
      </w:r>
      <w:r w:rsidR="0069328A">
        <w:t>of</w:t>
      </w:r>
      <w:r w:rsidR="0069328A" w:rsidRPr="0069328A">
        <w:t xml:space="preserve"> </w:t>
      </w:r>
      <w:r w:rsidR="00F82619" w:rsidRPr="0069328A">
        <w:t>adapt</w:t>
      </w:r>
      <w:r w:rsidR="0069328A">
        <w:t>ation</w:t>
      </w:r>
      <w:r w:rsidR="00F82619" w:rsidRPr="0069328A">
        <w:t xml:space="preserve">. Countries will be required to reconvene every five years, starting in 2020, with updated plans that would </w:t>
      </w:r>
      <w:r w:rsidR="00B65754">
        <w:t xml:space="preserve">further reduce </w:t>
      </w:r>
      <w:r w:rsidR="00F82619" w:rsidRPr="0069328A">
        <w:t>emissions.</w:t>
      </w:r>
    </w:p>
    <w:p w:rsidR="00F82619" w:rsidRPr="00B65754" w:rsidRDefault="00F82619" w:rsidP="004E1AF0">
      <w:pPr>
        <w:pStyle w:val="SingleTxtG"/>
      </w:pPr>
      <w:r w:rsidRPr="00B65754">
        <w:t>3.</w:t>
      </w:r>
      <w:r w:rsidRPr="00B65754">
        <w:tab/>
        <w:t xml:space="preserve">Transport is a significant and growing contributor to global climate change. According to the latest figures of IPCC for 2010, </w:t>
      </w:r>
      <w:r w:rsidR="00CC7980" w:rsidRPr="00B65754">
        <w:t>the t</w:t>
      </w:r>
      <w:r w:rsidRPr="00B65754">
        <w:t xml:space="preserve">ransport </w:t>
      </w:r>
      <w:r w:rsidR="00CC7980" w:rsidRPr="00B65754">
        <w:t xml:space="preserve">sector </w:t>
      </w:r>
      <w:r w:rsidRPr="00B65754">
        <w:t>generated 23 per cent of total energy related CO</w:t>
      </w:r>
      <w:r w:rsidRPr="00CB58F0">
        <w:rPr>
          <w:vertAlign w:val="subscript"/>
        </w:rPr>
        <w:t>2</w:t>
      </w:r>
      <w:r w:rsidR="00CC7980" w:rsidRPr="00CB58F0">
        <w:t xml:space="preserve"> emissions</w:t>
      </w:r>
      <w:r w:rsidRPr="00CB58F0">
        <w:t>.</w:t>
      </w:r>
      <w:r w:rsidR="00B870A4">
        <w:t xml:space="preserve"> </w:t>
      </w:r>
      <w:r w:rsidR="004E1AF0" w:rsidRPr="00CB58F0">
        <w:t>Of these, more than three</w:t>
      </w:r>
      <w:r w:rsidR="00B65754">
        <w:t>-</w:t>
      </w:r>
      <w:r w:rsidR="004E1AF0" w:rsidRPr="00B65754">
        <w:t xml:space="preserve">quarters were generated by inland transport and </w:t>
      </w:r>
      <w:r w:rsidRPr="00B65754">
        <w:t>72.06 per cent (or more than 16 per cent of total) were emitted by road transport</w:t>
      </w:r>
      <w:r w:rsidR="004E1AF0" w:rsidRPr="00B65754">
        <w:t xml:space="preserve"> alone</w:t>
      </w:r>
      <w:r w:rsidRPr="00B65754">
        <w:t xml:space="preserve"> (UNFCCC, 2015).</w:t>
      </w:r>
    </w:p>
    <w:p w:rsidR="004E1AF0" w:rsidRPr="00B65754" w:rsidRDefault="004E1AF0" w:rsidP="004E1AF0">
      <w:pPr>
        <w:pStyle w:val="SingleTxtG"/>
      </w:pPr>
      <w:r w:rsidRPr="00CB58F0">
        <w:t>4.</w:t>
      </w:r>
      <w:r w:rsidRPr="00CB58F0">
        <w:tab/>
        <w:t>It is evident that without improving the energy efficiency of inland transport, particularly road transport, achieving the 2</w:t>
      </w:r>
      <w:r w:rsidR="00B65754">
        <w:t xml:space="preserve">°C </w:t>
      </w:r>
      <w:r w:rsidRPr="00B65754">
        <w:t>or the more ambitious 1</w:t>
      </w:r>
      <w:r w:rsidR="00CC3C49">
        <w:t>.5</w:t>
      </w:r>
      <w:r w:rsidR="00B65754">
        <w:t xml:space="preserve">°C </w:t>
      </w:r>
      <w:r w:rsidRPr="00B65754">
        <w:t xml:space="preserve">target will not be possible. </w:t>
      </w:r>
      <w:r w:rsidR="00E377FD">
        <w:t>T</w:t>
      </w:r>
      <w:r w:rsidRPr="00B65754">
        <w:t xml:space="preserve">his creates a range of challenges and opportunities for the </w:t>
      </w:r>
      <w:r w:rsidR="00B65754" w:rsidRPr="00B65754">
        <w:t xml:space="preserve">Inland Transport Committee (ITC) </w:t>
      </w:r>
      <w:r w:rsidRPr="00B65754">
        <w:t>and UNECE as a whole.</w:t>
      </w:r>
    </w:p>
    <w:p w:rsidR="004E1AF0" w:rsidRPr="00B65754" w:rsidRDefault="004E1AF0" w:rsidP="007B1E83">
      <w:pPr>
        <w:pStyle w:val="SingleTxtG"/>
      </w:pPr>
      <w:r w:rsidRPr="00B65754">
        <w:t>5.</w:t>
      </w:r>
      <w:r w:rsidRPr="00B65754">
        <w:tab/>
      </w:r>
      <w:r w:rsidR="00B65754" w:rsidRPr="00B65754">
        <w:t xml:space="preserve">ITC </w:t>
      </w:r>
      <w:r w:rsidR="007B1E83" w:rsidRPr="00B65754">
        <w:t xml:space="preserve">contributes to climate change mitigation and adaptation in line with the provisions of UNFCCC and the Kyoto protocol, as well as decisions </w:t>
      </w:r>
      <w:r w:rsidR="00E377FD">
        <w:t>of</w:t>
      </w:r>
      <w:r w:rsidR="00E377FD" w:rsidRPr="00B65754">
        <w:t xml:space="preserve"> </w:t>
      </w:r>
      <w:r w:rsidR="007B1E83" w:rsidRPr="00B65754">
        <w:t xml:space="preserve">the </w:t>
      </w:r>
      <w:r w:rsidR="00B65754" w:rsidRPr="00B65754">
        <w:t>Economic Commission for Europe</w:t>
      </w:r>
      <w:r w:rsidR="00B65754">
        <w:t xml:space="preserve"> </w:t>
      </w:r>
      <w:r w:rsidR="007B1E83" w:rsidRPr="00B65754">
        <w:t xml:space="preserve">and ITC. </w:t>
      </w:r>
      <w:r w:rsidRPr="00B65754">
        <w:t>The Annex to this document summarizes relevant mandates and decisions</w:t>
      </w:r>
      <w:r w:rsidR="00CC3C49">
        <w:t xml:space="preserve"> of ITC work</w:t>
      </w:r>
      <w:r w:rsidRPr="00B65754">
        <w:t xml:space="preserve">. </w:t>
      </w:r>
      <w:bookmarkStart w:id="0" w:name="_GoBack"/>
      <w:bookmarkEnd w:id="0"/>
    </w:p>
    <w:p w:rsidR="00AB77F3" w:rsidRPr="00B65754" w:rsidRDefault="004E1AF0" w:rsidP="007B1E83">
      <w:pPr>
        <w:pStyle w:val="SingleTxtG"/>
      </w:pPr>
      <w:r w:rsidRPr="00B65754">
        <w:t>6.</w:t>
      </w:r>
      <w:r w:rsidRPr="00B65754">
        <w:tab/>
      </w:r>
      <w:r w:rsidR="007B1E83" w:rsidRPr="00B65754">
        <w:t xml:space="preserve">Efforts to improve the quality of life and to contribute to the sustainable development of the region, including climate change mitigation and adaptation are central to the work of ITC and form key objectives of </w:t>
      </w:r>
      <w:r w:rsidR="00B65754" w:rsidRPr="00B65754">
        <w:t xml:space="preserve">its </w:t>
      </w:r>
      <w:r w:rsidR="00CC3C49">
        <w:t xml:space="preserve">programme of work and </w:t>
      </w:r>
      <w:r w:rsidR="00B65754" w:rsidRPr="00B65754">
        <w:t>strategic frameworks.</w:t>
      </w:r>
      <w:r w:rsidRPr="00B65754">
        <w:t xml:space="preserve"> The following section includes an overview of </w:t>
      </w:r>
      <w:r w:rsidR="00B65754">
        <w:t xml:space="preserve">the </w:t>
      </w:r>
      <w:r w:rsidRPr="00B65754">
        <w:t>climate-related activities of the Committee.</w:t>
      </w:r>
    </w:p>
    <w:p w:rsidR="00AB77F3" w:rsidRPr="00B65754" w:rsidRDefault="00DC14A6" w:rsidP="00DC14A6">
      <w:pPr>
        <w:pStyle w:val="HChG"/>
      </w:pPr>
      <w:r w:rsidRPr="00B65754">
        <w:tab/>
      </w:r>
      <w:r w:rsidR="00AB77F3" w:rsidRPr="00B65754">
        <w:t>II.</w:t>
      </w:r>
      <w:r w:rsidR="00AB77F3" w:rsidRPr="00B65754">
        <w:tab/>
        <w:t>Clima</w:t>
      </w:r>
      <w:r w:rsidR="00AB77F3" w:rsidRPr="00B65754">
        <w:rPr>
          <w:rStyle w:val="HChGChar"/>
          <w:b/>
        </w:rPr>
        <w:t>te change activities of the Inland Transport Committee</w:t>
      </w:r>
    </w:p>
    <w:p w:rsidR="00AB77F3" w:rsidRPr="00B65754" w:rsidRDefault="004E1AF0" w:rsidP="00AB77F3">
      <w:pPr>
        <w:pStyle w:val="SingleTxtG"/>
      </w:pPr>
      <w:r w:rsidRPr="00B65754">
        <w:t>7</w:t>
      </w:r>
      <w:r w:rsidR="00AB77F3" w:rsidRPr="00B65754">
        <w:t>.</w:t>
      </w:r>
      <w:r w:rsidRPr="00B65754">
        <w:tab/>
      </w:r>
      <w:r w:rsidR="00AB77F3" w:rsidRPr="00B65754">
        <w:t xml:space="preserve">The ITC and its subsidiary bodies tackle climate change adaptation and mitigation </w:t>
      </w:r>
      <w:r w:rsidR="00B65754">
        <w:t>by</w:t>
      </w:r>
      <w:r w:rsidR="00AB77F3" w:rsidRPr="00B65754">
        <w:t xml:space="preserve"> regulatory, analytical, policymaking, and technical assistance/capacity</w:t>
      </w:r>
      <w:r w:rsidR="00B65754">
        <w:t>-</w:t>
      </w:r>
      <w:r w:rsidR="00AB77F3" w:rsidRPr="00B65754">
        <w:t>building work.</w:t>
      </w:r>
    </w:p>
    <w:p w:rsidR="00AB77F3" w:rsidRPr="00B65754" w:rsidRDefault="004E1AF0" w:rsidP="00AB77F3">
      <w:pPr>
        <w:pStyle w:val="SingleTxtG"/>
      </w:pPr>
      <w:r w:rsidRPr="00B65754">
        <w:t>8.</w:t>
      </w:r>
      <w:r w:rsidRPr="00B65754">
        <w:tab/>
      </w:r>
      <w:r w:rsidR="00AB77F3" w:rsidRPr="00B65754">
        <w:t>The World Forum for Harmonization of Vehicle Regulations</w:t>
      </w:r>
      <w:r w:rsidR="00B65754">
        <w:t xml:space="preserve"> </w:t>
      </w:r>
      <w:r w:rsidR="00AB77F3" w:rsidRPr="00B65754">
        <w:t xml:space="preserve">has been developing worldwide norms </w:t>
      </w:r>
      <w:r w:rsidR="00B65754" w:rsidRPr="00B65754">
        <w:t>aim</w:t>
      </w:r>
      <w:r w:rsidR="00B65754">
        <w:t>ed</w:t>
      </w:r>
      <w:r w:rsidR="00B65754" w:rsidRPr="00B65754">
        <w:t xml:space="preserve"> </w:t>
      </w:r>
      <w:r w:rsidR="00AB77F3" w:rsidRPr="00B65754">
        <w:t xml:space="preserve">at increasing </w:t>
      </w:r>
      <w:r w:rsidR="00B65754">
        <w:t xml:space="preserve">the </w:t>
      </w:r>
      <w:r w:rsidR="00AB77F3" w:rsidRPr="00B65754">
        <w:t>environmental performance and safety</w:t>
      </w:r>
      <w:r w:rsidR="00B65754">
        <w:t xml:space="preserve"> of </w:t>
      </w:r>
      <w:r w:rsidR="00B65754" w:rsidRPr="00B65754">
        <w:t>vehicles</w:t>
      </w:r>
      <w:r w:rsidR="000417AA">
        <w:t xml:space="preserve">. </w:t>
      </w:r>
      <w:r w:rsidR="00AB77F3" w:rsidRPr="00B65754">
        <w:t xml:space="preserve">The World Forum is considering strategies for the automotive sector up to </w:t>
      </w:r>
      <w:proofErr w:type="gramStart"/>
      <w:r w:rsidR="00AB77F3" w:rsidRPr="00B65754">
        <w:t>2040 which</w:t>
      </w:r>
      <w:proofErr w:type="gramEnd"/>
      <w:r w:rsidR="00AB77F3" w:rsidRPr="00B65754">
        <w:t xml:space="preserve"> could encompass:</w:t>
      </w:r>
    </w:p>
    <w:p w:rsidR="00AB77F3" w:rsidRPr="00CB58F0" w:rsidRDefault="00693F76" w:rsidP="00693F76">
      <w:pPr>
        <w:pStyle w:val="SingleTxtG"/>
        <w:ind w:firstLine="567"/>
      </w:pPr>
      <w:r w:rsidRPr="00B65754">
        <w:t>(a)</w:t>
      </w:r>
      <w:r w:rsidR="00C74021">
        <w:tab/>
      </w:r>
      <w:r w:rsidR="00AB77F3" w:rsidRPr="00B65754">
        <w:t>Improved energy efficiency and the use of sustainable biofuels as a short-term objective (2015)</w:t>
      </w:r>
      <w:proofErr w:type="gramStart"/>
      <w:r w:rsidR="00AB77F3" w:rsidRPr="00B65754">
        <w:t>;</w:t>
      </w:r>
      <w:proofErr w:type="gramEnd"/>
      <w:r w:rsidR="00AB77F3" w:rsidRPr="00B65754">
        <w:t xml:space="preserve"> </w:t>
      </w:r>
    </w:p>
    <w:p w:rsidR="00AB77F3" w:rsidRPr="00CB58F0" w:rsidRDefault="00693F76" w:rsidP="00693F76">
      <w:pPr>
        <w:pStyle w:val="SingleTxtG"/>
        <w:ind w:firstLine="567"/>
      </w:pPr>
      <w:r w:rsidRPr="00CB58F0">
        <w:t>(b)</w:t>
      </w:r>
      <w:r w:rsidR="00C74021">
        <w:tab/>
      </w:r>
      <w:r w:rsidR="00AB77F3" w:rsidRPr="00CB58F0">
        <w:t>The development and introduction into the market of plug-in hybrid vehicles as a</w:t>
      </w:r>
      <w:r w:rsidR="00CB58F0">
        <w:t xml:space="preserve"> </w:t>
      </w:r>
      <w:r w:rsidR="00AB77F3" w:rsidRPr="00CB58F0">
        <w:t xml:space="preserve">mid-term objective (2015–2025); </w:t>
      </w:r>
    </w:p>
    <w:p w:rsidR="00AB77F3" w:rsidRPr="00CB58F0" w:rsidRDefault="00693F76" w:rsidP="00693F76">
      <w:pPr>
        <w:pStyle w:val="SingleTxtG"/>
        <w:ind w:firstLine="567"/>
      </w:pPr>
      <w:proofErr w:type="gramStart"/>
      <w:r w:rsidRPr="00CB58F0">
        <w:t>(c)</w:t>
      </w:r>
      <w:r w:rsidR="00C74021">
        <w:tab/>
      </w:r>
      <w:r w:rsidR="00AB77F3" w:rsidRPr="00CB58F0">
        <w:t>The development and introduction into the market of electric vehicles as a long-term objective (2025–2040).</w:t>
      </w:r>
      <w:proofErr w:type="gramEnd"/>
      <w:r w:rsidR="00AB77F3" w:rsidRPr="00CB58F0">
        <w:t xml:space="preserve"> (Normative)</w:t>
      </w:r>
    </w:p>
    <w:p w:rsidR="00AB77F3" w:rsidRPr="00CB58F0" w:rsidRDefault="004E1AF0" w:rsidP="00AB77F3">
      <w:pPr>
        <w:pStyle w:val="SingleTxtG"/>
      </w:pPr>
      <w:r w:rsidRPr="00CB58F0">
        <w:lastRenderedPageBreak/>
        <w:t>9.</w:t>
      </w:r>
      <w:r w:rsidRPr="00CB58F0">
        <w:tab/>
      </w:r>
      <w:r w:rsidR="00AB77F3" w:rsidRPr="00CB58F0">
        <w:t xml:space="preserve">The Climate Change Impacts and Adaptation for International Transport Networks </w:t>
      </w:r>
      <w:r w:rsidR="00CC2361">
        <w:t xml:space="preserve">report </w:t>
      </w:r>
      <w:proofErr w:type="gramStart"/>
      <w:r w:rsidR="00AB77F3" w:rsidRPr="00CB58F0">
        <w:t>was produced</w:t>
      </w:r>
      <w:proofErr w:type="gramEnd"/>
      <w:r w:rsidR="00AB77F3" w:rsidRPr="00CB58F0">
        <w:t xml:space="preserve"> by Group </w:t>
      </w:r>
      <w:r w:rsidR="00CC3C49">
        <w:t xml:space="preserve">of Experts </w:t>
      </w:r>
      <w:r w:rsidR="00AB77F3" w:rsidRPr="00CB58F0">
        <w:t xml:space="preserve">established to study this specific concern in the framework of the Working Party on Transport Trends and Economics (WP.5). It identifies where transport infrastructure and services </w:t>
      </w:r>
      <w:proofErr w:type="gramStart"/>
      <w:r w:rsidR="00AB77F3" w:rsidRPr="00CB58F0">
        <w:t>will likely be most affected</w:t>
      </w:r>
      <w:proofErr w:type="gramEnd"/>
      <w:r w:rsidR="00AB77F3" w:rsidRPr="00CB58F0">
        <w:t xml:space="preserve">. </w:t>
      </w:r>
      <w:r w:rsidR="00CB58F0">
        <w:t>T</w:t>
      </w:r>
      <w:r w:rsidR="00AB77F3" w:rsidRPr="00CB58F0">
        <w:t xml:space="preserve">o create the most </w:t>
      </w:r>
      <w:r w:rsidR="00CB58F0" w:rsidRPr="00CB58F0">
        <w:t>up</w:t>
      </w:r>
      <w:r w:rsidR="00CB58F0">
        <w:t>-</w:t>
      </w:r>
      <w:r w:rsidR="00CB58F0" w:rsidRPr="00CB58F0">
        <w:t>to</w:t>
      </w:r>
      <w:r w:rsidR="00CB58F0">
        <w:t>-</w:t>
      </w:r>
      <w:r w:rsidR="00AB77F3" w:rsidRPr="00CB58F0">
        <w:t xml:space="preserve">date picture, the report reviews national initiatives, case studies and research projects as well as experiences on adaptation measures specific to </w:t>
      </w:r>
      <w:r w:rsidR="00CC3C49">
        <w:t xml:space="preserve">various </w:t>
      </w:r>
      <w:r w:rsidR="00AB77F3" w:rsidRPr="00CB58F0">
        <w:t xml:space="preserve">transportation modes. </w:t>
      </w:r>
      <w:proofErr w:type="gramStart"/>
      <w:r w:rsidR="00AB77F3" w:rsidRPr="00CB58F0">
        <w:t>On the basis of</w:t>
      </w:r>
      <w:proofErr w:type="gramEnd"/>
      <w:r w:rsidR="00AB77F3" w:rsidRPr="00CB58F0">
        <w:t xml:space="preserve"> this review, existing best practices in national policies for risk management and resilience enhancement are identified. For example, coastal transport infrastructure and services such as ports or other coastal transport hubs </w:t>
      </w:r>
      <w:proofErr w:type="gramStart"/>
      <w:r w:rsidR="00AB77F3" w:rsidRPr="00CB58F0">
        <w:t>will be severely affected</w:t>
      </w:r>
      <w:proofErr w:type="gramEnd"/>
      <w:r w:rsidR="00AB77F3" w:rsidRPr="00CB58F0">
        <w:t xml:space="preserve"> by a mean </w:t>
      </w:r>
      <w:r w:rsidR="00CB58F0" w:rsidRPr="00CB58F0">
        <w:t xml:space="preserve">rise </w:t>
      </w:r>
      <w:r w:rsidR="00CB58F0">
        <w:t xml:space="preserve">in </w:t>
      </w:r>
      <w:r w:rsidR="00AB77F3" w:rsidRPr="00CB58F0">
        <w:t>sea level, warmer water temperatures, higher intensity of storms and storm surges</w:t>
      </w:r>
      <w:r w:rsidR="00CC3C49">
        <w:t>,</w:t>
      </w:r>
      <w:r w:rsidR="00AB77F3" w:rsidRPr="00CB58F0">
        <w:t xml:space="preserve"> and potential changes in the wave regime. </w:t>
      </w:r>
    </w:p>
    <w:p w:rsidR="00AB77F3" w:rsidRPr="00CB58F0" w:rsidRDefault="004E1AF0" w:rsidP="00AB77F3">
      <w:pPr>
        <w:pStyle w:val="SingleTxtG"/>
      </w:pPr>
      <w:proofErr w:type="gramStart"/>
      <w:r w:rsidRPr="00CB58F0">
        <w:t>10.</w:t>
      </w:r>
      <w:r w:rsidRPr="00CB58F0">
        <w:tab/>
      </w:r>
      <w:r w:rsidR="00AB77F3" w:rsidRPr="00CB58F0">
        <w:t>For Future</w:t>
      </w:r>
      <w:proofErr w:type="gramEnd"/>
      <w:r w:rsidR="00AB77F3" w:rsidRPr="00CB58F0">
        <w:t xml:space="preserve"> Inland Transport Systems Project (ForFITS) was completed in</w:t>
      </w:r>
      <w:r w:rsidRPr="00CB58F0">
        <w:t xml:space="preserve"> </w:t>
      </w:r>
      <w:r w:rsidR="00AB77F3" w:rsidRPr="00CB58F0">
        <w:t xml:space="preserve">2013. The project </w:t>
      </w:r>
      <w:proofErr w:type="gramStart"/>
      <w:r w:rsidR="00AB77F3" w:rsidRPr="00CB58F0">
        <w:t>was funded by UNDA</w:t>
      </w:r>
      <w:r w:rsidR="00A70439">
        <w:t>,</w:t>
      </w:r>
      <w:r w:rsidR="00AB77F3" w:rsidRPr="00CB58F0">
        <w:t xml:space="preserve"> and managed by the five </w:t>
      </w:r>
      <w:r w:rsidR="00A70439">
        <w:t xml:space="preserve">United Nations </w:t>
      </w:r>
      <w:r w:rsidR="00AB77F3" w:rsidRPr="00CB58F0">
        <w:t xml:space="preserve">regional commissions with UNECE as </w:t>
      </w:r>
      <w:r w:rsidR="00A70439">
        <w:t xml:space="preserve">the </w:t>
      </w:r>
      <w:r w:rsidR="00AB77F3" w:rsidRPr="00CB58F0">
        <w:t>lead implement</w:t>
      </w:r>
      <w:r w:rsidR="00A70439">
        <w:t>ation</w:t>
      </w:r>
      <w:r w:rsidR="00AB77F3" w:rsidRPr="00CB58F0">
        <w:t xml:space="preserve"> agency</w:t>
      </w:r>
      <w:proofErr w:type="gramEnd"/>
      <w:r w:rsidR="00AB77F3" w:rsidRPr="00CB58F0">
        <w:t xml:space="preserve">. The tool enables the assessment of inland transport scenarios and transport policy choices with the goal </w:t>
      </w:r>
      <w:r w:rsidR="002335C3">
        <w:t>of</w:t>
      </w:r>
      <w:r w:rsidR="002335C3" w:rsidRPr="00CB58F0">
        <w:t xml:space="preserve"> </w:t>
      </w:r>
      <w:r w:rsidR="00AB77F3" w:rsidRPr="00CB58F0">
        <w:t>reduc</w:t>
      </w:r>
      <w:r w:rsidR="002335C3">
        <w:t>ing</w:t>
      </w:r>
      <w:r w:rsidR="00AB77F3" w:rsidRPr="00CB58F0">
        <w:t xml:space="preserve"> CO</w:t>
      </w:r>
      <w:r w:rsidR="00AB77F3" w:rsidRPr="00CB58F0">
        <w:rPr>
          <w:vertAlign w:val="subscript"/>
        </w:rPr>
        <w:t>2</w:t>
      </w:r>
      <w:r w:rsidR="00AB77F3" w:rsidRPr="00CB58F0">
        <w:t xml:space="preserve"> emissions </w:t>
      </w:r>
      <w:r w:rsidR="00A70439">
        <w:t>in</w:t>
      </w:r>
      <w:r w:rsidR="00A70439" w:rsidRPr="00CB58F0">
        <w:t xml:space="preserve"> </w:t>
      </w:r>
      <w:r w:rsidR="00AB77F3" w:rsidRPr="00CB58F0">
        <w:t>transport. It projects transport activities, energy use and well</w:t>
      </w:r>
      <w:r w:rsidR="00AB77F3" w:rsidRPr="00CB58F0">
        <w:rPr>
          <w:rFonts w:ascii="Cambria Math" w:hAnsi="Cambria Math" w:cs="Cambria Math"/>
        </w:rPr>
        <w:t>‐</w:t>
      </w:r>
      <w:r w:rsidR="00AB77F3" w:rsidRPr="00CB58F0">
        <w:t>to</w:t>
      </w:r>
      <w:r w:rsidR="00AB77F3" w:rsidRPr="00CB58F0">
        <w:rPr>
          <w:rFonts w:ascii="Cambria Math" w:hAnsi="Cambria Math" w:cs="Cambria Math"/>
        </w:rPr>
        <w:t>‐</w:t>
      </w:r>
      <w:r w:rsidR="00AB77F3" w:rsidRPr="00CB58F0">
        <w:t>wheel CO</w:t>
      </w:r>
      <w:r w:rsidR="00AB77F3" w:rsidRPr="00CB58F0">
        <w:rPr>
          <w:vertAlign w:val="subscript"/>
        </w:rPr>
        <w:t>2</w:t>
      </w:r>
      <w:r w:rsidR="00AB77F3" w:rsidRPr="00CB58F0">
        <w:t xml:space="preserve"> emissions over </w:t>
      </w:r>
      <w:r w:rsidR="00A70439">
        <w:t>user-</w:t>
      </w:r>
      <w:r w:rsidR="00AB77F3" w:rsidRPr="00CB58F0">
        <w:t xml:space="preserve">specified timespans.  The ForFITS tool helps governments and municipalities to assess </w:t>
      </w:r>
      <w:r w:rsidR="00A70439">
        <w:t xml:space="preserve">the amount of </w:t>
      </w:r>
      <w:r w:rsidR="00AB77F3" w:rsidRPr="00CB58F0">
        <w:t>CO</w:t>
      </w:r>
      <w:r w:rsidR="00AB77F3" w:rsidRPr="00CB58F0">
        <w:rPr>
          <w:vertAlign w:val="subscript"/>
        </w:rPr>
        <w:t>2</w:t>
      </w:r>
      <w:r w:rsidR="00AB77F3" w:rsidRPr="00CB58F0">
        <w:t xml:space="preserve"> emitted by the inland modes of transport</w:t>
      </w:r>
      <w:r w:rsidR="00A70439">
        <w:t>.</w:t>
      </w:r>
      <w:r w:rsidR="00AB77F3" w:rsidRPr="00CB58F0">
        <w:t xml:space="preserve"> </w:t>
      </w:r>
      <w:r w:rsidR="00A70439">
        <w:t xml:space="preserve"> Then, </w:t>
      </w:r>
      <w:r w:rsidR="00AB77F3" w:rsidRPr="00CB58F0">
        <w:t xml:space="preserve">scenario building </w:t>
      </w:r>
      <w:r w:rsidR="00A70439">
        <w:t xml:space="preserve">allows for the </w:t>
      </w:r>
      <w:r w:rsidR="00AB77F3" w:rsidRPr="00CB58F0">
        <w:t>select</w:t>
      </w:r>
      <w:r w:rsidR="00A70439">
        <w:t>ion of</w:t>
      </w:r>
      <w:r w:rsidR="00AB77F3" w:rsidRPr="00CB58F0">
        <w:t xml:space="preserve"> </w:t>
      </w:r>
      <w:r w:rsidR="00A70439">
        <w:t>‘</w:t>
      </w:r>
      <w:r w:rsidR="00A70439" w:rsidRPr="00CB58F0">
        <w:t xml:space="preserve">the most appropriate </w:t>
      </w:r>
      <w:r w:rsidR="00AB77F3" w:rsidRPr="00CB58F0">
        <w:t>transport policies</w:t>
      </w:r>
      <w:r w:rsidR="00A70439">
        <w:t>’</w:t>
      </w:r>
      <w:r w:rsidR="00AB77F3" w:rsidRPr="00CB58F0">
        <w:t xml:space="preserve"> </w:t>
      </w:r>
      <w:r w:rsidR="00A70439">
        <w:t xml:space="preserve">and a </w:t>
      </w:r>
      <w:r w:rsidR="00AB77F3" w:rsidRPr="00CB58F0">
        <w:t xml:space="preserve">mitigation plan. </w:t>
      </w:r>
      <w:r w:rsidR="00A70439">
        <w:t>Pilot c</w:t>
      </w:r>
      <w:r w:rsidR="00AB77F3" w:rsidRPr="00CB58F0">
        <w:t>ountries and cities are Chile, Ethiopia, France, Hungary, Montenegro, Thailand</w:t>
      </w:r>
      <w:r w:rsidR="00A70439">
        <w:t>,</w:t>
      </w:r>
      <w:r w:rsidR="00AB77F3" w:rsidRPr="00CB58F0">
        <w:t xml:space="preserve"> Tunisia</w:t>
      </w:r>
      <w:r w:rsidR="00A70439">
        <w:t>,</w:t>
      </w:r>
      <w:r w:rsidR="00AB77F3" w:rsidRPr="00CB58F0">
        <w:t xml:space="preserve"> Sao Paolo and Lyon. It </w:t>
      </w:r>
      <w:proofErr w:type="gramStart"/>
      <w:r w:rsidR="00AB77F3" w:rsidRPr="00CB58F0">
        <w:t>is expected</w:t>
      </w:r>
      <w:proofErr w:type="gramEnd"/>
      <w:r w:rsidR="00AB77F3" w:rsidRPr="00CB58F0">
        <w:t xml:space="preserve"> that the ForFITS tool will be regularly used in environment performance review</w:t>
      </w:r>
      <w:r w:rsidR="002335C3">
        <w:t>s</w:t>
      </w:r>
      <w:r w:rsidR="00AB77F3" w:rsidRPr="00CB58F0">
        <w:t xml:space="preserve"> of the transport sector at </w:t>
      </w:r>
      <w:r w:rsidR="002335C3">
        <w:t xml:space="preserve">the </w:t>
      </w:r>
      <w:r w:rsidR="00AB77F3" w:rsidRPr="00CB58F0">
        <w:t>national or city level</w:t>
      </w:r>
      <w:r w:rsidR="002335C3">
        <w:t>.  A</w:t>
      </w:r>
      <w:r w:rsidR="00AB77F3" w:rsidRPr="00CB58F0">
        <w:t xml:space="preserve"> UNECE-wide data collection </w:t>
      </w:r>
      <w:proofErr w:type="gramStart"/>
      <w:r w:rsidR="00AB77F3" w:rsidRPr="00CB58F0">
        <w:t>has been launched</w:t>
      </w:r>
      <w:proofErr w:type="gramEnd"/>
      <w:r w:rsidR="00AB77F3" w:rsidRPr="00CB58F0">
        <w:t xml:space="preserve"> in order to use the tool for the analysis of the links between transport activities and sustainable policies. The project results include but are not limited </w:t>
      </w:r>
      <w:proofErr w:type="gramStart"/>
      <w:r w:rsidR="00AB77F3" w:rsidRPr="00CB58F0">
        <w:t>to</w:t>
      </w:r>
      <w:proofErr w:type="gramEnd"/>
      <w:r w:rsidR="00AB77F3" w:rsidRPr="00CB58F0">
        <w:t>:</w:t>
      </w:r>
    </w:p>
    <w:p w:rsidR="00AB77F3" w:rsidRPr="00CB58F0" w:rsidRDefault="00693F76" w:rsidP="00693F76">
      <w:pPr>
        <w:pStyle w:val="SingleTxtG"/>
        <w:ind w:firstLine="567"/>
      </w:pPr>
      <w:r w:rsidRPr="00CB58F0">
        <w:t>(a)</w:t>
      </w:r>
      <w:r w:rsidR="00315472">
        <w:tab/>
      </w:r>
      <w:r w:rsidR="00AB77F3" w:rsidRPr="00CB58F0">
        <w:t>Global Status Report on CO</w:t>
      </w:r>
      <w:r w:rsidR="00AB77F3" w:rsidRPr="00CB58F0">
        <w:rPr>
          <w:vertAlign w:val="subscript"/>
        </w:rPr>
        <w:t>2</w:t>
      </w:r>
      <w:r w:rsidR="00AB77F3" w:rsidRPr="00CB58F0">
        <w:t xml:space="preserve"> emissions from inland transport </w:t>
      </w:r>
      <w:r w:rsidR="002335C3">
        <w:t xml:space="preserve">with </w:t>
      </w:r>
      <w:r w:rsidR="00AB77F3" w:rsidRPr="00CB58F0">
        <w:t>information on statistics, national mitigation policies and modelling tools</w:t>
      </w:r>
      <w:proofErr w:type="gramStart"/>
      <w:r w:rsidR="00AB77F3" w:rsidRPr="00CB58F0">
        <w:t>;</w:t>
      </w:r>
      <w:proofErr w:type="gramEnd"/>
    </w:p>
    <w:p w:rsidR="00AB77F3" w:rsidRPr="00CB58F0" w:rsidRDefault="00693F76" w:rsidP="00693F76">
      <w:pPr>
        <w:pStyle w:val="SingleTxtG"/>
        <w:ind w:firstLine="567"/>
      </w:pPr>
      <w:r w:rsidRPr="00CB58F0">
        <w:t>(b)</w:t>
      </w:r>
      <w:r w:rsidR="00315472">
        <w:tab/>
      </w:r>
      <w:r w:rsidR="00AB77F3" w:rsidRPr="00CB58F0">
        <w:t>The development of the ForFITS tool for assessment of inland transport CO</w:t>
      </w:r>
      <w:r w:rsidR="00AB77F3" w:rsidRPr="00CB58F0">
        <w:rPr>
          <w:vertAlign w:val="subscript"/>
        </w:rPr>
        <w:t>2</w:t>
      </w:r>
      <w:r w:rsidR="004E1AF0" w:rsidRPr="00CB58F0">
        <w:t xml:space="preserve"> </w:t>
      </w:r>
      <w:r w:rsidR="00AB77F3" w:rsidRPr="00CB58F0">
        <w:t>emissions, including a user detailed manual, freely available on and downloadable from the UNECE website;</w:t>
      </w:r>
    </w:p>
    <w:p w:rsidR="00AB77F3" w:rsidRPr="00B65754" w:rsidRDefault="002335C3" w:rsidP="00693F76">
      <w:pPr>
        <w:pStyle w:val="SingleTxtG"/>
        <w:ind w:firstLine="567"/>
      </w:pPr>
      <w:r>
        <w:t>(</w:t>
      </w:r>
      <w:r w:rsidR="00693F76" w:rsidRPr="00CB58F0">
        <w:t>c)</w:t>
      </w:r>
      <w:r w:rsidR="00315472">
        <w:tab/>
      </w:r>
      <w:r w:rsidR="00AB77F3" w:rsidRPr="00CB58F0">
        <w:t xml:space="preserve">Regional and national awareness raising and </w:t>
      </w:r>
      <w:r w:rsidR="00B65754">
        <w:t>capacity-building</w:t>
      </w:r>
      <w:r w:rsidR="00AB77F3" w:rsidRPr="00B65754">
        <w:t xml:space="preserve"> workshops, as well as training seminars on how to use </w:t>
      </w:r>
      <w:proofErr w:type="spellStart"/>
      <w:r w:rsidR="00AB77F3" w:rsidRPr="00B65754">
        <w:t>ForFITS</w:t>
      </w:r>
      <w:proofErr w:type="spellEnd"/>
      <w:r>
        <w:t>;</w:t>
      </w:r>
    </w:p>
    <w:p w:rsidR="00AB77F3" w:rsidRPr="00CB58F0" w:rsidRDefault="00693F76" w:rsidP="00693F76">
      <w:pPr>
        <w:pStyle w:val="SingleTxtG"/>
        <w:ind w:firstLine="567"/>
      </w:pPr>
      <w:proofErr w:type="gramStart"/>
      <w:r w:rsidRPr="00CB58F0">
        <w:t>(d)</w:t>
      </w:r>
      <w:r w:rsidR="00315472">
        <w:tab/>
      </w:r>
      <w:r w:rsidR="00AB77F3" w:rsidRPr="00CB58F0">
        <w:t>Applied national and city studies of ForFITS: Georgia (2014), Kaunas (2014), Lithuania (2014), Belarus (2015), Tajikistan (2015).</w:t>
      </w:r>
      <w:proofErr w:type="gramEnd"/>
    </w:p>
    <w:p w:rsidR="00AB77F3" w:rsidRPr="00CB58F0" w:rsidRDefault="00DC14A6" w:rsidP="00DC14A6">
      <w:pPr>
        <w:pStyle w:val="HChG"/>
      </w:pPr>
      <w:r w:rsidRPr="00CB58F0">
        <w:tab/>
      </w:r>
      <w:r w:rsidR="00AB77F3" w:rsidRPr="00CB58F0">
        <w:t>III.</w:t>
      </w:r>
      <w:r w:rsidR="00AB77F3" w:rsidRPr="00CB58F0">
        <w:tab/>
        <w:t>Remaining challenges and the way forward</w:t>
      </w:r>
    </w:p>
    <w:p w:rsidR="00AB77F3" w:rsidRPr="00CB58F0" w:rsidRDefault="00AB77F3" w:rsidP="00AB77F3">
      <w:pPr>
        <w:pStyle w:val="SingleTxtG"/>
      </w:pPr>
      <w:r w:rsidRPr="00CB58F0">
        <w:t>1</w:t>
      </w:r>
      <w:r w:rsidR="004E1AF0" w:rsidRPr="00CB58F0">
        <w:t>1</w:t>
      </w:r>
      <w:r w:rsidRPr="00CB58F0">
        <w:t>.</w:t>
      </w:r>
      <w:r w:rsidRPr="00CB58F0">
        <w:tab/>
        <w:t>A</w:t>
      </w:r>
      <w:r w:rsidR="000477D8">
        <w:t>l</w:t>
      </w:r>
      <w:r w:rsidR="000477D8" w:rsidRPr="00CB58F0">
        <w:t xml:space="preserve">though </w:t>
      </w:r>
      <w:r w:rsidR="000477D8">
        <w:t>a</w:t>
      </w:r>
      <w:r w:rsidRPr="00CB58F0">
        <w:t>viation and maritime transport contribut</w:t>
      </w:r>
      <w:r w:rsidR="000477D8">
        <w:t>e</w:t>
      </w:r>
      <w:r w:rsidRPr="00CB58F0">
        <w:t xml:space="preserve"> </w:t>
      </w:r>
      <w:r w:rsidR="005D6B3F">
        <w:t xml:space="preserve">a </w:t>
      </w:r>
      <w:r w:rsidR="005D6B3F" w:rsidRPr="005D6B3F">
        <w:t>considerably smaller fraction of CO</w:t>
      </w:r>
      <w:r w:rsidR="005D6B3F" w:rsidRPr="006F1DC3">
        <w:rPr>
          <w:vertAlign w:val="subscript"/>
        </w:rPr>
        <w:t>2</w:t>
      </w:r>
      <w:r w:rsidR="005D6B3F" w:rsidRPr="005D6B3F">
        <w:t xml:space="preserve"> emissions than inland transport</w:t>
      </w:r>
      <w:proofErr w:type="gramStart"/>
      <w:r w:rsidR="005D6B3F" w:rsidRPr="005D6B3F">
        <w:t>,</w:t>
      </w:r>
      <w:r w:rsidR="000477D8">
        <w:t>,</w:t>
      </w:r>
      <w:proofErr w:type="gramEnd"/>
      <w:r w:rsidR="000477D8">
        <w:t xml:space="preserve"> they</w:t>
      </w:r>
      <w:r w:rsidRPr="00CB58F0">
        <w:t xml:space="preserve"> have taken robust measures to enhance mode-wide energy efficiency. Inland transport needs to step up its level of ambition.</w:t>
      </w:r>
      <w:r w:rsidR="005D6B3F">
        <w:t xml:space="preserve"> </w:t>
      </w:r>
      <w:r w:rsidR="005D6B3F" w:rsidRPr="005D6B3F">
        <w:t xml:space="preserve">The Committee </w:t>
      </w:r>
      <w:proofErr w:type="gramStart"/>
      <w:r w:rsidR="005D6B3F" w:rsidRPr="005D6B3F">
        <w:t>is invited</w:t>
      </w:r>
      <w:proofErr w:type="gramEnd"/>
      <w:r w:rsidR="005D6B3F" w:rsidRPr="005D6B3F">
        <w:t xml:space="preserve"> to consider what role it wishes to play and what actions it deems necessary to take.</w:t>
      </w:r>
    </w:p>
    <w:p w:rsidR="00AB77F3" w:rsidRPr="00CB58F0" w:rsidRDefault="004E1AF0" w:rsidP="00AB77F3">
      <w:pPr>
        <w:pStyle w:val="SingleTxtG"/>
      </w:pPr>
      <w:r w:rsidRPr="00CB58F0">
        <w:t>12.</w:t>
      </w:r>
      <w:r w:rsidRPr="00CB58F0">
        <w:tab/>
      </w:r>
      <w:r w:rsidR="00AB77F3" w:rsidRPr="00CB58F0">
        <w:t xml:space="preserve">Climate change adaptation for transport networks and systems remains a field of analysis and study with profound implications </w:t>
      </w:r>
      <w:r w:rsidR="000477D8">
        <w:t>for the</w:t>
      </w:r>
      <w:r w:rsidR="00AB77F3" w:rsidRPr="00CB58F0">
        <w:t xml:space="preserve"> international, national and local levels. INDCs in all probability will </w:t>
      </w:r>
      <w:r w:rsidRPr="00CB58F0">
        <w:t>play a</w:t>
      </w:r>
      <w:r w:rsidR="00AB77F3" w:rsidRPr="00CB58F0">
        <w:t xml:space="preserve"> significant </w:t>
      </w:r>
      <w:r w:rsidRPr="00CB58F0">
        <w:t xml:space="preserve">role in promoting </w:t>
      </w:r>
      <w:r w:rsidR="00AB77F3" w:rsidRPr="00CB58F0">
        <w:t xml:space="preserve">climate change action for </w:t>
      </w:r>
      <w:r w:rsidRPr="00CB58F0">
        <w:t xml:space="preserve">the </w:t>
      </w:r>
      <w:r w:rsidR="00AB77F3" w:rsidRPr="00CB58F0">
        <w:t>transport</w:t>
      </w:r>
      <w:r w:rsidRPr="00CB58F0">
        <w:t xml:space="preserve"> sector</w:t>
      </w:r>
      <w:r w:rsidR="00AB77F3" w:rsidRPr="00CB58F0">
        <w:t xml:space="preserve">. Demand for national climate change adaptation plans is increasing. </w:t>
      </w:r>
    </w:p>
    <w:p w:rsidR="00AB77F3" w:rsidRPr="00CB58F0" w:rsidRDefault="004E1AF0" w:rsidP="004E1AF0">
      <w:pPr>
        <w:pStyle w:val="SingleTxtG"/>
      </w:pPr>
      <w:r w:rsidRPr="00CB58F0">
        <w:t>13.</w:t>
      </w:r>
      <w:r w:rsidRPr="00CB58F0">
        <w:tab/>
        <w:t>In that context, demand for exchange</w:t>
      </w:r>
      <w:r w:rsidR="000477D8">
        <w:t>s</w:t>
      </w:r>
      <w:r w:rsidRPr="00CB58F0">
        <w:t xml:space="preserve"> of good practices </w:t>
      </w:r>
      <w:r w:rsidR="000477D8">
        <w:t xml:space="preserve">and </w:t>
      </w:r>
      <w:r w:rsidRPr="00CB58F0">
        <w:t xml:space="preserve">tailored solutions </w:t>
      </w:r>
      <w:r w:rsidR="000477D8">
        <w:t>are</w:t>
      </w:r>
      <w:r w:rsidR="000477D8" w:rsidRPr="00CB58F0">
        <w:t xml:space="preserve"> </w:t>
      </w:r>
      <w:r w:rsidRPr="00CB58F0">
        <w:t xml:space="preserve">increasing rapidly. </w:t>
      </w:r>
      <w:r w:rsidR="00AB77F3" w:rsidRPr="00CB58F0">
        <w:t xml:space="preserve">There is </w:t>
      </w:r>
      <w:r w:rsidRPr="00CB58F0">
        <w:t xml:space="preserve">also </w:t>
      </w:r>
      <w:r w:rsidR="00AB77F3" w:rsidRPr="00CB58F0">
        <w:t xml:space="preserve">increased demand for the development of </w:t>
      </w:r>
      <w:proofErr w:type="gramStart"/>
      <w:r w:rsidR="00AB77F3" w:rsidRPr="00CB58F0">
        <w:t xml:space="preserve">climate change </w:t>
      </w:r>
      <w:r w:rsidR="00AB77F3" w:rsidRPr="00CB58F0">
        <w:lastRenderedPageBreak/>
        <w:t>adaptation tools</w:t>
      </w:r>
      <w:proofErr w:type="gramEnd"/>
      <w:r w:rsidR="00AB77F3" w:rsidRPr="00CB58F0">
        <w:t xml:space="preserve"> that can assist policymakers in making informed policy choices.</w:t>
      </w:r>
      <w:r w:rsidR="005D6B3F">
        <w:t xml:space="preserve"> </w:t>
      </w:r>
      <w:r w:rsidR="005D6B3F" w:rsidRPr="005D6B3F">
        <w:t>The Committee may wish to consider its expectations towards</w:t>
      </w:r>
      <w:r w:rsidR="00315472">
        <w:t xml:space="preserve"> its </w:t>
      </w:r>
      <w:r w:rsidR="005D6B3F" w:rsidRPr="005D6B3F">
        <w:t>WP.5 Group</w:t>
      </w:r>
      <w:r w:rsidR="005D6B3F">
        <w:t xml:space="preserve"> of Experts</w:t>
      </w:r>
      <w:r w:rsidR="005D6B3F" w:rsidRPr="005D6B3F">
        <w:t>.</w:t>
      </w:r>
    </w:p>
    <w:p w:rsidR="00AB77F3" w:rsidRPr="00CB58F0" w:rsidRDefault="004E1AF0" w:rsidP="00AB77F3">
      <w:pPr>
        <w:pStyle w:val="SingleTxtG"/>
      </w:pPr>
      <w:r w:rsidRPr="00CB58F0">
        <w:t>14.</w:t>
      </w:r>
      <w:r w:rsidRPr="00CB58F0">
        <w:tab/>
      </w:r>
      <w:r w:rsidR="005D6B3F" w:rsidRPr="005D6B3F">
        <w:t xml:space="preserve">UNECE infrastructure agreements are not yet adapted to the new realities and are exclusively concerned with the impact of infrastructure on environment and not at all with the reverse flow of causality, i.e. adaptation. The Committee may wish to consider this and articulate its expectations and guidance to the relevant working parties dealing with the infrastructure agreements, AGR, AGC, AGTC, </w:t>
      </w:r>
      <w:proofErr w:type="gramStart"/>
      <w:r w:rsidR="005D6B3F" w:rsidRPr="005D6B3F">
        <w:t>AGN</w:t>
      </w:r>
      <w:proofErr w:type="gramEnd"/>
      <w:r w:rsidR="005D6B3F" w:rsidRPr="005D6B3F">
        <w:t>.</w:t>
      </w:r>
    </w:p>
    <w:p w:rsidR="005D6B3F" w:rsidRDefault="004E1AF0" w:rsidP="005D6B3F">
      <w:pPr>
        <w:pStyle w:val="SingleTxtG"/>
      </w:pPr>
      <w:r w:rsidRPr="00CB58F0">
        <w:t>15.</w:t>
      </w:r>
      <w:r w:rsidRPr="00CB58F0">
        <w:tab/>
      </w:r>
      <w:r w:rsidR="005D6B3F">
        <w:t xml:space="preserve">As the Inland Transport Committee has already been </w:t>
      </w:r>
      <w:r w:rsidR="00315472">
        <w:t xml:space="preserve">providing </w:t>
      </w:r>
      <w:r w:rsidR="005D6B3F">
        <w:t>a valuable platform to facilitate and contribute to the identification and development of best practices o</w:t>
      </w:r>
      <w:r w:rsidR="00315472">
        <w:t xml:space="preserve">n effective climate solutions, </w:t>
      </w:r>
      <w:r w:rsidR="005D6B3F">
        <w:t xml:space="preserve">it may wish to exchange views on the above and consider how to </w:t>
      </w:r>
      <w:r w:rsidR="00315472">
        <w:t xml:space="preserve">contribute to the </w:t>
      </w:r>
      <w:r w:rsidR="005D6B3F">
        <w:t>enhanced resilience of national and international transport systems and networks.</w:t>
      </w:r>
    </w:p>
    <w:p w:rsidR="00AB77F3" w:rsidRPr="00CB58F0" w:rsidRDefault="007F33C7" w:rsidP="00315472">
      <w:pPr>
        <w:pStyle w:val="HChG"/>
      </w:pPr>
      <w:r w:rsidRPr="00CB58F0">
        <w:br w:type="page"/>
      </w:r>
      <w:r w:rsidR="00AB77F3" w:rsidRPr="00CB58F0">
        <w:lastRenderedPageBreak/>
        <w:t>Annex</w:t>
      </w:r>
    </w:p>
    <w:p w:rsidR="00AB77F3" w:rsidRPr="00CB58F0" w:rsidRDefault="00DC14A6" w:rsidP="00DC14A6">
      <w:pPr>
        <w:pStyle w:val="HChG"/>
      </w:pPr>
      <w:r w:rsidRPr="00CB58F0">
        <w:tab/>
      </w:r>
      <w:r w:rsidRPr="00CB58F0">
        <w:tab/>
      </w:r>
      <w:r w:rsidR="00AB77F3" w:rsidRPr="00CB58F0">
        <w:t>Mandates of particular relevance to the climate change work of the Inland Transport Committee</w:t>
      </w:r>
    </w:p>
    <w:p w:rsidR="00AB77F3" w:rsidRPr="00CB58F0" w:rsidRDefault="00DC14A6" w:rsidP="00DC14A6">
      <w:pPr>
        <w:pStyle w:val="HChG"/>
      </w:pPr>
      <w:r w:rsidRPr="00CB58F0">
        <w:tab/>
        <w:t>I</w:t>
      </w:r>
      <w:r w:rsidR="00AB77F3" w:rsidRPr="00CB58F0">
        <w:t>.</w:t>
      </w:r>
      <w:r w:rsidR="00AB77F3" w:rsidRPr="00CB58F0">
        <w:tab/>
        <w:t>UNFCCC mandates</w:t>
      </w:r>
    </w:p>
    <w:p w:rsidR="00212C56" w:rsidRPr="00CB58F0" w:rsidRDefault="00DC14A6" w:rsidP="00DC14A6">
      <w:pPr>
        <w:pStyle w:val="H1G"/>
      </w:pPr>
      <w:r w:rsidRPr="00CB58F0">
        <w:tab/>
        <w:t>A.</w:t>
      </w:r>
      <w:r w:rsidRPr="00CB58F0">
        <w:tab/>
      </w:r>
      <w:r w:rsidR="00212C56" w:rsidRPr="00CB58F0">
        <w:t>United Nations Framework Convention on Climate Change</w:t>
      </w:r>
    </w:p>
    <w:p w:rsidR="00212C56" w:rsidRPr="006F1DC3" w:rsidRDefault="00212C56" w:rsidP="00212C56">
      <w:pPr>
        <w:pStyle w:val="SingleTxtG"/>
        <w:rPr>
          <w:b/>
        </w:rPr>
      </w:pPr>
      <w:r w:rsidRPr="006F1DC3">
        <w:rPr>
          <w:b/>
        </w:rPr>
        <w:t>Article 4 Commitments</w:t>
      </w:r>
    </w:p>
    <w:p w:rsidR="00212C56" w:rsidRPr="006F1DC3" w:rsidRDefault="00212C56" w:rsidP="00212C56">
      <w:pPr>
        <w:pStyle w:val="SingleTxtG"/>
      </w:pPr>
      <w:r w:rsidRPr="006F1DC3">
        <w:t>1. All Parties, taking into account their common but differentiated responsibilities and their specific national and regional development priorities, objectives and circumstances, shall:</w:t>
      </w:r>
    </w:p>
    <w:p w:rsidR="00212C56" w:rsidRPr="006F1DC3" w:rsidRDefault="00212C56" w:rsidP="00212C56">
      <w:pPr>
        <w:pStyle w:val="SingleTxtG"/>
      </w:pPr>
      <w:r w:rsidRPr="006F1DC3">
        <w:t>(…)</w:t>
      </w:r>
    </w:p>
    <w:p w:rsidR="00212C56" w:rsidRPr="006F1DC3" w:rsidRDefault="00212C56" w:rsidP="00212C56">
      <w:pPr>
        <w:pStyle w:val="SingleTxtG"/>
      </w:pPr>
      <w:r w:rsidRPr="006F1DC3">
        <w:t xml:space="preserve">(c) Promote and cooperate in the development, application and diffusion, including transfer, of technologies, practices and processes that control, reduce or prevent anthropogenic emissions of greenhouse gases not controlled by the Montreal Protocol in all relevant sectors, including the energy, </w:t>
      </w:r>
      <w:r w:rsidRPr="006F1DC3">
        <w:rPr>
          <w:b/>
          <w:u w:val="single"/>
        </w:rPr>
        <w:t>transport</w:t>
      </w:r>
      <w:r w:rsidRPr="006F1DC3">
        <w:t>, industry, agriculture, forestry and waste management sectors;</w:t>
      </w:r>
    </w:p>
    <w:p w:rsidR="00212C56" w:rsidRPr="002335C3" w:rsidRDefault="00DC14A6" w:rsidP="00DC14A6">
      <w:pPr>
        <w:pStyle w:val="H1G"/>
      </w:pPr>
      <w:r w:rsidRPr="002335C3">
        <w:tab/>
        <w:t>B.</w:t>
      </w:r>
      <w:r w:rsidRPr="002335C3">
        <w:tab/>
      </w:r>
      <w:r w:rsidR="00212C56" w:rsidRPr="002335C3">
        <w:t>Kyoto protocol</w:t>
      </w:r>
    </w:p>
    <w:p w:rsidR="00212C56" w:rsidRPr="006F1DC3" w:rsidRDefault="00212C56" w:rsidP="00212C56">
      <w:pPr>
        <w:pStyle w:val="SingleTxtG"/>
        <w:rPr>
          <w:b/>
        </w:rPr>
      </w:pPr>
      <w:r w:rsidRPr="006F1DC3">
        <w:rPr>
          <w:b/>
        </w:rPr>
        <w:t xml:space="preserve">Article 2 </w:t>
      </w:r>
      <w:proofErr w:type="gramStart"/>
      <w:r w:rsidRPr="006F1DC3">
        <w:rPr>
          <w:b/>
        </w:rPr>
        <w:t>1</w:t>
      </w:r>
      <w:proofErr w:type="gramEnd"/>
      <w:r w:rsidRPr="006F1DC3">
        <w:rPr>
          <w:b/>
        </w:rPr>
        <w:t xml:space="preserve">. </w:t>
      </w:r>
    </w:p>
    <w:p w:rsidR="00212C56" w:rsidRPr="006F1DC3" w:rsidRDefault="00212C56" w:rsidP="00212C56">
      <w:pPr>
        <w:pStyle w:val="SingleTxtG"/>
      </w:pPr>
      <w:r w:rsidRPr="006F1DC3">
        <w:t>Each Party included in Annex I, in achieving its quantified emission limitation and reduction commitments under Article 3, in order to promote sustainable development, shall:</w:t>
      </w:r>
    </w:p>
    <w:p w:rsidR="00212C56" w:rsidRPr="006F1DC3" w:rsidRDefault="00212C56" w:rsidP="00212C56">
      <w:pPr>
        <w:pStyle w:val="SingleTxtG"/>
      </w:pPr>
      <w:r w:rsidRPr="006F1DC3">
        <w:t>(a) Implement and/or further elaborate policies and measures in accordance with its national circumstances, such as:</w:t>
      </w:r>
    </w:p>
    <w:p w:rsidR="00212C56" w:rsidRPr="006F1DC3" w:rsidRDefault="00212C56" w:rsidP="00212C56">
      <w:pPr>
        <w:pStyle w:val="SingleTxtG"/>
      </w:pPr>
      <w:r w:rsidRPr="006F1DC3">
        <w:t xml:space="preserve">(vii) Measures to limit and/or reduce emissions of greenhouse gases not controlled by the Montreal Protocol </w:t>
      </w:r>
      <w:r w:rsidRPr="006F1DC3">
        <w:rPr>
          <w:b/>
          <w:u w:val="single"/>
        </w:rPr>
        <w:t>in the transport sector</w:t>
      </w:r>
      <w:proofErr w:type="gramStart"/>
      <w:r w:rsidRPr="006F1DC3">
        <w:t>;</w:t>
      </w:r>
      <w:proofErr w:type="gramEnd"/>
    </w:p>
    <w:p w:rsidR="00212C56" w:rsidRPr="006F1DC3" w:rsidRDefault="00212C56" w:rsidP="00212C56">
      <w:pPr>
        <w:pStyle w:val="SingleTxtG"/>
        <w:rPr>
          <w:b/>
        </w:rPr>
      </w:pPr>
      <w:r w:rsidRPr="006F1DC3">
        <w:rPr>
          <w:b/>
        </w:rPr>
        <w:t xml:space="preserve">Article 10 </w:t>
      </w:r>
    </w:p>
    <w:p w:rsidR="00212C56" w:rsidRPr="006F1DC3" w:rsidRDefault="00212C56" w:rsidP="00212C56">
      <w:pPr>
        <w:pStyle w:val="SingleTxtG"/>
      </w:pPr>
      <w:r w:rsidRPr="006F1DC3">
        <w:t>All Parties (…) shall:</w:t>
      </w:r>
    </w:p>
    <w:p w:rsidR="00212C56" w:rsidRPr="006F1DC3" w:rsidRDefault="00212C56" w:rsidP="00212C56">
      <w:pPr>
        <w:pStyle w:val="SingleTxtG"/>
      </w:pPr>
      <w:r w:rsidRPr="006F1DC3">
        <w:t>(…)</w:t>
      </w:r>
    </w:p>
    <w:p w:rsidR="00212C56" w:rsidRPr="006F1DC3" w:rsidRDefault="00212C56" w:rsidP="00212C56">
      <w:pPr>
        <w:pStyle w:val="SingleTxtG"/>
      </w:pPr>
      <w:r w:rsidRPr="006F1DC3">
        <w:t xml:space="preserve">(b) Formulate, implement, publish and regularly update national and, where appropriate, regional programmes containing measures to mitigate climate change and measures to facilitate adequate adaptation to climate change: </w:t>
      </w:r>
    </w:p>
    <w:p w:rsidR="00AB77F3" w:rsidRPr="002335C3" w:rsidRDefault="00212C56" w:rsidP="00AB77F3">
      <w:pPr>
        <w:pStyle w:val="SingleTxtG"/>
      </w:pPr>
      <w:r w:rsidRPr="006F1DC3">
        <w:t>(</w:t>
      </w:r>
      <w:proofErr w:type="spellStart"/>
      <w:r w:rsidRPr="006F1DC3">
        <w:t>i</w:t>
      </w:r>
      <w:proofErr w:type="spellEnd"/>
      <w:r w:rsidRPr="006F1DC3">
        <w:t xml:space="preserve">) Such programmes </w:t>
      </w:r>
      <w:proofErr w:type="gramStart"/>
      <w:r w:rsidRPr="006F1DC3">
        <w:t>would, inter alia, concern</w:t>
      </w:r>
      <w:proofErr w:type="gramEnd"/>
      <w:r w:rsidRPr="006F1DC3">
        <w:t xml:space="preserve"> the energy, </w:t>
      </w:r>
      <w:r w:rsidRPr="006F1DC3">
        <w:rPr>
          <w:b/>
          <w:u w:val="single"/>
        </w:rPr>
        <w:t>transport</w:t>
      </w:r>
      <w:r w:rsidRPr="006F1DC3">
        <w:t xml:space="preserve"> and industry sectors as well as agriculture, forestry and waste management. Furthermore, adaptation technologies and methods for improving spatial planning would improve adaptation to climate change</w:t>
      </w:r>
      <w:proofErr w:type="gramStart"/>
      <w:r w:rsidRPr="006F1DC3">
        <w:t>;</w:t>
      </w:r>
      <w:proofErr w:type="gramEnd"/>
      <w:r w:rsidRPr="006F1DC3">
        <w:t xml:space="preserve"> </w:t>
      </w:r>
    </w:p>
    <w:p w:rsidR="00AB77F3" w:rsidRPr="006F1DC3" w:rsidRDefault="00DC14A6" w:rsidP="00DC14A6">
      <w:pPr>
        <w:pStyle w:val="HChG"/>
      </w:pPr>
      <w:r w:rsidRPr="00CB58F0">
        <w:lastRenderedPageBreak/>
        <w:tab/>
        <w:t>II</w:t>
      </w:r>
      <w:r w:rsidR="00AB77F3" w:rsidRPr="00CB58F0">
        <w:t>.</w:t>
      </w:r>
      <w:r w:rsidR="00AB77F3" w:rsidRPr="00CB58F0">
        <w:tab/>
      </w:r>
      <w:r w:rsidR="000477D8">
        <w:t>D</w:t>
      </w:r>
      <w:r w:rsidR="00AB77F3" w:rsidRPr="00CB58F0">
        <w:t xml:space="preserve">ecisions </w:t>
      </w:r>
      <w:r w:rsidR="000477D8">
        <w:t xml:space="preserve">of the Inland Transport Committee </w:t>
      </w:r>
      <w:r w:rsidR="00AB77F3" w:rsidRPr="00CB58F0">
        <w:t>on Climate Change</w:t>
      </w:r>
    </w:p>
    <w:p w:rsidR="00AB77F3" w:rsidRPr="0069328A" w:rsidRDefault="00DC14A6" w:rsidP="00DC14A6">
      <w:pPr>
        <w:pStyle w:val="H1G"/>
      </w:pPr>
      <w:r w:rsidRPr="0069328A">
        <w:rPr>
          <w:bCs/>
        </w:rPr>
        <w:tab/>
        <w:t>A.</w:t>
      </w:r>
      <w:r w:rsidRPr="0069328A">
        <w:rPr>
          <w:bCs/>
        </w:rPr>
        <w:tab/>
      </w:r>
      <w:r w:rsidR="00AB77F3" w:rsidRPr="0069328A">
        <w:rPr>
          <w:bCs/>
        </w:rPr>
        <w:t>Seventy-seventh session (</w:t>
      </w:r>
      <w:r w:rsidR="00AB77F3" w:rsidRPr="0069328A">
        <w:t>Geneva, 24–26 February 2015)</w:t>
      </w:r>
    </w:p>
    <w:p w:rsidR="00E463F0" w:rsidRPr="00B65754" w:rsidRDefault="00E463F0" w:rsidP="00E463F0">
      <w:pPr>
        <w:pStyle w:val="H23G"/>
      </w:pPr>
      <w:r w:rsidRPr="0069328A">
        <w:tab/>
      </w:r>
      <w:r w:rsidRPr="0069328A">
        <w:tab/>
      </w:r>
      <w:r w:rsidR="00DC14A6" w:rsidRPr="00B65754">
        <w:t xml:space="preserve">Decision </w:t>
      </w:r>
      <w:r w:rsidR="004C2BA0" w:rsidRPr="00B65754">
        <w:t>10</w:t>
      </w:r>
      <w:r w:rsidR="00DC14A6" w:rsidRPr="00B65754">
        <w:tab/>
      </w:r>
    </w:p>
    <w:p w:rsidR="00AB77F3" w:rsidRPr="00CB58F0" w:rsidRDefault="00AB77F3" w:rsidP="00AB77F3">
      <w:pPr>
        <w:pStyle w:val="SingleTxtG"/>
      </w:pPr>
      <w:proofErr w:type="gramStart"/>
      <w:r w:rsidRPr="00B65754">
        <w:rPr>
          <w:b/>
        </w:rPr>
        <w:t>Welcomed</w:t>
      </w:r>
      <w:r w:rsidRPr="00B65754">
        <w:t xml:space="preserve"> the activities to support Governments in mitigating the negative impacts of transport on the environment, such as progress in the application of </w:t>
      </w:r>
      <w:r w:rsidRPr="00CB58F0">
        <w:t>the For Future Inland Transport Systems (ForFITS) tool in the city of Kaunas and at a national level in Lithua</w:t>
      </w:r>
      <w:r w:rsidR="000417AA">
        <w:t>nia and Georgia; and</w:t>
      </w:r>
      <w:r w:rsidRPr="00CB58F0">
        <w:t xml:space="preserve"> </w:t>
      </w:r>
      <w:r w:rsidRPr="00CB58F0">
        <w:rPr>
          <w:b/>
        </w:rPr>
        <w:t>requested</w:t>
      </w:r>
      <w:r w:rsidRPr="00CB58F0">
        <w:t xml:space="preserve"> the secretariat to ensure the wide dissemination of the findings of these activities; and </w:t>
      </w:r>
      <w:r w:rsidRPr="00CB58F0">
        <w:rPr>
          <w:b/>
        </w:rPr>
        <w:t xml:space="preserve">encouraged </w:t>
      </w:r>
      <w:r w:rsidRPr="00CB58F0">
        <w:t xml:space="preserve">Governments who were willing to contribute but had not yet sent their verified data to the secretariat for the regional review, </w:t>
      </w:r>
      <w:r w:rsidR="004C2BA0" w:rsidRPr="00CB58F0">
        <w:t>to do so before the end of 2015.</w:t>
      </w:r>
      <w:proofErr w:type="gramEnd"/>
    </w:p>
    <w:p w:rsidR="00E463F0" w:rsidRPr="00CB58F0" w:rsidRDefault="004C2BA0" w:rsidP="00E463F0">
      <w:pPr>
        <w:pStyle w:val="H23G"/>
      </w:pPr>
      <w:r w:rsidRPr="00CB58F0">
        <w:tab/>
      </w:r>
      <w:r w:rsidRPr="00CB58F0">
        <w:tab/>
      </w:r>
      <w:r w:rsidR="005B12BA" w:rsidRPr="00CB58F0">
        <w:t xml:space="preserve">Decision </w:t>
      </w:r>
      <w:r w:rsidRPr="00CB58F0">
        <w:t>11</w:t>
      </w:r>
      <w:r w:rsidR="00AB77F3" w:rsidRPr="00CB58F0">
        <w:tab/>
      </w:r>
    </w:p>
    <w:p w:rsidR="00AB77F3" w:rsidRPr="00CB58F0" w:rsidRDefault="00AB77F3" w:rsidP="00AB77F3">
      <w:pPr>
        <w:pStyle w:val="SingleTxtG"/>
      </w:pPr>
      <w:r w:rsidRPr="00CB58F0">
        <w:rPr>
          <w:b/>
        </w:rPr>
        <w:t xml:space="preserve">Took stock </w:t>
      </w:r>
      <w:r w:rsidRPr="00CB58F0">
        <w:t xml:space="preserve">of the so far results and future plans for the use and further development of ForFITS and </w:t>
      </w:r>
      <w:r w:rsidRPr="00CB58F0">
        <w:rPr>
          <w:b/>
        </w:rPr>
        <w:t>requested</w:t>
      </w:r>
      <w:r w:rsidRPr="00CB58F0">
        <w:t xml:space="preserve"> the preparation of a publication on ForFITS case studies, reflecting progress in the development and application of the tool at the regional, subregional, national and city levels, and highlighting its</w:t>
      </w:r>
      <w:r w:rsidR="004C2BA0" w:rsidRPr="00CB58F0">
        <w:t xml:space="preserve"> main findings and achievements.</w:t>
      </w:r>
    </w:p>
    <w:p w:rsidR="00E463F0" w:rsidRPr="00CB58F0" w:rsidRDefault="004C2BA0" w:rsidP="00E463F0">
      <w:pPr>
        <w:pStyle w:val="H23G"/>
      </w:pPr>
      <w:r w:rsidRPr="00CB58F0">
        <w:tab/>
      </w:r>
      <w:r w:rsidRPr="00CB58F0">
        <w:tab/>
      </w:r>
      <w:r w:rsidR="005B12BA" w:rsidRPr="00CB58F0">
        <w:t xml:space="preserve">Decision </w:t>
      </w:r>
      <w:r w:rsidR="00AB77F3" w:rsidRPr="00CB58F0">
        <w:t>12</w:t>
      </w:r>
      <w:r w:rsidR="00AB77F3" w:rsidRPr="00CB58F0">
        <w:tab/>
      </w:r>
    </w:p>
    <w:p w:rsidR="00AB77F3" w:rsidRPr="00CB58F0" w:rsidRDefault="00AB77F3" w:rsidP="00AB77F3">
      <w:pPr>
        <w:pStyle w:val="SingleTxtG"/>
      </w:pPr>
      <w:r w:rsidRPr="00CB58F0">
        <w:t xml:space="preserve">In light of the timeliness and relevance of the tool for sustainable development and the scope and utility of proposed enhancements to the tool, </w:t>
      </w:r>
      <w:r w:rsidRPr="00CB58F0">
        <w:rPr>
          <w:b/>
        </w:rPr>
        <w:t>encouraged</w:t>
      </w:r>
      <w:r w:rsidRPr="00CB58F0">
        <w:t xml:space="preserve"> Governments and cities to benefit from and contribute to the use and further </w:t>
      </w:r>
      <w:r w:rsidR="004C2BA0" w:rsidRPr="00CB58F0">
        <w:t>development of the ForFITS tool.</w:t>
      </w:r>
    </w:p>
    <w:p w:rsidR="00E463F0" w:rsidRPr="00CB58F0" w:rsidRDefault="004C2BA0" w:rsidP="00E463F0">
      <w:pPr>
        <w:pStyle w:val="H23G"/>
      </w:pPr>
      <w:r w:rsidRPr="00CB58F0">
        <w:tab/>
      </w:r>
      <w:r w:rsidRPr="00CB58F0">
        <w:tab/>
      </w:r>
      <w:r w:rsidR="005B12BA" w:rsidRPr="00CB58F0">
        <w:t xml:space="preserve">Decision </w:t>
      </w:r>
      <w:r w:rsidRPr="00CB58F0">
        <w:t>13</w:t>
      </w:r>
    </w:p>
    <w:p w:rsidR="00AB77F3" w:rsidRPr="00CB58F0" w:rsidRDefault="00AB77F3" w:rsidP="00AB77F3">
      <w:pPr>
        <w:pStyle w:val="SingleTxtG"/>
      </w:pPr>
      <w:proofErr w:type="gramStart"/>
      <w:r w:rsidRPr="00CB58F0">
        <w:rPr>
          <w:b/>
        </w:rPr>
        <w:t>Decided</w:t>
      </w:r>
      <w:r w:rsidRPr="00CB58F0">
        <w:t xml:space="preserve"> to support the continuation for two more years of the work of the Group of Experts on Climate Change Impacts and Adaptation for International Transport Networks, according to the UNECE Rules and Regulations,; pending approval by the Executive Committee (EXCOM), and based on the Terms of Reference contained in document ECE/TRANS/2015/6 and </w:t>
      </w:r>
      <w:r w:rsidRPr="00CB58F0">
        <w:rPr>
          <w:b/>
        </w:rPr>
        <w:t>approved</w:t>
      </w:r>
      <w:r w:rsidRPr="00CB58F0">
        <w:t xml:space="preserve"> the change of the name of the Group to “Group of Experts on Climate Change Impacts and Adaptation for Transport Networks and Nodes”; and </w:t>
      </w:r>
      <w:r w:rsidRPr="00CB58F0">
        <w:rPr>
          <w:b/>
        </w:rPr>
        <w:t>requested</w:t>
      </w:r>
      <w:r w:rsidRPr="00CB58F0">
        <w:t xml:space="preserve"> that the secretariat should ensure that all relevant documentation of the group meetings during 2015 (June, October) and 2016, such as agendas, reports and series of official documents, is provided in the three offi</w:t>
      </w:r>
      <w:r w:rsidR="004C2BA0" w:rsidRPr="00CB58F0">
        <w:t>cial languages of UNECE on time.</w:t>
      </w:r>
      <w:proofErr w:type="gramEnd"/>
    </w:p>
    <w:p w:rsidR="00E463F0" w:rsidRPr="00CB58F0" w:rsidRDefault="004C2BA0" w:rsidP="00E463F0">
      <w:pPr>
        <w:pStyle w:val="H23G"/>
      </w:pPr>
      <w:r w:rsidRPr="00CB58F0">
        <w:tab/>
      </w:r>
      <w:r w:rsidRPr="00CB58F0">
        <w:tab/>
      </w:r>
      <w:r w:rsidR="005B12BA" w:rsidRPr="00CB58F0">
        <w:t xml:space="preserve">Decision </w:t>
      </w:r>
      <w:r w:rsidRPr="00CB58F0">
        <w:t>14</w:t>
      </w:r>
      <w:r w:rsidR="00AB77F3" w:rsidRPr="00CB58F0">
        <w:tab/>
      </w:r>
    </w:p>
    <w:p w:rsidR="00AB77F3" w:rsidRPr="00CB58F0" w:rsidRDefault="00AB77F3" w:rsidP="00AB77F3">
      <w:pPr>
        <w:pStyle w:val="SingleTxtG"/>
      </w:pPr>
      <w:r w:rsidRPr="00CB58F0">
        <w:rPr>
          <w:b/>
        </w:rPr>
        <w:t>Took note</w:t>
      </w:r>
      <w:r w:rsidRPr="00CB58F0">
        <w:t xml:space="preserve"> of the twenty-first United Nations Climate Change Conference (COP21) that will be held in Paris, France from 30 November to 11 December 2015 with the objective to achieve a </w:t>
      </w:r>
      <w:proofErr w:type="gramStart"/>
      <w:r w:rsidRPr="00CB58F0">
        <w:t>legally-binding</w:t>
      </w:r>
      <w:proofErr w:type="gramEnd"/>
      <w:r w:rsidRPr="00CB58F0">
        <w:t xml:space="preserve"> and universal agreement on climate; and </w:t>
      </w:r>
      <w:r w:rsidRPr="00CB58F0">
        <w:rPr>
          <w:b/>
        </w:rPr>
        <w:t>requested</w:t>
      </w:r>
      <w:r w:rsidRPr="00CB58F0">
        <w:t xml:space="preserve"> the secretariat to explore synergies and potential contributio</w:t>
      </w:r>
      <w:r w:rsidR="004C2BA0" w:rsidRPr="00CB58F0">
        <w:t>ns to this important Conference.</w:t>
      </w:r>
    </w:p>
    <w:p w:rsidR="00E463F0" w:rsidRPr="00CB58F0" w:rsidRDefault="004C2BA0" w:rsidP="00E463F0">
      <w:pPr>
        <w:pStyle w:val="H23G"/>
      </w:pPr>
      <w:r w:rsidRPr="00CB58F0">
        <w:tab/>
      </w:r>
      <w:r w:rsidRPr="00CB58F0">
        <w:tab/>
      </w:r>
      <w:r w:rsidR="005B12BA" w:rsidRPr="00CB58F0">
        <w:t xml:space="preserve">Decision </w:t>
      </w:r>
      <w:r w:rsidRPr="00CB58F0">
        <w:t>17</w:t>
      </w:r>
      <w:r w:rsidR="00AB77F3" w:rsidRPr="00CB58F0">
        <w:tab/>
      </w:r>
    </w:p>
    <w:p w:rsidR="00AB77F3" w:rsidRPr="00CB58F0" w:rsidRDefault="00AB77F3" w:rsidP="00AB77F3">
      <w:pPr>
        <w:pStyle w:val="SingleTxtG"/>
      </w:pPr>
      <w:proofErr w:type="gramStart"/>
      <w:r w:rsidRPr="00CB58F0">
        <w:rPr>
          <w:b/>
        </w:rPr>
        <w:t>Expressed its expectation</w:t>
      </w:r>
      <w:r w:rsidRPr="00CB58F0">
        <w:t xml:space="preserve"> that the transport pillar of THE PEP would be strengthened; to this end, </w:t>
      </w:r>
      <w:r w:rsidRPr="00CB58F0">
        <w:rPr>
          <w:b/>
        </w:rPr>
        <w:t>appreciated</w:t>
      </w:r>
      <w:r w:rsidRPr="00CB58F0">
        <w:t xml:space="preserve"> that THE PEP Steering Committee agreed to use ForFITS analysis for countries and cities that host THE PEP annual workshops; </w:t>
      </w:r>
      <w:r w:rsidRPr="00CB58F0">
        <w:rPr>
          <w:b/>
        </w:rPr>
        <w:t xml:space="preserve">requested </w:t>
      </w:r>
      <w:r w:rsidRPr="00CB58F0">
        <w:t xml:space="preserve">the secretariat to continue building such synergies; and, in order to strengthen the presence of the transport sector in this multisectoral cooperation, </w:t>
      </w:r>
      <w:r w:rsidRPr="00CB58F0">
        <w:rPr>
          <w:b/>
        </w:rPr>
        <w:t>invited</w:t>
      </w:r>
      <w:r w:rsidRPr="00CB58F0">
        <w:t xml:space="preserve"> its member States to nominate national focal points for THE PEP and commu</w:t>
      </w:r>
      <w:r w:rsidR="004C2BA0" w:rsidRPr="00CB58F0">
        <w:t>nicate those to the secretariat.</w:t>
      </w:r>
      <w:proofErr w:type="gramEnd"/>
    </w:p>
    <w:p w:rsidR="00AB77F3" w:rsidRPr="00CB58F0" w:rsidRDefault="004C2BA0" w:rsidP="00DC14A6">
      <w:pPr>
        <w:pStyle w:val="H1G"/>
      </w:pPr>
      <w:r w:rsidRPr="00CB58F0">
        <w:rPr>
          <w:bCs/>
        </w:rPr>
        <w:lastRenderedPageBreak/>
        <w:tab/>
      </w:r>
      <w:r w:rsidR="00DC14A6" w:rsidRPr="00CB58F0">
        <w:rPr>
          <w:bCs/>
        </w:rPr>
        <w:tab/>
        <w:t>B.</w:t>
      </w:r>
      <w:r w:rsidR="00DC14A6" w:rsidRPr="00CB58F0">
        <w:rPr>
          <w:bCs/>
        </w:rPr>
        <w:tab/>
      </w:r>
      <w:r w:rsidR="00AB77F3" w:rsidRPr="00CB58F0">
        <w:rPr>
          <w:bCs/>
        </w:rPr>
        <w:t>Seventy-sixth session (</w:t>
      </w:r>
      <w:r w:rsidR="00AB77F3" w:rsidRPr="00CB58F0">
        <w:t>Geneva, 25–27 February 2014)</w:t>
      </w:r>
    </w:p>
    <w:p w:rsidR="00E463F0" w:rsidRPr="00CB58F0" w:rsidRDefault="004C2BA0" w:rsidP="00E463F0">
      <w:pPr>
        <w:pStyle w:val="H23G"/>
      </w:pPr>
      <w:r w:rsidRPr="00CB58F0">
        <w:tab/>
      </w:r>
      <w:r w:rsidRPr="00CB58F0">
        <w:tab/>
      </w:r>
      <w:r w:rsidR="005B12BA" w:rsidRPr="00CB58F0">
        <w:t xml:space="preserve">Decision </w:t>
      </w:r>
      <w:r w:rsidRPr="00CB58F0">
        <w:t>8</w:t>
      </w:r>
      <w:r w:rsidR="00AB77F3" w:rsidRPr="00CB58F0">
        <w:tab/>
      </w:r>
    </w:p>
    <w:p w:rsidR="00AB77F3" w:rsidRPr="00CB58F0" w:rsidRDefault="00AB77F3" w:rsidP="00AB77F3">
      <w:pPr>
        <w:pStyle w:val="SingleTxtG"/>
      </w:pPr>
      <w:proofErr w:type="gramStart"/>
      <w:r w:rsidRPr="00CB58F0">
        <w:rPr>
          <w:b/>
        </w:rPr>
        <w:t>Welcomed</w:t>
      </w:r>
      <w:r w:rsidRPr="00CB58F0">
        <w:t xml:space="preserve"> the completion of the For Future Inland Transport Systems (ForFITS) global project, funded by the United Nations Development Account, and implemented together with all other United Nations regional commissions; in light of the results of this project, its timeliness and relevance for sustainable development, </w:t>
      </w:r>
      <w:r w:rsidRPr="00CB58F0">
        <w:rPr>
          <w:b/>
        </w:rPr>
        <w:t xml:space="preserve">was of the opinion </w:t>
      </w:r>
      <w:r w:rsidRPr="00CB58F0">
        <w:t>that it should be presented to the</w:t>
      </w:r>
      <w:r w:rsidRPr="00CB58F0">
        <w:rPr>
          <w:b/>
        </w:rPr>
        <w:t xml:space="preserve"> </w:t>
      </w:r>
      <w:r w:rsidRPr="00CB58F0">
        <w:t xml:space="preserve">General Assembly; and </w:t>
      </w:r>
      <w:r w:rsidRPr="00CB58F0">
        <w:rPr>
          <w:b/>
        </w:rPr>
        <w:t>asked</w:t>
      </w:r>
      <w:r w:rsidRPr="00CB58F0">
        <w:t xml:space="preserve"> for a volunteer government to take the</w:t>
      </w:r>
      <w:r w:rsidR="004C2BA0" w:rsidRPr="00CB58F0">
        <w:t xml:space="preserve"> lead and sponsor such a report.</w:t>
      </w:r>
      <w:proofErr w:type="gramEnd"/>
    </w:p>
    <w:p w:rsidR="00E463F0" w:rsidRPr="00CB58F0" w:rsidRDefault="004C2BA0" w:rsidP="00E463F0">
      <w:pPr>
        <w:pStyle w:val="H23G"/>
      </w:pPr>
      <w:r w:rsidRPr="00CB58F0">
        <w:tab/>
      </w:r>
      <w:r w:rsidRPr="00CB58F0">
        <w:tab/>
      </w:r>
      <w:r w:rsidR="005B12BA" w:rsidRPr="00CB58F0">
        <w:t xml:space="preserve">Decision </w:t>
      </w:r>
      <w:r w:rsidRPr="00CB58F0">
        <w:t>9</w:t>
      </w:r>
      <w:r w:rsidR="00AB77F3" w:rsidRPr="00CB58F0">
        <w:tab/>
      </w:r>
    </w:p>
    <w:p w:rsidR="00AB77F3" w:rsidRPr="00CB58F0" w:rsidRDefault="00AB77F3" w:rsidP="00AB77F3">
      <w:pPr>
        <w:pStyle w:val="SingleTxtG"/>
      </w:pPr>
      <w:proofErr w:type="gramStart"/>
      <w:r w:rsidRPr="00CB58F0">
        <w:rPr>
          <w:b/>
        </w:rPr>
        <w:t>Welcomed the outcome</w:t>
      </w:r>
      <w:r w:rsidRPr="00CB58F0">
        <w:t xml:space="preserve"> of activities undertaken by the Group of Experts on Climate Change impacts and adaptation to international transport networks and its final report; endorsed the main recommendations of the full report</w:t>
      </w:r>
      <w:r w:rsidRPr="00CB58F0">
        <w:rPr>
          <w:vertAlign w:val="superscript"/>
        </w:rPr>
        <w:footnoteReference w:id="2"/>
      </w:r>
      <w:r w:rsidRPr="00CB58F0">
        <w:t xml:space="preserve">, according to which effective climate change adaptation strategies should be based on a clear understanding and systematic mapping of the vulnerabilities of the transport sector to climate change and the capacity required to adapt to changes; </w:t>
      </w:r>
      <w:r w:rsidRPr="00CB58F0">
        <w:rPr>
          <w:b/>
        </w:rPr>
        <w:t>urged</w:t>
      </w:r>
      <w:r w:rsidRPr="00CB58F0">
        <w:t xml:space="preserve"> the secretariat to complete printing of the final report as soon as possible; </w:t>
      </w:r>
      <w:r w:rsidRPr="00CB58F0">
        <w:rPr>
          <w:b/>
        </w:rPr>
        <w:t>invited</w:t>
      </w:r>
      <w:r w:rsidRPr="00CB58F0">
        <w:t xml:space="preserve"> UNECE to strengthen cooperation with, in particular, the United Nations Framework Convention on Climate Change (UNFCCC) and the Global Framework for Climate Services (GFCS) of the World Meteorological Organization; and </w:t>
      </w:r>
      <w:r w:rsidRPr="00CB58F0">
        <w:rPr>
          <w:b/>
        </w:rPr>
        <w:t>requested</w:t>
      </w:r>
      <w:r w:rsidRPr="00CB58F0">
        <w:t xml:space="preserve"> WP.5 to consider the extension of the mandate of the Expert Group and the directions of further work, to review the TOR for the extension of the Group’s mandate and submit these, at the next session</w:t>
      </w:r>
      <w:r w:rsidR="004C2BA0" w:rsidRPr="00CB58F0">
        <w:t xml:space="preserve"> of the Committee, for approval.</w:t>
      </w:r>
      <w:proofErr w:type="gramEnd"/>
      <w:r w:rsidRPr="00CB58F0">
        <w:t xml:space="preserve"> </w:t>
      </w:r>
    </w:p>
    <w:p w:rsidR="00AB77F3" w:rsidRPr="0069328A" w:rsidRDefault="00DC14A6" w:rsidP="00DC14A6">
      <w:pPr>
        <w:pStyle w:val="H1G"/>
      </w:pPr>
      <w:r w:rsidRPr="006F1DC3">
        <w:rPr>
          <w:bCs/>
        </w:rPr>
        <w:tab/>
        <w:t>C.</w:t>
      </w:r>
      <w:r w:rsidRPr="006F1DC3">
        <w:rPr>
          <w:bCs/>
        </w:rPr>
        <w:tab/>
      </w:r>
      <w:r w:rsidR="00AB77F3" w:rsidRPr="006F1DC3">
        <w:rPr>
          <w:bCs/>
        </w:rPr>
        <w:t>Seventy-fifth session (</w:t>
      </w:r>
      <w:r w:rsidR="00AB77F3" w:rsidRPr="0069328A">
        <w:t>Geneva, 26 February–28 February 2013)</w:t>
      </w:r>
    </w:p>
    <w:p w:rsidR="00E463F0" w:rsidRPr="00B65754" w:rsidRDefault="004C2BA0" w:rsidP="00E463F0">
      <w:pPr>
        <w:pStyle w:val="H23G"/>
      </w:pPr>
      <w:r w:rsidRPr="0069328A">
        <w:tab/>
      </w:r>
      <w:r w:rsidRPr="0069328A">
        <w:tab/>
      </w:r>
      <w:r w:rsidR="005B12BA" w:rsidRPr="0069328A">
        <w:t>Decision</w:t>
      </w:r>
      <w:r w:rsidR="005B12BA" w:rsidRPr="00B65754">
        <w:t xml:space="preserve"> </w:t>
      </w:r>
      <w:r w:rsidRPr="00B65754">
        <w:t>25</w:t>
      </w:r>
      <w:r w:rsidR="00AB77F3" w:rsidRPr="00B65754">
        <w:tab/>
      </w:r>
    </w:p>
    <w:p w:rsidR="00AB77F3" w:rsidRPr="0069328A" w:rsidRDefault="00AB77F3" w:rsidP="00AB77F3">
      <w:pPr>
        <w:pStyle w:val="SingleTxtG"/>
      </w:pPr>
      <w:proofErr w:type="gramStart"/>
      <w:r w:rsidRPr="00B65754">
        <w:rPr>
          <w:b/>
        </w:rPr>
        <w:t xml:space="preserve">Took note </w:t>
      </w:r>
      <w:r w:rsidRPr="00B65754">
        <w:t xml:space="preserve">of the developments that took place in 2012 on the UNDA funded project aimed at developing and implementing a monitoring and assessment </w:t>
      </w:r>
      <w:r w:rsidRPr="00CB58F0">
        <w:t>tool For Future Inland Transport Systems (ForFITS), with special focus on carbon dioxide (CO</w:t>
      </w:r>
      <w:r w:rsidRPr="00CB58F0">
        <w:rPr>
          <w:vertAlign w:val="subscript"/>
        </w:rPr>
        <w:t>2</w:t>
      </w:r>
      <w:r w:rsidRPr="00CB58F0">
        <w:t xml:space="preserve">) emissions and the evaluation of the impact of policies aiming to facilitate climate change mitigation; </w:t>
      </w:r>
      <w:r w:rsidRPr="00CB58F0">
        <w:rPr>
          <w:b/>
        </w:rPr>
        <w:t xml:space="preserve">took note </w:t>
      </w:r>
      <w:r w:rsidRPr="00CB58F0">
        <w:t xml:space="preserve">of the forthcoming release of an improved version of ForFITS (expected by the end of March 2013), followed by the preparation and publication of a user manual; </w:t>
      </w:r>
      <w:r w:rsidRPr="00CB58F0">
        <w:rPr>
          <w:b/>
        </w:rPr>
        <w:t xml:space="preserve">encouraged </w:t>
      </w:r>
      <w:r w:rsidRPr="00CB58F0">
        <w:t xml:space="preserve">all countries to become involved in the piloting-out phase of the model, which is expected, together with </w:t>
      </w:r>
      <w:r w:rsidR="00B65754">
        <w:t>capacity-building</w:t>
      </w:r>
      <w:r w:rsidRPr="00B65754">
        <w:t xml:space="preserve"> and awareness raising workshops to </w:t>
      </w:r>
      <w:r w:rsidRPr="006F1DC3">
        <w:t xml:space="preserve">be </w:t>
      </w:r>
      <w:r w:rsidR="004C2BA0" w:rsidRPr="0069328A">
        <w:t>organized in 2013.</w:t>
      </w:r>
      <w:proofErr w:type="gramEnd"/>
    </w:p>
    <w:p w:rsidR="00E463F0" w:rsidRPr="00B65754" w:rsidRDefault="004C2BA0" w:rsidP="00E463F0">
      <w:pPr>
        <w:pStyle w:val="H23G"/>
      </w:pPr>
      <w:r w:rsidRPr="0069328A">
        <w:tab/>
      </w:r>
      <w:r w:rsidRPr="0069328A">
        <w:tab/>
      </w:r>
      <w:r w:rsidR="005B12BA" w:rsidRPr="0069328A">
        <w:t xml:space="preserve">Decision </w:t>
      </w:r>
      <w:r w:rsidRPr="00B65754">
        <w:t>26</w:t>
      </w:r>
      <w:r w:rsidR="00AB77F3" w:rsidRPr="00B65754">
        <w:tab/>
      </w:r>
    </w:p>
    <w:p w:rsidR="00AB77F3" w:rsidRPr="00CB58F0" w:rsidRDefault="00AB77F3" w:rsidP="00AB77F3">
      <w:pPr>
        <w:pStyle w:val="SingleTxtG"/>
      </w:pPr>
      <w:proofErr w:type="gramStart"/>
      <w:r w:rsidRPr="00B65754">
        <w:rPr>
          <w:b/>
        </w:rPr>
        <w:t>Took note</w:t>
      </w:r>
      <w:r w:rsidRPr="00B65754">
        <w:t xml:space="preserve"> of the results of the three meetings of the Expert Group on Climate Change Impacts and Adaptations for International Transport Networks and of the conclusions and recommendations of the Conference on Adaptation of International Networks to Climate Change, that was held in Alexandroupolis (Greece), 25–26 June 2012; </w:t>
      </w:r>
      <w:r w:rsidRPr="00CB58F0">
        <w:rPr>
          <w:b/>
        </w:rPr>
        <w:t>reiterated</w:t>
      </w:r>
      <w:r w:rsidRPr="00CB58F0">
        <w:t xml:space="preserve"> its interest in the subject and </w:t>
      </w:r>
      <w:r w:rsidRPr="00CB58F0">
        <w:rPr>
          <w:b/>
        </w:rPr>
        <w:t>requested</w:t>
      </w:r>
      <w:r w:rsidRPr="00CB58F0">
        <w:t xml:space="preserve"> the secretariat to prepare a comprehensive an</w:t>
      </w:r>
      <w:r w:rsidR="004C2BA0" w:rsidRPr="00CB58F0">
        <w:t>d analytical report/publication.</w:t>
      </w:r>
      <w:proofErr w:type="gramEnd"/>
    </w:p>
    <w:p w:rsidR="00AB77F3" w:rsidRPr="0069328A" w:rsidRDefault="00DC14A6" w:rsidP="00DC14A6">
      <w:pPr>
        <w:pStyle w:val="H1G"/>
      </w:pPr>
      <w:r w:rsidRPr="006F1DC3">
        <w:rPr>
          <w:bCs/>
        </w:rPr>
        <w:lastRenderedPageBreak/>
        <w:tab/>
        <w:t>D.</w:t>
      </w:r>
      <w:r w:rsidRPr="006F1DC3">
        <w:rPr>
          <w:bCs/>
        </w:rPr>
        <w:tab/>
      </w:r>
      <w:r w:rsidR="00AB77F3" w:rsidRPr="006F1DC3">
        <w:rPr>
          <w:bCs/>
        </w:rPr>
        <w:t>Seventy-fourth session (</w:t>
      </w:r>
      <w:r w:rsidR="00AB77F3" w:rsidRPr="0069328A">
        <w:t>Geneva, 28 February–1 March 2012)</w:t>
      </w:r>
    </w:p>
    <w:p w:rsidR="00E463F0" w:rsidRPr="00B65754" w:rsidRDefault="004C2BA0" w:rsidP="00E463F0">
      <w:pPr>
        <w:pStyle w:val="H23G"/>
      </w:pPr>
      <w:r w:rsidRPr="0069328A">
        <w:tab/>
      </w:r>
      <w:r w:rsidRPr="0069328A">
        <w:tab/>
      </w:r>
      <w:r w:rsidR="005B12BA" w:rsidRPr="0069328A">
        <w:t xml:space="preserve">Decision </w:t>
      </w:r>
      <w:r w:rsidRPr="00B65754">
        <w:t>4</w:t>
      </w:r>
      <w:r w:rsidR="00AB77F3" w:rsidRPr="00B65754">
        <w:tab/>
      </w:r>
    </w:p>
    <w:p w:rsidR="00AB77F3" w:rsidRPr="00CB58F0" w:rsidRDefault="00AB77F3" w:rsidP="00AB77F3">
      <w:pPr>
        <w:pStyle w:val="SingleTxtG"/>
      </w:pPr>
      <w:r w:rsidRPr="00B65754">
        <w:rPr>
          <w:b/>
        </w:rPr>
        <w:t xml:space="preserve">Welcomed </w:t>
      </w:r>
      <w:r w:rsidRPr="00B65754">
        <w:t xml:space="preserve">and </w:t>
      </w:r>
      <w:r w:rsidRPr="00B65754">
        <w:rPr>
          <w:b/>
        </w:rPr>
        <w:t xml:space="preserve">encouraged </w:t>
      </w:r>
      <w:r w:rsidRPr="00CB58F0">
        <w:t xml:space="preserve">the forthcoming organization of an international Experts Meeting for Future Inland </w:t>
      </w:r>
      <w:r w:rsidR="000417AA">
        <w:t>Transport Systems (</w:t>
      </w:r>
      <w:proofErr w:type="spellStart"/>
      <w:r w:rsidR="000417AA">
        <w:t>F</w:t>
      </w:r>
      <w:r w:rsidRPr="00CB58F0">
        <w:t>orFITS</w:t>
      </w:r>
      <w:proofErr w:type="spellEnd"/>
      <w:r w:rsidRPr="00CB58F0">
        <w:t>) that may contribute towards reduction of CO</w:t>
      </w:r>
      <w:r w:rsidRPr="00CB58F0">
        <w:rPr>
          <w:vertAlign w:val="subscript"/>
        </w:rPr>
        <w:t xml:space="preserve">2 </w:t>
      </w:r>
      <w:r w:rsidR="004C2BA0" w:rsidRPr="00CB58F0">
        <w:t>emissions.</w:t>
      </w:r>
      <w:r w:rsidRPr="00CB58F0">
        <w:t xml:space="preserve"> </w:t>
      </w:r>
      <w:r w:rsidRPr="00CB58F0">
        <w:rPr>
          <w:b/>
        </w:rPr>
        <w:t xml:space="preserve"> </w:t>
      </w:r>
    </w:p>
    <w:p w:rsidR="00AB77F3" w:rsidRPr="0069328A" w:rsidRDefault="00DC14A6" w:rsidP="00DC14A6">
      <w:pPr>
        <w:pStyle w:val="H1G"/>
      </w:pPr>
      <w:r w:rsidRPr="006F1DC3">
        <w:rPr>
          <w:bCs/>
        </w:rPr>
        <w:tab/>
        <w:t>E.</w:t>
      </w:r>
      <w:r w:rsidRPr="006F1DC3">
        <w:rPr>
          <w:bCs/>
        </w:rPr>
        <w:tab/>
      </w:r>
      <w:r w:rsidR="00AB77F3" w:rsidRPr="006F1DC3">
        <w:rPr>
          <w:bCs/>
        </w:rPr>
        <w:t>Seventy-third session (</w:t>
      </w:r>
      <w:r w:rsidR="00AB77F3" w:rsidRPr="0069328A">
        <w:t>Geneva, 1–3 March 2011)</w:t>
      </w:r>
    </w:p>
    <w:p w:rsidR="00E463F0" w:rsidRPr="00B65754" w:rsidRDefault="004C2BA0" w:rsidP="00E463F0">
      <w:pPr>
        <w:pStyle w:val="H23G"/>
      </w:pPr>
      <w:r w:rsidRPr="0069328A">
        <w:tab/>
      </w:r>
      <w:r w:rsidRPr="0069328A">
        <w:tab/>
      </w:r>
      <w:r w:rsidR="005B12BA" w:rsidRPr="0069328A">
        <w:t xml:space="preserve">Decision </w:t>
      </w:r>
      <w:r w:rsidRPr="00B65754">
        <w:t>2</w:t>
      </w:r>
      <w:r w:rsidR="00AB77F3" w:rsidRPr="00B65754">
        <w:tab/>
      </w:r>
    </w:p>
    <w:p w:rsidR="00AB77F3" w:rsidRPr="0069328A" w:rsidRDefault="00AB77F3" w:rsidP="00AB77F3">
      <w:pPr>
        <w:pStyle w:val="SingleTxtG"/>
      </w:pPr>
      <w:r w:rsidRPr="00B65754">
        <w:rPr>
          <w:b/>
          <w:bCs/>
        </w:rPr>
        <w:t xml:space="preserve">Decided </w:t>
      </w:r>
      <w:r w:rsidRPr="00B65754">
        <w:t xml:space="preserve">to establish a Group of Experts on </w:t>
      </w:r>
      <w:r w:rsidRPr="006F1DC3">
        <w:t>climate change impacts and adaptation for international transport networks</w:t>
      </w:r>
      <w:r w:rsidRPr="0069328A">
        <w:t xml:space="preserve"> for two years, according to the Terms of Reference (ToR) contained in the </w:t>
      </w:r>
      <w:r w:rsidRPr="006F1DC3">
        <w:t>a</w:t>
      </w:r>
      <w:r w:rsidRPr="0069328A">
        <w:t xml:space="preserve">nnex of document ECE/TRANS/WP.5/48, and </w:t>
      </w:r>
      <w:r w:rsidRPr="0069328A">
        <w:rPr>
          <w:b/>
          <w:bCs/>
        </w:rPr>
        <w:t>requested</w:t>
      </w:r>
      <w:r w:rsidRPr="0069328A">
        <w:t xml:space="preserve"> its Chair to submit a proposal to the Executive Committee (</w:t>
      </w:r>
      <w:r w:rsidRPr="006F1DC3">
        <w:t xml:space="preserve">EXCOM) </w:t>
      </w:r>
      <w:r w:rsidR="005B12BA" w:rsidRPr="0069328A">
        <w:t>for approval.</w:t>
      </w:r>
    </w:p>
    <w:p w:rsidR="005B12BA" w:rsidRPr="0069328A" w:rsidRDefault="005B12BA" w:rsidP="005B12BA">
      <w:pPr>
        <w:pStyle w:val="SingleTxtG"/>
        <w:spacing w:before="240" w:after="0"/>
        <w:jc w:val="center"/>
        <w:rPr>
          <w:u w:val="single"/>
        </w:rPr>
      </w:pPr>
      <w:r w:rsidRPr="0069328A">
        <w:rPr>
          <w:u w:val="single"/>
        </w:rPr>
        <w:tab/>
      </w:r>
      <w:r w:rsidRPr="0069328A">
        <w:rPr>
          <w:u w:val="single"/>
        </w:rPr>
        <w:tab/>
      </w:r>
      <w:r w:rsidRPr="0069328A">
        <w:rPr>
          <w:u w:val="single"/>
        </w:rPr>
        <w:tab/>
      </w:r>
    </w:p>
    <w:sectPr w:rsidR="005B12BA" w:rsidRPr="0069328A" w:rsidSect="003A5F98">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045" w:rsidRDefault="00502045"/>
  </w:endnote>
  <w:endnote w:type="continuationSeparator" w:id="0">
    <w:p w:rsidR="00502045" w:rsidRDefault="00502045"/>
  </w:endnote>
  <w:endnote w:type="continuationNotice" w:id="1">
    <w:p w:rsidR="00502045" w:rsidRDefault="005020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3" w:rsidRPr="003A5F98" w:rsidRDefault="00AB77F3" w:rsidP="003A5F98">
    <w:pPr>
      <w:pStyle w:val="Footer"/>
      <w:tabs>
        <w:tab w:val="right" w:pos="9638"/>
      </w:tabs>
      <w:rPr>
        <w:sz w:val="18"/>
      </w:rPr>
    </w:pPr>
    <w:r w:rsidRPr="003A5F98">
      <w:rPr>
        <w:b/>
        <w:sz w:val="18"/>
      </w:rPr>
      <w:fldChar w:fldCharType="begin"/>
    </w:r>
    <w:r w:rsidRPr="003A5F98">
      <w:rPr>
        <w:b/>
        <w:sz w:val="18"/>
      </w:rPr>
      <w:instrText xml:space="preserve"> PAGE  \* MERGEFORMAT </w:instrText>
    </w:r>
    <w:r w:rsidRPr="003A5F98">
      <w:rPr>
        <w:b/>
        <w:sz w:val="18"/>
      </w:rPr>
      <w:fldChar w:fldCharType="separate"/>
    </w:r>
    <w:r w:rsidR="006F3A32">
      <w:rPr>
        <w:b/>
        <w:noProof/>
        <w:sz w:val="18"/>
      </w:rPr>
      <w:t>2</w:t>
    </w:r>
    <w:r w:rsidRPr="003A5F9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3" w:rsidRPr="003A5F98" w:rsidRDefault="00AB77F3" w:rsidP="003A5F98">
    <w:pPr>
      <w:pStyle w:val="Footer"/>
      <w:tabs>
        <w:tab w:val="right" w:pos="9638"/>
      </w:tabs>
      <w:rPr>
        <w:b/>
        <w:sz w:val="18"/>
      </w:rPr>
    </w:pPr>
    <w:r>
      <w:tab/>
    </w:r>
    <w:r w:rsidRPr="003A5F98">
      <w:rPr>
        <w:b/>
        <w:sz w:val="18"/>
      </w:rPr>
      <w:fldChar w:fldCharType="begin"/>
    </w:r>
    <w:r w:rsidRPr="003A5F98">
      <w:rPr>
        <w:b/>
        <w:sz w:val="18"/>
      </w:rPr>
      <w:instrText xml:space="preserve"> PAGE  \* MERGEFORMAT </w:instrText>
    </w:r>
    <w:r w:rsidRPr="003A5F98">
      <w:rPr>
        <w:b/>
        <w:sz w:val="18"/>
      </w:rPr>
      <w:fldChar w:fldCharType="separate"/>
    </w:r>
    <w:r w:rsidR="006F3A32">
      <w:rPr>
        <w:b/>
        <w:noProof/>
        <w:sz w:val="18"/>
      </w:rPr>
      <w:t>3</w:t>
    </w:r>
    <w:r w:rsidRPr="003A5F98">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045" w:rsidRPr="000B175B" w:rsidRDefault="00502045" w:rsidP="000B175B">
      <w:pPr>
        <w:tabs>
          <w:tab w:val="right" w:pos="2155"/>
        </w:tabs>
        <w:spacing w:after="80"/>
        <w:ind w:left="680"/>
        <w:rPr>
          <w:u w:val="single"/>
        </w:rPr>
      </w:pPr>
      <w:r>
        <w:rPr>
          <w:u w:val="single"/>
        </w:rPr>
        <w:tab/>
      </w:r>
    </w:p>
  </w:footnote>
  <w:footnote w:type="continuationSeparator" w:id="0">
    <w:p w:rsidR="00502045" w:rsidRPr="00FC68B7" w:rsidRDefault="00502045" w:rsidP="00FC68B7">
      <w:pPr>
        <w:tabs>
          <w:tab w:val="left" w:pos="2155"/>
        </w:tabs>
        <w:spacing w:after="80"/>
        <w:ind w:left="680"/>
        <w:rPr>
          <w:u w:val="single"/>
        </w:rPr>
      </w:pPr>
      <w:r>
        <w:rPr>
          <w:u w:val="single"/>
        </w:rPr>
        <w:tab/>
      </w:r>
    </w:p>
  </w:footnote>
  <w:footnote w:type="continuationNotice" w:id="1">
    <w:p w:rsidR="00502045" w:rsidRDefault="00502045"/>
  </w:footnote>
  <w:footnote w:id="2">
    <w:p w:rsidR="00AB77F3" w:rsidRPr="003A42CA" w:rsidRDefault="00AB77F3" w:rsidP="00AB77F3">
      <w:pPr>
        <w:pStyle w:val="FootnoteText"/>
      </w:pPr>
      <w:r w:rsidRPr="006F1DC3">
        <w:tab/>
      </w:r>
      <w:r>
        <w:rPr>
          <w:rStyle w:val="FootnoteReference"/>
        </w:rPr>
        <w:footnoteRef/>
      </w:r>
      <w:r w:rsidRPr="003A42CA">
        <w:tab/>
      </w:r>
      <w:r>
        <w:t>“</w:t>
      </w:r>
      <w:r w:rsidRPr="00F17FD6">
        <w:t>Climate Change Impacts and Adaptation for International Transport Networks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3" w:rsidRPr="003A5F98" w:rsidRDefault="00AB77F3">
    <w:pPr>
      <w:pStyle w:val="Header"/>
    </w:pPr>
    <w:r>
      <w:t>ECE/TRANS/2016/</w:t>
    </w:r>
    <w:r w:rsidR="00E64CD0">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F3" w:rsidRPr="003A5F98" w:rsidRDefault="00AB77F3" w:rsidP="003A5F98">
    <w:pPr>
      <w:pStyle w:val="Header"/>
      <w:jc w:val="right"/>
    </w:pPr>
    <w:r>
      <w:t>ECE/TRANS/2016/</w:t>
    </w:r>
    <w:r w:rsidR="00E64CD0">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55B6DBA"/>
    <w:multiLevelType w:val="hybridMultilevel"/>
    <w:tmpl w:val="905EEC18"/>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F98"/>
    <w:rsid w:val="00002A7D"/>
    <w:rsid w:val="000038A8"/>
    <w:rsid w:val="00006790"/>
    <w:rsid w:val="00027624"/>
    <w:rsid w:val="0003503B"/>
    <w:rsid w:val="000417AA"/>
    <w:rsid w:val="00047653"/>
    <w:rsid w:val="000477D8"/>
    <w:rsid w:val="00050F6B"/>
    <w:rsid w:val="000678CD"/>
    <w:rsid w:val="00072C8C"/>
    <w:rsid w:val="00081CE0"/>
    <w:rsid w:val="00084D30"/>
    <w:rsid w:val="00090320"/>
    <w:rsid w:val="000931C0"/>
    <w:rsid w:val="000A2E09"/>
    <w:rsid w:val="000B175B"/>
    <w:rsid w:val="000B3A0F"/>
    <w:rsid w:val="000E0415"/>
    <w:rsid w:val="000F7715"/>
    <w:rsid w:val="00147DD9"/>
    <w:rsid w:val="001560F9"/>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12C56"/>
    <w:rsid w:val="00232575"/>
    <w:rsid w:val="002335C3"/>
    <w:rsid w:val="00247258"/>
    <w:rsid w:val="00257CAC"/>
    <w:rsid w:val="0027237A"/>
    <w:rsid w:val="002974E9"/>
    <w:rsid w:val="002A2522"/>
    <w:rsid w:val="002A7F94"/>
    <w:rsid w:val="002B109A"/>
    <w:rsid w:val="002C6D45"/>
    <w:rsid w:val="002D6E53"/>
    <w:rsid w:val="002F046D"/>
    <w:rsid w:val="002F50C2"/>
    <w:rsid w:val="00301764"/>
    <w:rsid w:val="00315472"/>
    <w:rsid w:val="003229D8"/>
    <w:rsid w:val="00336C97"/>
    <w:rsid w:val="00337F88"/>
    <w:rsid w:val="00340331"/>
    <w:rsid w:val="00342432"/>
    <w:rsid w:val="0035223F"/>
    <w:rsid w:val="00352D4B"/>
    <w:rsid w:val="0035638C"/>
    <w:rsid w:val="003672C4"/>
    <w:rsid w:val="0037307F"/>
    <w:rsid w:val="00381F7A"/>
    <w:rsid w:val="003A46BB"/>
    <w:rsid w:val="003A4EC7"/>
    <w:rsid w:val="003A5F98"/>
    <w:rsid w:val="003A7295"/>
    <w:rsid w:val="003B1F60"/>
    <w:rsid w:val="003B5BAD"/>
    <w:rsid w:val="003C2CC4"/>
    <w:rsid w:val="003D4B23"/>
    <w:rsid w:val="003E278A"/>
    <w:rsid w:val="00413520"/>
    <w:rsid w:val="00422FDD"/>
    <w:rsid w:val="004325CB"/>
    <w:rsid w:val="00440A07"/>
    <w:rsid w:val="00462880"/>
    <w:rsid w:val="00476F24"/>
    <w:rsid w:val="004C2BA0"/>
    <w:rsid w:val="004C55B0"/>
    <w:rsid w:val="004D1FC6"/>
    <w:rsid w:val="004E1AF0"/>
    <w:rsid w:val="004F6BA0"/>
    <w:rsid w:val="00502045"/>
    <w:rsid w:val="00503BEA"/>
    <w:rsid w:val="00511975"/>
    <w:rsid w:val="00533616"/>
    <w:rsid w:val="00535ABA"/>
    <w:rsid w:val="0053768B"/>
    <w:rsid w:val="005420F2"/>
    <w:rsid w:val="0054285C"/>
    <w:rsid w:val="00584173"/>
    <w:rsid w:val="00595520"/>
    <w:rsid w:val="005A44B9"/>
    <w:rsid w:val="005B12BA"/>
    <w:rsid w:val="005B1BA0"/>
    <w:rsid w:val="005B3DB3"/>
    <w:rsid w:val="005D15CA"/>
    <w:rsid w:val="005D6B3F"/>
    <w:rsid w:val="005F3066"/>
    <w:rsid w:val="005F3E61"/>
    <w:rsid w:val="00604DDD"/>
    <w:rsid w:val="006115CC"/>
    <w:rsid w:val="00611FC4"/>
    <w:rsid w:val="006176FB"/>
    <w:rsid w:val="00630FCB"/>
    <w:rsid w:val="00640B26"/>
    <w:rsid w:val="006770B2"/>
    <w:rsid w:val="0069328A"/>
    <w:rsid w:val="00693F76"/>
    <w:rsid w:val="006940E1"/>
    <w:rsid w:val="006A3C72"/>
    <w:rsid w:val="006A7392"/>
    <w:rsid w:val="006B03A1"/>
    <w:rsid w:val="006B67D9"/>
    <w:rsid w:val="006C5535"/>
    <w:rsid w:val="006D0589"/>
    <w:rsid w:val="006E564B"/>
    <w:rsid w:val="006E7154"/>
    <w:rsid w:val="006F1DC3"/>
    <w:rsid w:val="006F3A32"/>
    <w:rsid w:val="007003CD"/>
    <w:rsid w:val="0070701E"/>
    <w:rsid w:val="007255BE"/>
    <w:rsid w:val="0072632A"/>
    <w:rsid w:val="00732FD7"/>
    <w:rsid w:val="007358E8"/>
    <w:rsid w:val="00736ECE"/>
    <w:rsid w:val="0074533B"/>
    <w:rsid w:val="007643BC"/>
    <w:rsid w:val="00770F06"/>
    <w:rsid w:val="007959FE"/>
    <w:rsid w:val="007A0CF1"/>
    <w:rsid w:val="007B1E83"/>
    <w:rsid w:val="007B6BA5"/>
    <w:rsid w:val="007C3390"/>
    <w:rsid w:val="007C42D8"/>
    <w:rsid w:val="007C4F4B"/>
    <w:rsid w:val="007D7362"/>
    <w:rsid w:val="007F33C7"/>
    <w:rsid w:val="007F5CE2"/>
    <w:rsid w:val="007F6611"/>
    <w:rsid w:val="00810BAC"/>
    <w:rsid w:val="008175E9"/>
    <w:rsid w:val="008242D7"/>
    <w:rsid w:val="0082577B"/>
    <w:rsid w:val="008472FC"/>
    <w:rsid w:val="00866893"/>
    <w:rsid w:val="00866F02"/>
    <w:rsid w:val="00867D18"/>
    <w:rsid w:val="00871F9A"/>
    <w:rsid w:val="00871FD5"/>
    <w:rsid w:val="0088172E"/>
    <w:rsid w:val="00881EFA"/>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7162"/>
    <w:rsid w:val="00951DE5"/>
    <w:rsid w:val="009610D0"/>
    <w:rsid w:val="0096375C"/>
    <w:rsid w:val="009662E6"/>
    <w:rsid w:val="0097095E"/>
    <w:rsid w:val="0098592B"/>
    <w:rsid w:val="00985FC4"/>
    <w:rsid w:val="00990766"/>
    <w:rsid w:val="00991261"/>
    <w:rsid w:val="009964C4"/>
    <w:rsid w:val="009A431C"/>
    <w:rsid w:val="009A7B81"/>
    <w:rsid w:val="009D01C0"/>
    <w:rsid w:val="009D6A08"/>
    <w:rsid w:val="009E0A16"/>
    <w:rsid w:val="009E6CB7"/>
    <w:rsid w:val="009E7970"/>
    <w:rsid w:val="009F2EAC"/>
    <w:rsid w:val="009F57E3"/>
    <w:rsid w:val="00A10F4F"/>
    <w:rsid w:val="00A11067"/>
    <w:rsid w:val="00A11C60"/>
    <w:rsid w:val="00A1704A"/>
    <w:rsid w:val="00A425EB"/>
    <w:rsid w:val="00A56C25"/>
    <w:rsid w:val="00A70439"/>
    <w:rsid w:val="00A72F22"/>
    <w:rsid w:val="00A733BC"/>
    <w:rsid w:val="00A748A6"/>
    <w:rsid w:val="00A76A69"/>
    <w:rsid w:val="00A879A4"/>
    <w:rsid w:val="00AA0FF8"/>
    <w:rsid w:val="00AB77F3"/>
    <w:rsid w:val="00AC0F2C"/>
    <w:rsid w:val="00AC502A"/>
    <w:rsid w:val="00AF58C1"/>
    <w:rsid w:val="00B04A3F"/>
    <w:rsid w:val="00B052AF"/>
    <w:rsid w:val="00B06643"/>
    <w:rsid w:val="00B15055"/>
    <w:rsid w:val="00B30179"/>
    <w:rsid w:val="00B37B15"/>
    <w:rsid w:val="00B45C02"/>
    <w:rsid w:val="00B65754"/>
    <w:rsid w:val="00B72A1E"/>
    <w:rsid w:val="00B81E12"/>
    <w:rsid w:val="00B870A4"/>
    <w:rsid w:val="00BA339B"/>
    <w:rsid w:val="00BB06C6"/>
    <w:rsid w:val="00BC1E7E"/>
    <w:rsid w:val="00BC74E9"/>
    <w:rsid w:val="00BC7F91"/>
    <w:rsid w:val="00BE36A9"/>
    <w:rsid w:val="00BE618E"/>
    <w:rsid w:val="00BE7BEC"/>
    <w:rsid w:val="00BF0A5A"/>
    <w:rsid w:val="00BF0E63"/>
    <w:rsid w:val="00BF12A3"/>
    <w:rsid w:val="00BF16D7"/>
    <w:rsid w:val="00BF2373"/>
    <w:rsid w:val="00C044E2"/>
    <w:rsid w:val="00C048CB"/>
    <w:rsid w:val="00C066F3"/>
    <w:rsid w:val="00C211BA"/>
    <w:rsid w:val="00C33D43"/>
    <w:rsid w:val="00C463DD"/>
    <w:rsid w:val="00C65F80"/>
    <w:rsid w:val="00C74021"/>
    <w:rsid w:val="00C745C3"/>
    <w:rsid w:val="00CA24A4"/>
    <w:rsid w:val="00CB348D"/>
    <w:rsid w:val="00CB58F0"/>
    <w:rsid w:val="00CC2361"/>
    <w:rsid w:val="00CC3C49"/>
    <w:rsid w:val="00CC7980"/>
    <w:rsid w:val="00CD46F5"/>
    <w:rsid w:val="00CE4A8F"/>
    <w:rsid w:val="00CF071D"/>
    <w:rsid w:val="00D15B04"/>
    <w:rsid w:val="00D2031B"/>
    <w:rsid w:val="00D25FE2"/>
    <w:rsid w:val="00D3685B"/>
    <w:rsid w:val="00D37DA9"/>
    <w:rsid w:val="00D406A7"/>
    <w:rsid w:val="00D43252"/>
    <w:rsid w:val="00D44D86"/>
    <w:rsid w:val="00D50B7D"/>
    <w:rsid w:val="00D52012"/>
    <w:rsid w:val="00D704E5"/>
    <w:rsid w:val="00D72727"/>
    <w:rsid w:val="00D978C6"/>
    <w:rsid w:val="00DA0956"/>
    <w:rsid w:val="00DA357F"/>
    <w:rsid w:val="00DA3E12"/>
    <w:rsid w:val="00DA6E92"/>
    <w:rsid w:val="00DC14A6"/>
    <w:rsid w:val="00DC18AD"/>
    <w:rsid w:val="00DF7CAE"/>
    <w:rsid w:val="00E377FD"/>
    <w:rsid w:val="00E423C0"/>
    <w:rsid w:val="00E463F0"/>
    <w:rsid w:val="00E5782B"/>
    <w:rsid w:val="00E6414C"/>
    <w:rsid w:val="00E64CD0"/>
    <w:rsid w:val="00E7260F"/>
    <w:rsid w:val="00E8702D"/>
    <w:rsid w:val="00E916A9"/>
    <w:rsid w:val="00E916DE"/>
    <w:rsid w:val="00E925AD"/>
    <w:rsid w:val="00E96630"/>
    <w:rsid w:val="00ED18DC"/>
    <w:rsid w:val="00ED6201"/>
    <w:rsid w:val="00ED7A2A"/>
    <w:rsid w:val="00EF1D7F"/>
    <w:rsid w:val="00F0137E"/>
    <w:rsid w:val="00F21786"/>
    <w:rsid w:val="00F3742B"/>
    <w:rsid w:val="00F41FDB"/>
    <w:rsid w:val="00F507EC"/>
    <w:rsid w:val="00F56D63"/>
    <w:rsid w:val="00F609A9"/>
    <w:rsid w:val="00F80C99"/>
    <w:rsid w:val="00F82619"/>
    <w:rsid w:val="00F867EC"/>
    <w:rsid w:val="00F91B2B"/>
    <w:rsid w:val="00F96BD2"/>
    <w:rsid w:val="00FC03CD"/>
    <w:rsid w:val="00FC0646"/>
    <w:rsid w:val="00FC5355"/>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7B1E83"/>
    <w:rPr>
      <w:b/>
      <w:sz w:val="28"/>
      <w:lang w:eastAsia="en-US"/>
    </w:rPr>
  </w:style>
  <w:style w:type="character" w:customStyle="1" w:styleId="SingleTxtGChar">
    <w:name w:val="_ Single Txt_G Char"/>
    <w:link w:val="SingleTxtG"/>
    <w:locked/>
    <w:rsid w:val="007B1E83"/>
    <w:rPr>
      <w:lang w:eastAsia="en-US"/>
    </w:rPr>
  </w:style>
  <w:style w:type="character" w:styleId="CommentReference">
    <w:name w:val="annotation reference"/>
    <w:basedOn w:val="DefaultParagraphFont"/>
    <w:rsid w:val="0069328A"/>
    <w:rPr>
      <w:sz w:val="16"/>
      <w:szCs w:val="16"/>
    </w:rPr>
  </w:style>
  <w:style w:type="paragraph" w:styleId="CommentText">
    <w:name w:val="annotation text"/>
    <w:basedOn w:val="Normal"/>
    <w:link w:val="CommentTextChar"/>
    <w:rsid w:val="0069328A"/>
    <w:pPr>
      <w:spacing w:line="240" w:lineRule="auto"/>
    </w:pPr>
  </w:style>
  <w:style w:type="character" w:customStyle="1" w:styleId="CommentTextChar">
    <w:name w:val="Comment Text Char"/>
    <w:basedOn w:val="DefaultParagraphFont"/>
    <w:link w:val="CommentText"/>
    <w:rsid w:val="0069328A"/>
    <w:rPr>
      <w:lang w:eastAsia="en-US"/>
    </w:rPr>
  </w:style>
  <w:style w:type="paragraph" w:styleId="CommentSubject">
    <w:name w:val="annotation subject"/>
    <w:basedOn w:val="CommentText"/>
    <w:next w:val="CommentText"/>
    <w:link w:val="CommentSubjectChar"/>
    <w:rsid w:val="0069328A"/>
    <w:rPr>
      <w:b/>
      <w:bCs/>
    </w:rPr>
  </w:style>
  <w:style w:type="character" w:customStyle="1" w:styleId="CommentSubjectChar">
    <w:name w:val="Comment Subject Char"/>
    <w:basedOn w:val="CommentTextChar"/>
    <w:link w:val="CommentSubject"/>
    <w:rsid w:val="0069328A"/>
    <w:rPr>
      <w:b/>
      <w:bCs/>
      <w:lang w:eastAsia="en-US"/>
    </w:rPr>
  </w:style>
  <w:style w:type="paragraph" w:styleId="Revision">
    <w:name w:val="Revision"/>
    <w:hidden/>
    <w:uiPriority w:val="99"/>
    <w:semiHidden/>
    <w:rsid w:val="00CB58F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basedOn w:val="DefaultParagraphFont"/>
    <w:rsid w:val="00E925AD"/>
    <w:rPr>
      <w:rFonts w:ascii="Times New Roman" w:hAnsi="Times New Roman"/>
      <w:sz w:val="18"/>
      <w:vertAlign w:val="superscript"/>
    </w:rPr>
  </w:style>
  <w:style w:type="paragraph" w:styleId="FootnoteText">
    <w:name w:val="footnote text"/>
    <w:aliases w:val="5_G"/>
    <w:basedOn w:val="Normal"/>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semiHidden/>
    <w:rsid w:val="00E925AD"/>
    <w:rPr>
      <w:color w:val="auto"/>
      <w:u w:val="none"/>
    </w:rPr>
  </w:style>
  <w:style w:type="paragraph" w:styleId="BalloonText">
    <w:name w:val="Balloon Text"/>
    <w:basedOn w:val="Normal"/>
    <w:link w:val="BalloonTextChar"/>
    <w:rsid w:val="003A5F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F98"/>
    <w:rPr>
      <w:rFonts w:ascii="Tahoma" w:hAnsi="Tahoma" w:cs="Tahoma"/>
      <w:sz w:val="16"/>
      <w:szCs w:val="16"/>
      <w:lang w:eastAsia="en-US"/>
    </w:rPr>
  </w:style>
  <w:style w:type="character" w:customStyle="1" w:styleId="HChGChar">
    <w:name w:val="_ H _Ch_G Char"/>
    <w:link w:val="HChG"/>
    <w:locked/>
    <w:rsid w:val="007B1E83"/>
    <w:rPr>
      <w:b/>
      <w:sz w:val="28"/>
      <w:lang w:eastAsia="en-US"/>
    </w:rPr>
  </w:style>
  <w:style w:type="character" w:customStyle="1" w:styleId="SingleTxtGChar">
    <w:name w:val="_ Single Txt_G Char"/>
    <w:link w:val="SingleTxtG"/>
    <w:locked/>
    <w:rsid w:val="007B1E83"/>
    <w:rPr>
      <w:lang w:eastAsia="en-US"/>
    </w:rPr>
  </w:style>
  <w:style w:type="character" w:styleId="CommentReference">
    <w:name w:val="annotation reference"/>
    <w:basedOn w:val="DefaultParagraphFont"/>
    <w:rsid w:val="0069328A"/>
    <w:rPr>
      <w:sz w:val="16"/>
      <w:szCs w:val="16"/>
    </w:rPr>
  </w:style>
  <w:style w:type="paragraph" w:styleId="CommentText">
    <w:name w:val="annotation text"/>
    <w:basedOn w:val="Normal"/>
    <w:link w:val="CommentTextChar"/>
    <w:rsid w:val="0069328A"/>
    <w:pPr>
      <w:spacing w:line="240" w:lineRule="auto"/>
    </w:pPr>
  </w:style>
  <w:style w:type="character" w:customStyle="1" w:styleId="CommentTextChar">
    <w:name w:val="Comment Text Char"/>
    <w:basedOn w:val="DefaultParagraphFont"/>
    <w:link w:val="CommentText"/>
    <w:rsid w:val="0069328A"/>
    <w:rPr>
      <w:lang w:eastAsia="en-US"/>
    </w:rPr>
  </w:style>
  <w:style w:type="paragraph" w:styleId="CommentSubject">
    <w:name w:val="annotation subject"/>
    <w:basedOn w:val="CommentText"/>
    <w:next w:val="CommentText"/>
    <w:link w:val="CommentSubjectChar"/>
    <w:rsid w:val="0069328A"/>
    <w:rPr>
      <w:b/>
      <w:bCs/>
    </w:rPr>
  </w:style>
  <w:style w:type="character" w:customStyle="1" w:styleId="CommentSubjectChar">
    <w:name w:val="Comment Subject Char"/>
    <w:basedOn w:val="CommentTextChar"/>
    <w:link w:val="CommentSubject"/>
    <w:rsid w:val="0069328A"/>
    <w:rPr>
      <w:b/>
      <w:bCs/>
      <w:lang w:eastAsia="en-US"/>
    </w:rPr>
  </w:style>
  <w:style w:type="paragraph" w:styleId="Revision">
    <w:name w:val="Revision"/>
    <w:hidden/>
    <w:uiPriority w:val="99"/>
    <w:semiHidden/>
    <w:rsid w:val="00CB58F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695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rinova.ECE-800531\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11D86-FC9D-43FB-83A5-579DC1F9F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Template>
  <TotalTime>11</TotalTime>
  <Pages>8</Pages>
  <Words>2632</Words>
  <Characters>14923</Characters>
  <Application>Microsoft Office Word</Application>
  <DocSecurity>0</DocSecurity>
  <Lines>266</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Anastasia Barinova</dc:creator>
  <cp:lastModifiedBy>Anastasia Barinova</cp:lastModifiedBy>
  <cp:revision>12</cp:revision>
  <cp:lastPrinted>2009-02-18T09:36:00Z</cp:lastPrinted>
  <dcterms:created xsi:type="dcterms:W3CDTF">2015-12-15T13:11:00Z</dcterms:created>
  <dcterms:modified xsi:type="dcterms:W3CDTF">2015-12-15T13:22:00Z</dcterms:modified>
</cp:coreProperties>
</file>