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2B" w:rsidRPr="00714A47" w:rsidRDefault="005F512B" w:rsidP="005F512B">
      <w:pPr>
        <w:spacing w:line="60" w:lineRule="exact"/>
        <w:rPr>
          <w:color w:val="010000"/>
          <w:sz w:val="6"/>
        </w:rPr>
        <w:sectPr w:rsidR="005F512B" w:rsidRPr="00714A47" w:rsidSect="005F51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714A47" w:rsidRPr="00714A47" w:rsidRDefault="00714A47" w:rsidP="00714A47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</w:rPr>
      </w:pPr>
      <w:r w:rsidRPr="00714A47">
        <w:rPr>
          <w:sz w:val="28"/>
          <w:szCs w:val="28"/>
        </w:rPr>
        <w:lastRenderedPageBreak/>
        <w:t>Европейская экономическая комиссия</w:t>
      </w:r>
    </w:p>
    <w:p w:rsidR="00714A47" w:rsidRPr="00714A47" w:rsidRDefault="00714A47" w:rsidP="00714A47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 w:val="0"/>
          <w:sz w:val="10"/>
          <w:szCs w:val="28"/>
        </w:rPr>
      </w:pPr>
    </w:p>
    <w:p w:rsidR="00714A47" w:rsidRPr="00714A47" w:rsidRDefault="00714A47" w:rsidP="00714A47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sz w:val="28"/>
          <w:szCs w:val="28"/>
        </w:rPr>
      </w:pPr>
      <w:r w:rsidRPr="00714A47">
        <w:rPr>
          <w:b w:val="0"/>
          <w:sz w:val="28"/>
          <w:szCs w:val="28"/>
        </w:rPr>
        <w:t>Комитет по внутреннему транспорту</w:t>
      </w:r>
    </w:p>
    <w:p w:rsidR="00714A47" w:rsidRPr="00714A47" w:rsidRDefault="00714A47" w:rsidP="00714A4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714A47" w:rsidRPr="00714A47" w:rsidRDefault="00714A47" w:rsidP="00714A47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14A47">
        <w:t>Семьдесят восьмая сессия</w:t>
      </w:r>
    </w:p>
    <w:p w:rsidR="00714A47" w:rsidRPr="00714A47" w:rsidRDefault="00714A47" w:rsidP="00714A4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14A47">
        <w:t>Женева, 23–26 февраля 2016 года</w:t>
      </w:r>
    </w:p>
    <w:p w:rsidR="00714A47" w:rsidRPr="00714A47" w:rsidRDefault="00714A47" w:rsidP="00714A4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14A47">
        <w:t>Пункт 4 d) i) предварительной повестки дня</w:t>
      </w:r>
    </w:p>
    <w:p w:rsidR="00714A47" w:rsidRPr="00714A47" w:rsidRDefault="00714A47" w:rsidP="00714A47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14A47">
        <w:t xml:space="preserve">Стратегические вопросы горизонтальной политики: </w:t>
      </w:r>
    </w:p>
    <w:p w:rsidR="00714A47" w:rsidRPr="00714A47" w:rsidRDefault="00714A47" w:rsidP="00714A47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14A47">
        <w:t>окружающая среда, изменение климата и транспорт –</w:t>
      </w:r>
    </w:p>
    <w:p w:rsidR="00714A47" w:rsidRPr="00714A47" w:rsidRDefault="00714A47" w:rsidP="00714A47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14A47">
        <w:t>Последующая деятельность КВТ в контексте «Рио+20»</w:t>
      </w:r>
    </w:p>
    <w:p w:rsidR="00714A47" w:rsidRPr="00714A47" w:rsidRDefault="00714A47" w:rsidP="00714A47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14A47">
        <w:t>и повестки дня в области развития на период до 2030 года</w:t>
      </w:r>
    </w:p>
    <w:p w:rsidR="00714A47" w:rsidRPr="00714A47" w:rsidRDefault="00714A47" w:rsidP="00714A47">
      <w:pPr>
        <w:pStyle w:val="SingleTxt"/>
        <w:spacing w:after="0" w:line="120" w:lineRule="exact"/>
        <w:rPr>
          <w:b/>
          <w:sz w:val="10"/>
        </w:rPr>
      </w:pPr>
    </w:p>
    <w:p w:rsidR="00714A47" w:rsidRPr="00714A47" w:rsidRDefault="00714A47" w:rsidP="00714A47">
      <w:pPr>
        <w:pStyle w:val="SingleTxt"/>
        <w:spacing w:after="0" w:line="120" w:lineRule="exact"/>
        <w:rPr>
          <w:b/>
          <w:sz w:val="10"/>
        </w:rPr>
      </w:pPr>
    </w:p>
    <w:p w:rsidR="00714A47" w:rsidRPr="00714A47" w:rsidRDefault="00714A47" w:rsidP="00714A47">
      <w:pPr>
        <w:pStyle w:val="SingleTxt"/>
        <w:spacing w:after="0" w:line="120" w:lineRule="exact"/>
        <w:rPr>
          <w:b/>
          <w:sz w:val="10"/>
        </w:rPr>
      </w:pPr>
    </w:p>
    <w:p w:rsidR="00714A47" w:rsidRPr="00714A47" w:rsidRDefault="00714A47" w:rsidP="00714A4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4A47">
        <w:tab/>
      </w:r>
      <w:r w:rsidRPr="00714A47">
        <w:tab/>
        <w:t>Устойчивый транспорт в контексте</w:t>
      </w:r>
      <w:r>
        <w:t xml:space="preserve"> повестки дня на</w:t>
      </w:r>
      <w:r>
        <w:rPr>
          <w:lang w:val="en-US"/>
        </w:rPr>
        <w:t> </w:t>
      </w:r>
      <w:r w:rsidRPr="00714A47">
        <w:t>период до 2030 года и целей устойчивого развития</w:t>
      </w:r>
    </w:p>
    <w:p w:rsidR="00714A47" w:rsidRPr="00714A47" w:rsidRDefault="00714A47" w:rsidP="00714A47">
      <w:pPr>
        <w:pStyle w:val="SingleTxt"/>
        <w:spacing w:after="0" w:line="120" w:lineRule="exact"/>
        <w:rPr>
          <w:b/>
          <w:sz w:val="10"/>
        </w:rPr>
      </w:pPr>
    </w:p>
    <w:p w:rsidR="00714A47" w:rsidRPr="00714A47" w:rsidRDefault="00714A47" w:rsidP="00714A47">
      <w:pPr>
        <w:pStyle w:val="SingleTxt"/>
        <w:spacing w:after="0" w:line="120" w:lineRule="exact"/>
        <w:rPr>
          <w:b/>
          <w:sz w:val="10"/>
        </w:rPr>
      </w:pPr>
    </w:p>
    <w:p w:rsidR="00714A47" w:rsidRDefault="00714A47" w:rsidP="00714A4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714A47">
        <w:tab/>
      </w:r>
      <w:r w:rsidRPr="00714A47">
        <w:tab/>
        <w:t>Записка секретариата</w:t>
      </w:r>
    </w:p>
    <w:p w:rsidR="00714A47" w:rsidRPr="00714A47" w:rsidRDefault="00714A47" w:rsidP="00714A47">
      <w:pPr>
        <w:pStyle w:val="SingleTxt"/>
        <w:spacing w:after="0" w:line="120" w:lineRule="exact"/>
        <w:rPr>
          <w:sz w:val="10"/>
          <w:lang w:val="en-US"/>
        </w:rPr>
      </w:pPr>
    </w:p>
    <w:p w:rsidR="00714A47" w:rsidRPr="00714A47" w:rsidRDefault="00714A47" w:rsidP="00714A47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714A47" w:rsidTr="00714A47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714A47" w:rsidRPr="00714A47" w:rsidRDefault="00714A47" w:rsidP="00714A47">
            <w:pPr>
              <w:tabs>
                <w:tab w:val="left" w:pos="240"/>
              </w:tabs>
              <w:spacing w:before="240" w:after="120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ab/>
            </w:r>
            <w:proofErr w:type="spellStart"/>
            <w:r>
              <w:rPr>
                <w:i/>
                <w:sz w:val="24"/>
                <w:lang w:val="en-US"/>
              </w:rPr>
              <w:t>Резюме</w:t>
            </w:r>
            <w:proofErr w:type="spellEnd"/>
          </w:p>
        </w:tc>
      </w:tr>
      <w:tr w:rsidR="00714A47" w:rsidRPr="00714A47" w:rsidTr="00714A47">
        <w:tc>
          <w:tcPr>
            <w:tcW w:w="10051" w:type="dxa"/>
            <w:shd w:val="clear" w:color="auto" w:fill="auto"/>
          </w:tcPr>
          <w:p w:rsidR="00714A47" w:rsidRPr="00714A47" w:rsidRDefault="00714A47" w:rsidP="00714A47">
            <w:pPr>
              <w:pStyle w:val="SingleTxt"/>
            </w:pPr>
            <w:r w:rsidRPr="00714A47">
              <w:tab/>
              <w:t>В настоящем документе содержится информация об основных изменениях, касающихся роли устойчивого транспорта в контексте недавно принятой повес</w:t>
            </w:r>
            <w:r w:rsidRPr="00714A47">
              <w:t>т</w:t>
            </w:r>
            <w:r w:rsidRPr="00714A47">
              <w:t>ки дня для устойчивого развития на период до 2030 года и целей в области устойчивого развития.</w:t>
            </w:r>
          </w:p>
        </w:tc>
      </w:tr>
      <w:tr w:rsidR="00714A47" w:rsidRPr="00714A47" w:rsidTr="00714A47">
        <w:tc>
          <w:tcPr>
            <w:tcW w:w="10051" w:type="dxa"/>
            <w:shd w:val="clear" w:color="auto" w:fill="auto"/>
          </w:tcPr>
          <w:p w:rsidR="00714A47" w:rsidRPr="00714A47" w:rsidRDefault="00714A47" w:rsidP="00714A47">
            <w:pPr>
              <w:pStyle w:val="SingleTxt"/>
            </w:pPr>
            <w:r w:rsidRPr="007C721A">
              <w:tab/>
            </w:r>
            <w:proofErr w:type="gramStart"/>
            <w:r w:rsidRPr="00714A47">
              <w:t>С учетом роли КВТ в решении глобальных транспортных вопросов, в том числе посредством правовых документов Организации Объединенных Наций и находящихся в ведении Комитета правил глобального и регионального географ</w:t>
            </w:r>
            <w:r w:rsidRPr="00714A47">
              <w:t>и</w:t>
            </w:r>
            <w:r w:rsidRPr="00714A47">
              <w:t>ческого охвата, а также в свете соответствующей аналитической деятельности, мероприятий по наращиванию потенциала и проводимого им диалога по вопр</w:t>
            </w:r>
            <w:r w:rsidRPr="00714A47">
              <w:t>о</w:t>
            </w:r>
            <w:r w:rsidRPr="00714A47">
              <w:t xml:space="preserve">сам политики КВТ, возможно, пожелает </w:t>
            </w:r>
            <w:r w:rsidRPr="00714A47">
              <w:rPr>
                <w:b/>
                <w:bCs/>
              </w:rPr>
              <w:t xml:space="preserve">обсудить пути повышения </w:t>
            </w:r>
            <w:r w:rsidRPr="00714A47">
              <w:t xml:space="preserve">своей роли и </w:t>
            </w:r>
            <w:r w:rsidRPr="00714A47">
              <w:rPr>
                <w:b/>
                <w:bCs/>
              </w:rPr>
              <w:t>расширения</w:t>
            </w:r>
            <w:r w:rsidRPr="00714A47">
              <w:t xml:space="preserve"> вклада в выполнение</w:t>
            </w:r>
            <w:proofErr w:type="gramEnd"/>
            <w:r w:rsidRPr="00714A47">
              <w:t xml:space="preserve"> задач, связанных с транспортом, в контексте повестки дня на период до 2030 года.</w:t>
            </w:r>
          </w:p>
        </w:tc>
      </w:tr>
      <w:tr w:rsidR="00714A47" w:rsidRPr="00714A47" w:rsidTr="00714A47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714A47" w:rsidRPr="00714A47" w:rsidRDefault="00714A47" w:rsidP="00714A47">
            <w:pPr>
              <w:pStyle w:val="SingleTxt"/>
            </w:pPr>
          </w:p>
        </w:tc>
      </w:tr>
    </w:tbl>
    <w:p w:rsidR="00714A47" w:rsidRPr="00714A47" w:rsidRDefault="00714A47" w:rsidP="00714A47">
      <w:pPr>
        <w:pStyle w:val="SingleTxt"/>
        <w:spacing w:after="0" w:line="120" w:lineRule="exact"/>
        <w:rPr>
          <w:b/>
          <w:sz w:val="10"/>
        </w:rPr>
      </w:pPr>
    </w:p>
    <w:p w:rsidR="00714A47" w:rsidRPr="00714A47" w:rsidRDefault="00714A47" w:rsidP="00714A47">
      <w:pPr>
        <w:pStyle w:val="SingleTxt"/>
        <w:spacing w:after="0" w:line="120" w:lineRule="exact"/>
        <w:rPr>
          <w:b/>
          <w:sz w:val="10"/>
        </w:rPr>
      </w:pPr>
    </w:p>
    <w:p w:rsidR="00714A47" w:rsidRPr="00714A47" w:rsidRDefault="00714A47" w:rsidP="00714A47">
      <w:pPr>
        <w:pStyle w:val="SingleTxt"/>
        <w:spacing w:after="0" w:line="120" w:lineRule="exact"/>
        <w:rPr>
          <w:b/>
          <w:sz w:val="10"/>
        </w:rPr>
      </w:pPr>
    </w:p>
    <w:p w:rsidR="00714A47" w:rsidRPr="00714A47" w:rsidRDefault="00714A47" w:rsidP="00714A47">
      <w:pPr>
        <w:pStyle w:val="HCh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 w:rsidRPr="00714A47">
        <w:lastRenderedPageBreak/>
        <w:tab/>
        <w:t>I.</w:t>
      </w:r>
      <w:r w:rsidRPr="00714A47">
        <w:tab/>
        <w:t>Политический конт</w:t>
      </w:r>
      <w:r>
        <w:t>екст: повестка дня на период до</w:t>
      </w:r>
      <w:r>
        <w:rPr>
          <w:lang w:val="en-US"/>
        </w:rPr>
        <w:t> </w:t>
      </w:r>
      <w:r w:rsidRPr="00714A47">
        <w:t>2030 года</w:t>
      </w:r>
    </w:p>
    <w:p w:rsidR="00714A47" w:rsidRPr="00714A47" w:rsidRDefault="00714A47" w:rsidP="00714A47">
      <w:pPr>
        <w:pStyle w:val="SingleTxt"/>
        <w:spacing w:after="0" w:line="120" w:lineRule="exact"/>
        <w:rPr>
          <w:sz w:val="10"/>
        </w:rPr>
      </w:pPr>
    </w:p>
    <w:p w:rsidR="00714A47" w:rsidRPr="00714A47" w:rsidRDefault="00714A47" w:rsidP="00714A47">
      <w:pPr>
        <w:pStyle w:val="SingleTxt"/>
        <w:spacing w:after="0" w:line="120" w:lineRule="exact"/>
        <w:rPr>
          <w:sz w:val="10"/>
        </w:rPr>
      </w:pPr>
    </w:p>
    <w:p w:rsidR="00714A47" w:rsidRPr="00714A47" w:rsidRDefault="00714A47" w:rsidP="00714A47">
      <w:pPr>
        <w:pStyle w:val="SingleTxt"/>
      </w:pPr>
      <w:r w:rsidRPr="00714A47">
        <w:t>1.</w:t>
      </w:r>
      <w:r w:rsidRPr="00714A47">
        <w:tab/>
        <w:t>27 сентября 2015 года лидеры страны мира, собравшиеся на саммите Орг</w:t>
      </w:r>
      <w:r w:rsidRPr="00714A47">
        <w:t>а</w:t>
      </w:r>
      <w:r w:rsidRPr="00714A47">
        <w:t>низации Объединенных Наций по устойчивому развитию, выразили свою реш</w:t>
      </w:r>
      <w:r w:rsidRPr="00714A47">
        <w:t>и</w:t>
      </w:r>
      <w:r w:rsidRPr="00714A47">
        <w:t>мость предпринять смелые реформаторские шаги, которые настоятельно необх</w:t>
      </w:r>
      <w:r w:rsidRPr="00714A47">
        <w:t>о</w:t>
      </w:r>
      <w:r w:rsidRPr="00714A47">
        <w:t xml:space="preserve">димы для того, чтобы вывести мир на траекторию устойчивого и жизнестойкого развития. </w:t>
      </w:r>
    </w:p>
    <w:p w:rsidR="00714A47" w:rsidRPr="00714A47" w:rsidRDefault="00714A47" w:rsidP="00714A47">
      <w:pPr>
        <w:pStyle w:val="SingleTxt"/>
      </w:pPr>
      <w:r w:rsidRPr="00714A47">
        <w:t>2.</w:t>
      </w:r>
      <w:r w:rsidRPr="00714A47">
        <w:tab/>
        <w:t>Для этого они утвердили 17 целей в области устойчивого развития и 169 с</w:t>
      </w:r>
      <w:r w:rsidRPr="00714A47">
        <w:t>о</w:t>
      </w:r>
      <w:r w:rsidRPr="00714A47">
        <w:t>ответствующих задач на период до 2030 года, которые призваны помочь челов</w:t>
      </w:r>
      <w:r w:rsidRPr="00714A47">
        <w:t>е</w:t>
      </w:r>
      <w:r w:rsidRPr="00714A47">
        <w:t xml:space="preserve">честву вновь встать на добродетельный путь устойчивого развития. </w:t>
      </w:r>
    </w:p>
    <w:p w:rsidR="00714A47" w:rsidRPr="00714A47" w:rsidRDefault="00714A47" w:rsidP="00714A47">
      <w:pPr>
        <w:pStyle w:val="SingleTxt"/>
        <w:spacing w:after="0" w:line="120" w:lineRule="exact"/>
        <w:rPr>
          <w:b/>
          <w:sz w:val="10"/>
        </w:rPr>
      </w:pPr>
    </w:p>
    <w:p w:rsidR="00714A47" w:rsidRPr="00714A47" w:rsidRDefault="00714A47" w:rsidP="00714A47">
      <w:pPr>
        <w:pStyle w:val="SingleTxt"/>
        <w:spacing w:after="0" w:line="120" w:lineRule="exact"/>
        <w:rPr>
          <w:b/>
          <w:sz w:val="10"/>
        </w:rPr>
      </w:pPr>
    </w:p>
    <w:p w:rsidR="00714A47" w:rsidRPr="00714A47" w:rsidRDefault="00714A47" w:rsidP="00714A4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4A47">
        <w:tab/>
        <w:t>II.</w:t>
      </w:r>
      <w:r w:rsidRPr="00714A47">
        <w:tab/>
        <w:t>Практическая реализация повестки дня на период до</w:t>
      </w:r>
      <w:r>
        <w:rPr>
          <w:lang w:val="en-US"/>
        </w:rPr>
        <w:t> </w:t>
      </w:r>
      <w:r w:rsidRPr="00714A47">
        <w:t>2030 года</w:t>
      </w:r>
    </w:p>
    <w:p w:rsidR="00714A47" w:rsidRPr="00714A47" w:rsidRDefault="00714A47" w:rsidP="00714A47">
      <w:pPr>
        <w:pStyle w:val="SingleTxt"/>
        <w:spacing w:after="0" w:line="120" w:lineRule="exact"/>
        <w:rPr>
          <w:sz w:val="10"/>
        </w:rPr>
      </w:pPr>
    </w:p>
    <w:p w:rsidR="00714A47" w:rsidRPr="00714A47" w:rsidRDefault="00714A47" w:rsidP="00714A47">
      <w:pPr>
        <w:pStyle w:val="SingleTxt"/>
        <w:spacing w:after="0" w:line="120" w:lineRule="exact"/>
        <w:rPr>
          <w:sz w:val="10"/>
        </w:rPr>
      </w:pPr>
    </w:p>
    <w:p w:rsidR="00714A47" w:rsidRPr="00714A47" w:rsidRDefault="00714A47" w:rsidP="00714A47">
      <w:pPr>
        <w:pStyle w:val="SingleTxt"/>
      </w:pPr>
      <w:r w:rsidRPr="00714A47">
        <w:t>3.</w:t>
      </w:r>
      <w:r w:rsidRPr="00714A47">
        <w:tab/>
        <w:t xml:space="preserve">Масштабность и </w:t>
      </w:r>
      <w:proofErr w:type="spellStart"/>
      <w:r w:rsidRPr="00714A47">
        <w:t>амбициозность</w:t>
      </w:r>
      <w:proofErr w:type="spellEnd"/>
      <w:r w:rsidRPr="00714A47">
        <w:t xml:space="preserve"> этой новой универсальной повестки дня таковы, что ее успех будет во многом зависеть от ее практической реализации, которая неизбежно повлечет за собой необходимость доработки показателей для оценки прогресса в деле достижения ЦУР.</w:t>
      </w:r>
    </w:p>
    <w:p w:rsidR="00714A47" w:rsidRPr="00714A47" w:rsidRDefault="00714A47" w:rsidP="00714A47">
      <w:pPr>
        <w:pStyle w:val="SingleTxt"/>
      </w:pPr>
      <w:r w:rsidRPr="00714A47">
        <w:t>4.</w:t>
      </w:r>
      <w:r w:rsidRPr="00714A47">
        <w:tab/>
        <w:t>Эту деятельность возглавляет Статистическая комиссия Организации Об</w:t>
      </w:r>
      <w:r w:rsidRPr="00714A47">
        <w:t>ъ</w:t>
      </w:r>
      <w:r w:rsidRPr="00714A47">
        <w:t xml:space="preserve">единенных Наций (СКООН), которая намерена утвердить рамочную систему оценочных показателей на своей следующей сессии в марте 2016 года. Широко распространено мнение, что последующая деятельность в контексте повестки дня в области развития на период после 2015 года должна иметь прочную </w:t>
      </w:r>
      <w:proofErr w:type="spellStart"/>
      <w:r w:rsidRPr="00714A47">
        <w:t>факт</w:t>
      </w:r>
      <w:r w:rsidRPr="00714A47">
        <w:t>о</w:t>
      </w:r>
      <w:r w:rsidRPr="00714A47">
        <w:t>логическую</w:t>
      </w:r>
      <w:proofErr w:type="spellEnd"/>
      <w:r w:rsidRPr="00714A47">
        <w:t xml:space="preserve"> основу. В этом состоит один из уроков, извлеченных в процессе ре</w:t>
      </w:r>
      <w:r w:rsidRPr="00714A47">
        <w:t>а</w:t>
      </w:r>
      <w:r w:rsidRPr="00714A47">
        <w:t>лизации целей в области развития, сформулированных в Декларации тысячел</w:t>
      </w:r>
      <w:r w:rsidRPr="00714A47">
        <w:t>е</w:t>
      </w:r>
      <w:r w:rsidRPr="00714A47">
        <w:t xml:space="preserve">тия (ЦРДТ). </w:t>
      </w:r>
    </w:p>
    <w:p w:rsidR="00714A47" w:rsidRPr="00714A47" w:rsidRDefault="00714A47" w:rsidP="00714A47">
      <w:pPr>
        <w:pStyle w:val="SingleTxt"/>
      </w:pPr>
      <w:r w:rsidRPr="00714A47">
        <w:t>5.</w:t>
      </w:r>
      <w:r w:rsidRPr="00714A47">
        <w:tab/>
        <w:t xml:space="preserve">Следующий этап практической реализации </w:t>
      </w:r>
      <w:r>
        <w:t>повестки дня на период до 2030</w:t>
      </w:r>
      <w:r>
        <w:rPr>
          <w:lang w:val="en-US"/>
        </w:rPr>
        <w:t> </w:t>
      </w:r>
      <w:r w:rsidRPr="00714A47">
        <w:t xml:space="preserve">года состоит в разработке перечня показателей для оценки прогресса в деле достижения ЦУР и выполнения соответствующих задач; эту деятельность взяла на себя </w:t>
      </w:r>
      <w:proofErr w:type="spellStart"/>
      <w:r w:rsidR="00B26AE3">
        <w:t>Межуч</w:t>
      </w:r>
      <w:r w:rsidRPr="00714A47">
        <w:t>режденческая</w:t>
      </w:r>
      <w:proofErr w:type="spellEnd"/>
      <w:r w:rsidRPr="00714A47">
        <w:t xml:space="preserve"> группа экспертов по показателям ЦУР (МГЭП-ЦУР). На сегодняшний день этот перечень вклю</w:t>
      </w:r>
      <w:r>
        <w:t>чает свыше 220 показателей: 165</w:t>
      </w:r>
      <w:r>
        <w:rPr>
          <w:lang w:val="en-US"/>
        </w:rPr>
        <w:t> </w:t>
      </w:r>
      <w:r w:rsidRPr="00714A47">
        <w:t>уже согласованы, а остальные обсуждаются.</w:t>
      </w:r>
    </w:p>
    <w:p w:rsidR="00714A47" w:rsidRPr="00714A47" w:rsidRDefault="00714A47" w:rsidP="00714A47">
      <w:pPr>
        <w:pStyle w:val="SingleTxt"/>
      </w:pPr>
      <w:r w:rsidRPr="00714A47">
        <w:t>6.</w:t>
      </w:r>
      <w:r w:rsidRPr="00714A47">
        <w:tab/>
        <w:t>Комплексные требования, связанные с новой повесткой дня в области ра</w:t>
      </w:r>
      <w:r w:rsidRPr="00714A47">
        <w:t>з</w:t>
      </w:r>
      <w:r w:rsidRPr="00714A47">
        <w:t>вития, также создают серьезные трудности с точки зрения статистических систем и их потенциала. Поэтому необходимо предпринять значительные усилия по с</w:t>
      </w:r>
      <w:r w:rsidRPr="00714A47">
        <w:t>о</w:t>
      </w:r>
      <w:r w:rsidRPr="00714A47">
        <w:t>зданию и расширению статистического потенциала для мониторинга внедрения рамочной основы на период после 2015 года.</w:t>
      </w:r>
    </w:p>
    <w:p w:rsidR="00714A47" w:rsidRPr="00714A47" w:rsidRDefault="00714A47" w:rsidP="00714A47">
      <w:pPr>
        <w:pStyle w:val="SingleTxt"/>
      </w:pPr>
      <w:r w:rsidRPr="00714A47">
        <w:t>7.</w:t>
      </w:r>
      <w:r w:rsidRPr="00714A47">
        <w:tab/>
        <w:t>Что касается статистики, то через свою подпрограмму по статистике ЕЭК ООН продолжает принимать активное участие в разработке статистической о</w:t>
      </w:r>
      <w:r w:rsidRPr="00714A47">
        <w:t>с</w:t>
      </w:r>
      <w:r w:rsidRPr="00714A47">
        <w:t>новы для мониторинга достижения ЦУР в качестве члена Межучережденческой группы экспертов по показателям ЦУР (МГЭП-ЦУР) и Группы товарищей Пре</w:t>
      </w:r>
      <w:r w:rsidRPr="00714A47">
        <w:t>д</w:t>
      </w:r>
      <w:r w:rsidRPr="00714A47">
        <w:t xml:space="preserve">седателя </w:t>
      </w:r>
      <w:proofErr w:type="gramStart"/>
      <w:r w:rsidRPr="00714A47">
        <w:t>СБ</w:t>
      </w:r>
      <w:proofErr w:type="gramEnd"/>
      <w:r w:rsidRPr="00714A47">
        <w:t xml:space="preserve"> ООН по вопросам более широких показателей оценки прогресса. </w:t>
      </w:r>
    </w:p>
    <w:p w:rsidR="00714A47" w:rsidRPr="00714A47" w:rsidRDefault="00714A47" w:rsidP="00714A47">
      <w:pPr>
        <w:pStyle w:val="SingleTxt"/>
      </w:pPr>
      <w:r w:rsidRPr="00714A47">
        <w:t>8.</w:t>
      </w:r>
      <w:r w:rsidRPr="00714A47">
        <w:tab/>
        <w:t>Кроме того, Рабочая группа КВТ по статистике транспорта (WP.6) является межправительственным органом, занимающимся разработкой надлежащих мет</w:t>
      </w:r>
      <w:r w:rsidRPr="00714A47">
        <w:t>о</w:t>
      </w:r>
      <w:r w:rsidRPr="00714A47">
        <w:t>дологий и терминологии для согласования транспортной статистики, а также сбором данных по вопросам транспорта, в том числе о дорожной безопасности, среди государств-членов и распространением таких данных. Так, в 2015 году д</w:t>
      </w:r>
      <w:r w:rsidRPr="00714A47">
        <w:t>о</w:t>
      </w:r>
      <w:r w:rsidRPr="00714A47">
        <w:t>кументы по статистике транспорта ЕЭК ООН и статистике безопасности доро</w:t>
      </w:r>
      <w:r w:rsidRPr="00714A47">
        <w:t>ж</w:t>
      </w:r>
      <w:r w:rsidRPr="00714A47">
        <w:t xml:space="preserve">ного движения ЕЭК ООН были опубликованы в электронном формате на всех </w:t>
      </w:r>
      <w:r w:rsidRPr="00714A47">
        <w:lastRenderedPageBreak/>
        <w:t>трех языках Комиссии. Эта деятельность вполне может стать частью монитори</w:t>
      </w:r>
      <w:r w:rsidRPr="00714A47">
        <w:t>н</w:t>
      </w:r>
      <w:r w:rsidRPr="00714A47">
        <w:t xml:space="preserve">га реализации связанных с транспортом ЦУР и задач и послужить вкладом в этот процесс. </w:t>
      </w:r>
    </w:p>
    <w:p w:rsidR="00714A47" w:rsidRPr="00714A47" w:rsidRDefault="00714A47" w:rsidP="00714A47">
      <w:pPr>
        <w:pStyle w:val="SingleTxt"/>
      </w:pPr>
      <w:r w:rsidRPr="00714A47">
        <w:t>9.</w:t>
      </w:r>
      <w:r w:rsidRPr="00714A47">
        <w:tab/>
        <w:t>Кроме того, ЕЭК ООН через свою подпрограмму по транспорту принимает участие в деятельности Технической рабочей группы ООН, которая обеспечивает поддержку Консультативной группы высокого уровня по устойчивому транспо</w:t>
      </w:r>
      <w:r w:rsidRPr="00714A47">
        <w:t>р</w:t>
      </w:r>
      <w:r w:rsidRPr="00714A47">
        <w:t>ту, сформированной Генеральным секретарем Организации Объединенных Наций и также участвующей в обсуждениях.</w:t>
      </w:r>
    </w:p>
    <w:p w:rsidR="00714A47" w:rsidRPr="00714A47" w:rsidRDefault="00714A47" w:rsidP="00714A47">
      <w:pPr>
        <w:pStyle w:val="SingleTxt"/>
      </w:pPr>
      <w:r w:rsidRPr="00714A47">
        <w:t>10.</w:t>
      </w:r>
      <w:r w:rsidRPr="00714A47">
        <w:tab/>
        <w:t>Каков следующий шаг? Порядка 220 показателей будут включены в пер</w:t>
      </w:r>
      <w:r w:rsidRPr="00714A47">
        <w:t>е</w:t>
      </w:r>
      <w:r w:rsidRPr="00714A47">
        <w:t xml:space="preserve">чень, который будет представлен на утверждение </w:t>
      </w:r>
      <w:proofErr w:type="gramStart"/>
      <w:r w:rsidRPr="00714A47">
        <w:t>СБ</w:t>
      </w:r>
      <w:proofErr w:type="gramEnd"/>
      <w:r w:rsidRPr="00714A47">
        <w:t xml:space="preserve"> ООН. Обсуждение откр</w:t>
      </w:r>
      <w:r w:rsidRPr="00714A47">
        <w:t>ы</w:t>
      </w:r>
      <w:r w:rsidRPr="00714A47">
        <w:t>тых вопросов продолжится с декабря 2015 года по февраль 2016 года. Оконч</w:t>
      </w:r>
      <w:r w:rsidRPr="00714A47">
        <w:t>а</w:t>
      </w:r>
      <w:r w:rsidRPr="00714A47">
        <w:t xml:space="preserve">тельные решения по показателям, которые еще предстоит согласовать, найдут отражение в справочном документе для </w:t>
      </w:r>
      <w:proofErr w:type="gramStart"/>
      <w:r w:rsidRPr="00714A47">
        <w:t>СБ</w:t>
      </w:r>
      <w:proofErr w:type="gramEnd"/>
      <w:r w:rsidRPr="00714A47">
        <w:t xml:space="preserve"> ООН. Ожидается, что </w:t>
      </w:r>
      <w:proofErr w:type="gramStart"/>
      <w:r w:rsidRPr="00714A47">
        <w:t>СБ</w:t>
      </w:r>
      <w:proofErr w:type="gramEnd"/>
      <w:r w:rsidRPr="00714A47">
        <w:t xml:space="preserve"> ООН утве</w:t>
      </w:r>
      <w:r w:rsidRPr="00714A47">
        <w:t>р</w:t>
      </w:r>
      <w:r w:rsidRPr="00714A47">
        <w:t>дит полный перечень показателей в марте 2016 года, после чего в апреле 2016 г</w:t>
      </w:r>
      <w:r w:rsidRPr="00714A47">
        <w:t>о</w:t>
      </w:r>
      <w:r w:rsidRPr="00714A47">
        <w:t xml:space="preserve">да он будет передан для принятия ЭКОСОС, а в сентябре 2016 года </w:t>
      </w:r>
      <w:r w:rsidR="00BC343F" w:rsidRPr="00BC343F">
        <w:t>–</w:t>
      </w:r>
      <w:r w:rsidRPr="00714A47">
        <w:t xml:space="preserve"> Генерал</w:t>
      </w:r>
      <w:r w:rsidRPr="00714A47">
        <w:t>ь</w:t>
      </w:r>
      <w:r w:rsidRPr="00714A47">
        <w:t>ной Ассамблее.</w:t>
      </w:r>
    </w:p>
    <w:p w:rsidR="00BC343F" w:rsidRPr="00BC343F" w:rsidRDefault="00BC343F" w:rsidP="00BC343F">
      <w:pPr>
        <w:pStyle w:val="SingleTxt"/>
        <w:spacing w:after="0" w:line="120" w:lineRule="exact"/>
        <w:rPr>
          <w:b/>
          <w:sz w:val="10"/>
        </w:rPr>
      </w:pPr>
    </w:p>
    <w:p w:rsidR="00BC343F" w:rsidRPr="00BC343F" w:rsidRDefault="00BC343F" w:rsidP="00BC343F">
      <w:pPr>
        <w:pStyle w:val="SingleTxt"/>
        <w:spacing w:after="0" w:line="120" w:lineRule="exact"/>
        <w:rPr>
          <w:b/>
          <w:sz w:val="10"/>
        </w:rPr>
      </w:pPr>
    </w:p>
    <w:p w:rsidR="00714A47" w:rsidRPr="00BC343F" w:rsidRDefault="00714A47" w:rsidP="00BC343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4A47">
        <w:tab/>
        <w:t>III.</w:t>
      </w:r>
      <w:r w:rsidRPr="00714A47">
        <w:tab/>
        <w:t>Реализация ЦУР и роль КВ</w:t>
      </w:r>
      <w:r w:rsidR="00BC343F">
        <w:t>Т и его вспомогательных органов</w:t>
      </w:r>
    </w:p>
    <w:p w:rsidR="00BC343F" w:rsidRPr="00BC343F" w:rsidRDefault="00BC343F" w:rsidP="00BC343F">
      <w:pPr>
        <w:pStyle w:val="SingleTxt"/>
        <w:spacing w:after="0" w:line="120" w:lineRule="exact"/>
        <w:rPr>
          <w:sz w:val="10"/>
        </w:rPr>
      </w:pPr>
    </w:p>
    <w:p w:rsidR="00BC343F" w:rsidRPr="00BC343F" w:rsidRDefault="00BC343F" w:rsidP="00BC343F">
      <w:pPr>
        <w:pStyle w:val="SingleTxt"/>
        <w:spacing w:after="0" w:line="120" w:lineRule="exact"/>
        <w:rPr>
          <w:sz w:val="10"/>
        </w:rPr>
      </w:pPr>
    </w:p>
    <w:p w:rsidR="00714A47" w:rsidRPr="00714A47" w:rsidRDefault="00714A47" w:rsidP="00714A47">
      <w:pPr>
        <w:pStyle w:val="SingleTxt"/>
      </w:pPr>
      <w:r w:rsidRPr="00714A47">
        <w:t>11.</w:t>
      </w:r>
      <w:r w:rsidRPr="00714A47">
        <w:tab/>
        <w:t>То, что поддается оценке, доводится до конца. Таким образом, важная роль отводится механизму мониторинга достижения ЦУР. Начались обсуждения, к</w:t>
      </w:r>
      <w:r w:rsidRPr="00714A47">
        <w:t>а</w:t>
      </w:r>
      <w:r w:rsidRPr="00714A47">
        <w:t xml:space="preserve">сающиеся механизма осуществления последующей деятельности и обзора для повестки дня в области развития на период после 2015 года. Ключевой вопрос в этой связи состоит в </w:t>
      </w:r>
      <w:proofErr w:type="gramStart"/>
      <w:r w:rsidRPr="00714A47">
        <w:t>следующем</w:t>
      </w:r>
      <w:proofErr w:type="gramEnd"/>
      <w:r w:rsidRPr="00714A47">
        <w:t>: какой вклад участники на национальном, рег</w:t>
      </w:r>
      <w:r w:rsidRPr="00714A47">
        <w:t>и</w:t>
      </w:r>
      <w:r w:rsidRPr="00714A47">
        <w:t>ональном и глобальном уровнях могут внести в создание механизма мониторинга и обзора, и как эти уровни могут быть связаны между собой? Компонент мон</w:t>
      </w:r>
      <w:r w:rsidRPr="00714A47">
        <w:t>и</w:t>
      </w:r>
      <w:r w:rsidRPr="00714A47">
        <w:t>торинга в рамках этого механизма понимается как процесс отслеживания пр</w:t>
      </w:r>
      <w:r w:rsidRPr="00714A47">
        <w:t>о</w:t>
      </w:r>
      <w:r w:rsidRPr="00714A47">
        <w:t>гресса в деле реализации целей и задач на основе данных и показателей. Под компонентом же обзора в рамках указанного механизма понимается процесс ан</w:t>
      </w:r>
      <w:r w:rsidRPr="00714A47">
        <w:t>а</w:t>
      </w:r>
      <w:r w:rsidRPr="00714A47">
        <w:t>лиза тенденций и их причин, выявления недостатков стратегий и вынесения р</w:t>
      </w:r>
      <w:r w:rsidRPr="00714A47">
        <w:t>е</w:t>
      </w:r>
      <w:r w:rsidRPr="00714A47">
        <w:t>комендаций по повышению эффективности реализации ЦУР на основе надлеж</w:t>
      </w:r>
      <w:r w:rsidRPr="00714A47">
        <w:t>а</w:t>
      </w:r>
      <w:r w:rsidRPr="00714A47">
        <w:t xml:space="preserve">щего мониторинга и </w:t>
      </w:r>
      <w:proofErr w:type="spellStart"/>
      <w:r w:rsidRPr="00714A47">
        <w:t>фактологической</w:t>
      </w:r>
      <w:proofErr w:type="spellEnd"/>
      <w:r w:rsidRPr="00714A47">
        <w:t xml:space="preserve"> базы.</w:t>
      </w:r>
    </w:p>
    <w:p w:rsidR="00714A47" w:rsidRPr="00714A47" w:rsidRDefault="00714A47" w:rsidP="00714A47">
      <w:pPr>
        <w:pStyle w:val="SingleTxt"/>
      </w:pPr>
      <w:r w:rsidRPr="00714A47">
        <w:t>12.</w:t>
      </w:r>
      <w:r w:rsidRPr="00714A47">
        <w:tab/>
        <w:t>Мониторинг является лишь одним из аспектов процесса преобразований. Он не заменяет мер, направленных на достижение намеченных целей. В будущем странам будет требоваться все больше поддержки в достижении ЦУР. Поэтому крайне важно претворить глобальные ЦУР в конкретные меры, которые полож</w:t>
      </w:r>
      <w:r w:rsidRPr="00714A47">
        <w:t>и</w:t>
      </w:r>
      <w:r w:rsidRPr="00714A47">
        <w:t>тельно скажутся на жизни людей. Такая практическая реализация может ос</w:t>
      </w:r>
      <w:r w:rsidRPr="00714A47">
        <w:t>у</w:t>
      </w:r>
      <w:r w:rsidRPr="00714A47">
        <w:t>ществляться только посредством разработки стратегических рекомендаций, пр</w:t>
      </w:r>
      <w:r w:rsidRPr="00714A47">
        <w:t>а</w:t>
      </w:r>
      <w:r w:rsidRPr="00714A47">
        <w:t xml:space="preserve">вил, руководящих принципов и правовых документов, которые предусматривают конкретные действия и содействуют становлению на путь устойчивого развития, в том числе в сфере транспорта и мобильности. </w:t>
      </w:r>
    </w:p>
    <w:p w:rsidR="00714A47" w:rsidRPr="00714A47" w:rsidRDefault="00714A47" w:rsidP="00714A47">
      <w:pPr>
        <w:pStyle w:val="SingleTxt"/>
      </w:pPr>
      <w:r w:rsidRPr="00714A47">
        <w:t>13.</w:t>
      </w:r>
      <w:r w:rsidRPr="00714A47">
        <w:tab/>
        <w:t>Какую роль может сыграть КВТ в поддержке устойчивого развития тран</w:t>
      </w:r>
      <w:r w:rsidRPr="00714A47">
        <w:t>с</w:t>
      </w:r>
      <w:r w:rsidRPr="00714A47">
        <w:t>порта и мобильности?</w:t>
      </w:r>
    </w:p>
    <w:p w:rsidR="00714A47" w:rsidRPr="00714A47" w:rsidRDefault="00BC343F" w:rsidP="00714A47">
      <w:pPr>
        <w:pStyle w:val="SingleTxt"/>
      </w:pPr>
      <w:r w:rsidRPr="007C721A">
        <w:tab/>
      </w:r>
      <w:r w:rsidR="00714A47" w:rsidRPr="00714A47">
        <w:t>a)</w:t>
      </w:r>
      <w:r w:rsidR="00714A47" w:rsidRPr="00714A47">
        <w:tab/>
        <w:t>Может ли КВТ внести вклад в мониторинг достижений в процессе р</w:t>
      </w:r>
      <w:r w:rsidR="00714A47" w:rsidRPr="00714A47">
        <w:t>е</w:t>
      </w:r>
      <w:r w:rsidR="00714A47" w:rsidRPr="00714A47">
        <w:t xml:space="preserve">ализации ЦУР? Обзор осуществления может проводиться по линии различных механизмов, например КВТ в качестве одного из секторальных комитетов ЕЭК ООН либо договорных органов юридически обязательных документов. </w:t>
      </w:r>
      <w:proofErr w:type="gramStart"/>
      <w:r w:rsidR="00714A47" w:rsidRPr="00714A47">
        <w:t>Поскол</w:t>
      </w:r>
      <w:r w:rsidR="00714A47" w:rsidRPr="00714A47">
        <w:t>ь</w:t>
      </w:r>
      <w:r w:rsidR="00714A47" w:rsidRPr="00714A47">
        <w:t>ку КВТ является единственным органом Организации Объединенных Наций, к</w:t>
      </w:r>
      <w:r w:rsidR="00714A47" w:rsidRPr="00714A47">
        <w:t>о</w:t>
      </w:r>
      <w:r w:rsidR="00714A47" w:rsidRPr="00714A47">
        <w:t xml:space="preserve">торый занимается всем спектром вопросов внутреннего транспорта, и выступает одним из главных органов, в ведении которых находятся конвенции Организации </w:t>
      </w:r>
      <w:r w:rsidR="00714A47" w:rsidRPr="00714A47">
        <w:lastRenderedPageBreak/>
        <w:t>Объединенных Наций по внутреннему транспорту, правила в области транспор</w:t>
      </w:r>
      <w:r w:rsidR="00714A47" w:rsidRPr="00714A47">
        <w:t>т</w:t>
      </w:r>
      <w:r w:rsidR="00714A47" w:rsidRPr="00714A47">
        <w:t>ных средств и правила перевозки опасных грузов, на Комитет закономерно пад</w:t>
      </w:r>
      <w:r w:rsidR="00714A47" w:rsidRPr="00714A47">
        <w:t>а</w:t>
      </w:r>
      <w:r w:rsidR="00714A47" w:rsidRPr="00714A47">
        <w:t>ет выбор в качестве координатора обзора связанных с транспортом целей, вкл</w:t>
      </w:r>
      <w:r w:rsidR="00714A47" w:rsidRPr="00714A47">
        <w:t>ю</w:t>
      </w:r>
      <w:r w:rsidR="00714A47" w:rsidRPr="00714A47">
        <w:t>ченных в ряд предлагаемых ЦУР</w:t>
      </w:r>
      <w:proofErr w:type="gramEnd"/>
      <w:r w:rsidR="00714A47" w:rsidRPr="00714A47">
        <w:t>. Если выбор будет сделан в пользу КВТ, то р</w:t>
      </w:r>
      <w:r w:rsidR="00714A47" w:rsidRPr="00714A47">
        <w:t>а</w:t>
      </w:r>
      <w:r w:rsidR="00714A47" w:rsidRPr="00714A47">
        <w:t>бочая нагрузка секретариата значительно увеличится, что потребует создания с</w:t>
      </w:r>
      <w:r w:rsidR="00714A47" w:rsidRPr="00714A47">
        <w:t>о</w:t>
      </w:r>
      <w:r w:rsidR="00714A47" w:rsidRPr="00714A47">
        <w:t>ответствующего дополнительного количества должностей в Отделе транспорта. В то же время может быть принято решение не привлекать КВТ и Отдел усто</w:t>
      </w:r>
      <w:r w:rsidR="00714A47" w:rsidRPr="00714A47">
        <w:t>й</w:t>
      </w:r>
      <w:r w:rsidR="00714A47" w:rsidRPr="00714A47">
        <w:t>чивого развития транспорта к участию в процессе мониторинга.</w:t>
      </w:r>
    </w:p>
    <w:p w:rsidR="00714A47" w:rsidRPr="00714A47" w:rsidRDefault="00BC343F" w:rsidP="00714A47">
      <w:pPr>
        <w:pStyle w:val="SingleTxt"/>
      </w:pPr>
      <w:r w:rsidRPr="007C721A">
        <w:tab/>
      </w:r>
      <w:r w:rsidR="00714A47" w:rsidRPr="00714A47">
        <w:t>b)</w:t>
      </w:r>
      <w:r w:rsidR="00714A47" w:rsidRPr="00714A47">
        <w:tab/>
        <w:t xml:space="preserve">Следует ли сосредоточить внимание на поддержке реализации ЦУР посредством осуществления аналитической деятельности и мероприятий по наращиванию потенциала, а также ведения стратегического диалога? </w:t>
      </w:r>
      <w:proofErr w:type="gramStart"/>
      <w:r w:rsidR="00714A47" w:rsidRPr="00714A47">
        <w:t>Благодаря проводимой им аналитической работе глобальной значимости, широкому кругу мероприятий по наращиванию потенциала, стратегическим аналитическим и</w:t>
      </w:r>
      <w:r w:rsidR="00714A47" w:rsidRPr="00714A47">
        <w:t>н</w:t>
      </w:r>
      <w:r w:rsidR="00714A47" w:rsidRPr="00714A47">
        <w:t>струментам и сегменту по вопросам политики в рамках своей ежегодной сессии КВТ обеспечивает ресурсы, инструменты и механизмы, которые могут служить катализатором более обстоятельного и предметного стратегического диалога на уровне руководителей директивных органов из числа представителей правител</w:t>
      </w:r>
      <w:r w:rsidR="00714A47" w:rsidRPr="00714A47">
        <w:t>ь</w:t>
      </w:r>
      <w:r w:rsidR="00714A47" w:rsidRPr="00714A47">
        <w:t>ств, деловых и научных кругов.</w:t>
      </w:r>
      <w:proofErr w:type="gramEnd"/>
    </w:p>
    <w:p w:rsidR="00714A47" w:rsidRPr="00714A47" w:rsidRDefault="00714A47" w:rsidP="00714A47">
      <w:pPr>
        <w:pStyle w:val="SingleTxt"/>
      </w:pPr>
      <w:r w:rsidRPr="00714A47">
        <w:t>14.</w:t>
      </w:r>
      <w:r w:rsidRPr="00714A47">
        <w:tab/>
        <w:t xml:space="preserve">Кроме того, согласованные к настоящему времени показатели могут быть не самыми оптимальными или полными, по крайней </w:t>
      </w:r>
      <w:proofErr w:type="gramStart"/>
      <w:r w:rsidRPr="00714A47">
        <w:t>мере</w:t>
      </w:r>
      <w:proofErr w:type="gramEnd"/>
      <w:r w:rsidRPr="00714A47">
        <w:t xml:space="preserve"> применительно к тран</w:t>
      </w:r>
      <w:r w:rsidRPr="00714A47">
        <w:t>с</w:t>
      </w:r>
      <w:r w:rsidRPr="00714A47">
        <w:t>порту. Здесь следует отметить, что хотя большинство целей в той или иной мере связаны с транспортом, соответствующие показатели не всегда являются для н</w:t>
      </w:r>
      <w:r w:rsidRPr="00714A47">
        <w:t>е</w:t>
      </w:r>
      <w:r w:rsidRPr="00714A47">
        <w:t xml:space="preserve">го актуальными. Например, одним из аспектов правил перевозки опасных грузов является предотвращение загрязнения водной среды. </w:t>
      </w:r>
      <w:proofErr w:type="gramStart"/>
      <w:r w:rsidR="00BC343F">
        <w:t>Критерии охватывают: i)</w:t>
      </w:r>
      <w:r w:rsidR="00BC343F">
        <w:rPr>
          <w:lang w:val="en-US"/>
        </w:rPr>
        <w:t> </w:t>
      </w:r>
      <w:r w:rsidRPr="00714A47">
        <w:t xml:space="preserve">вещества, представляющие опасность для водной среды, и особые требования к их упаковке и маркировке; </w:t>
      </w:r>
      <w:proofErr w:type="spellStart"/>
      <w:r w:rsidRPr="00714A47">
        <w:t>ii</w:t>
      </w:r>
      <w:proofErr w:type="spellEnd"/>
      <w:r w:rsidRPr="00714A47">
        <w:t>) конструкцию и эксплуатацию транспортных средств и используемых во внутреннем судоходстве танкеров для нефти и хим</w:t>
      </w:r>
      <w:r w:rsidRPr="00714A47">
        <w:t>и</w:t>
      </w:r>
      <w:r w:rsidRPr="00714A47">
        <w:t>ческих продуктов в целях предотвращения утечки этих веществ в пресноводные водоемы и реки во время перевозки.</w:t>
      </w:r>
      <w:proofErr w:type="gramEnd"/>
      <w:r w:rsidRPr="00714A47">
        <w:t xml:space="preserve"> Наша работа является весьма актуальной в контексте задач 3.9</w:t>
      </w:r>
      <w:r w:rsidRPr="00BC343F">
        <w:rPr>
          <w:vertAlign w:val="superscript"/>
        </w:rPr>
        <w:footnoteReference w:id="1"/>
      </w:r>
      <w:r w:rsidRPr="00714A47">
        <w:t xml:space="preserve"> и 6.3</w:t>
      </w:r>
      <w:r w:rsidRPr="00BC343F">
        <w:rPr>
          <w:vertAlign w:val="superscript"/>
        </w:rPr>
        <w:footnoteReference w:id="2"/>
      </w:r>
      <w:r w:rsidRPr="00714A47">
        <w:t xml:space="preserve">, однако лишь косвенно соотносится с согласованными показателями. </w:t>
      </w:r>
    </w:p>
    <w:p w:rsidR="00714A47" w:rsidRPr="00714A47" w:rsidRDefault="00714A47" w:rsidP="00714A47">
      <w:pPr>
        <w:pStyle w:val="SingleTxt"/>
      </w:pPr>
      <w:r w:rsidRPr="00714A47">
        <w:t>15.</w:t>
      </w:r>
      <w:r w:rsidRPr="00714A47">
        <w:tab/>
        <w:t xml:space="preserve">В нижеследующей таблице перечислены ЦУР и задачи, </w:t>
      </w:r>
      <w:proofErr w:type="gramStart"/>
      <w:r w:rsidRPr="00714A47">
        <w:t>показатели</w:t>
      </w:r>
      <w:proofErr w:type="gramEnd"/>
      <w:r w:rsidRPr="00714A47">
        <w:t xml:space="preserve"> реализ</w:t>
      </w:r>
      <w:r w:rsidRPr="00714A47">
        <w:t>а</w:t>
      </w:r>
      <w:r w:rsidRPr="00714A47">
        <w:t>ции которых непосредственным образом связаны с работой КВТ и его вспомог</w:t>
      </w:r>
      <w:r w:rsidRPr="00714A47">
        <w:t>а</w:t>
      </w:r>
      <w:r w:rsidRPr="00714A47">
        <w:t>тельных органов.</w:t>
      </w:r>
    </w:p>
    <w:p w:rsidR="00714A47" w:rsidRPr="00714A47" w:rsidRDefault="00714A47" w:rsidP="00714A47">
      <w:pPr>
        <w:pStyle w:val="SingleTxt"/>
      </w:pPr>
      <w:r w:rsidRPr="00714A47">
        <w:t>16.</w:t>
      </w:r>
      <w:r w:rsidRPr="00714A47">
        <w:tab/>
      </w:r>
      <w:proofErr w:type="gramStart"/>
      <w:r w:rsidRPr="00714A47">
        <w:t>В целом, с учетом уникальной роли КВТ в решении глобальных транспор</w:t>
      </w:r>
      <w:r w:rsidRPr="00714A47">
        <w:t>т</w:t>
      </w:r>
      <w:r w:rsidRPr="00714A47">
        <w:t>ных вопросов, в том числе посредством правовых документов Организации Об</w:t>
      </w:r>
      <w:r w:rsidRPr="00714A47">
        <w:t>ъ</w:t>
      </w:r>
      <w:r w:rsidRPr="00714A47">
        <w:t>единенных Наций и находящихся в его ведении правил, Комитет, возможно, п</w:t>
      </w:r>
      <w:r w:rsidRPr="00714A47">
        <w:t>о</w:t>
      </w:r>
      <w:r w:rsidRPr="00714A47">
        <w:t>желает рассмотреть возможные варианты и пути укрепления своей роли в деле реализации связанных с транспортом ЦУР и соответствующих задач в контексте повестки дня на период до 2030 года, включая те задачи</w:t>
      </w:r>
      <w:proofErr w:type="gramEnd"/>
      <w:r w:rsidRPr="00714A47">
        <w:t xml:space="preserve">, показатели </w:t>
      </w:r>
      <w:proofErr w:type="gramStart"/>
      <w:r w:rsidRPr="00714A47">
        <w:t>выполнения</w:t>
      </w:r>
      <w:proofErr w:type="gramEnd"/>
      <w:r w:rsidRPr="00714A47">
        <w:t xml:space="preserve"> которых не соотносятся с работой Комитета и не отражают ее важность. </w:t>
      </w:r>
    </w:p>
    <w:p w:rsidR="00BC343F" w:rsidRPr="00BC343F" w:rsidRDefault="00BC343F" w:rsidP="00BC343F">
      <w:pPr>
        <w:pStyle w:val="SingleTxt"/>
        <w:spacing w:after="0" w:line="120" w:lineRule="exact"/>
        <w:rPr>
          <w:sz w:val="10"/>
        </w:rPr>
      </w:pPr>
    </w:p>
    <w:p w:rsidR="00714A47" w:rsidRPr="00714A47" w:rsidRDefault="00BC343F" w:rsidP="00BC343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C721A">
        <w:lastRenderedPageBreak/>
        <w:tab/>
      </w:r>
      <w:r w:rsidRPr="007C721A">
        <w:tab/>
      </w:r>
      <w:r w:rsidR="00714A47" w:rsidRPr="00BC343F">
        <w:rPr>
          <w:b w:val="0"/>
        </w:rPr>
        <w:t>Таблица</w:t>
      </w:r>
      <w:r w:rsidRPr="00BC343F">
        <w:rPr>
          <w:b w:val="0"/>
        </w:rPr>
        <w:br/>
      </w:r>
      <w:r w:rsidR="00714A47" w:rsidRPr="00714A47">
        <w:t xml:space="preserve">Связанные с транспортом цели в области устойчивого развития, соответствующие задачи и показатели </w:t>
      </w:r>
    </w:p>
    <w:p w:rsidR="005F512B" w:rsidRPr="00BC343F" w:rsidRDefault="005F512B" w:rsidP="00BC343F">
      <w:pPr>
        <w:pStyle w:val="SingleTxt"/>
        <w:keepNext/>
        <w:spacing w:after="0" w:line="120" w:lineRule="exact"/>
        <w:rPr>
          <w:sz w:val="10"/>
        </w:rPr>
      </w:pPr>
    </w:p>
    <w:p w:rsidR="00BC343F" w:rsidRPr="00BC343F" w:rsidRDefault="00BC343F" w:rsidP="00BC343F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4"/>
      </w:tblGrid>
      <w:tr w:rsidR="00BC343F" w:rsidRPr="00BC343F" w:rsidTr="00BC343F">
        <w:trPr>
          <w:tblHeader/>
        </w:trPr>
        <w:tc>
          <w:tcPr>
            <w:tcW w:w="75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C343F" w:rsidRPr="00BC343F" w:rsidRDefault="00BC343F" w:rsidP="00BC34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40"/>
              <w:rPr>
                <w:i/>
                <w:sz w:val="14"/>
              </w:rPr>
            </w:pPr>
            <w:r w:rsidRPr="00BC343F">
              <w:rPr>
                <w:i/>
                <w:iCs/>
                <w:sz w:val="14"/>
              </w:rPr>
              <w:t>Цели, связанные с транспортом</w:t>
            </w:r>
          </w:p>
        </w:tc>
      </w:tr>
      <w:tr w:rsidR="00BC343F" w:rsidRPr="00BC343F" w:rsidTr="0015269B">
        <w:trPr>
          <w:trHeight w:hRule="exact" w:val="115"/>
          <w:tblHeader/>
        </w:trPr>
        <w:tc>
          <w:tcPr>
            <w:tcW w:w="75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C343F" w:rsidRPr="00BC343F" w:rsidRDefault="00BC343F" w:rsidP="00BC34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397"/>
            </w:pPr>
          </w:p>
        </w:tc>
      </w:tr>
      <w:tr w:rsidR="00BC343F" w:rsidRPr="00BC343F" w:rsidTr="0015269B">
        <w:tc>
          <w:tcPr>
            <w:tcW w:w="7574" w:type="dxa"/>
            <w:tcBorders>
              <w:bottom w:val="single" w:sz="4" w:space="0" w:color="auto"/>
            </w:tcBorders>
            <w:shd w:val="clear" w:color="auto" w:fill="auto"/>
          </w:tcPr>
          <w:p w:rsidR="00BC343F" w:rsidRPr="00BC343F" w:rsidRDefault="00BC343F" w:rsidP="0067660F">
            <w:pPr>
              <w:tabs>
                <w:tab w:val="left" w:pos="288"/>
                <w:tab w:val="left" w:pos="576"/>
                <w:tab w:val="left" w:pos="1107"/>
              </w:tabs>
              <w:suppressAutoHyphens/>
              <w:spacing w:before="40" w:after="80"/>
              <w:ind w:right="40"/>
            </w:pPr>
            <w:r>
              <w:rPr>
                <w:b/>
                <w:bCs/>
              </w:rPr>
              <w:t>Цель 3.</w:t>
            </w:r>
            <w:r>
              <w:rPr>
                <w:b/>
                <w:bCs/>
              </w:rPr>
              <w:tab/>
            </w:r>
            <w:r w:rsidRPr="00BC343F">
              <w:rPr>
                <w:b/>
                <w:bCs/>
              </w:rPr>
              <w:t>Обеспечение здорового образа жизни и содействие благополучию для всех в любом возрасте</w:t>
            </w:r>
          </w:p>
        </w:tc>
      </w:tr>
      <w:tr w:rsidR="00BC343F" w:rsidRPr="00BC343F" w:rsidTr="0015269B">
        <w:tc>
          <w:tcPr>
            <w:tcW w:w="7574" w:type="dxa"/>
            <w:tcBorders>
              <w:top w:val="single" w:sz="4" w:space="0" w:color="auto"/>
            </w:tcBorders>
            <w:shd w:val="clear" w:color="auto" w:fill="auto"/>
          </w:tcPr>
          <w:p w:rsidR="00BC343F" w:rsidRPr="00BC343F" w:rsidRDefault="00BC343F" w:rsidP="0015269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C343F">
              <w:rPr>
                <w:b/>
                <w:bCs/>
                <w:i/>
                <w:iCs/>
              </w:rPr>
              <w:t>3.6</w:t>
            </w:r>
            <w:proofErr w:type="gramStart"/>
            <w:r w:rsidRPr="00BC343F">
              <w:rPr>
                <w:b/>
                <w:bCs/>
                <w:i/>
                <w:iCs/>
              </w:rPr>
              <w:tab/>
            </w:r>
            <w:r w:rsidR="0067660F" w:rsidRPr="0067660F">
              <w:rPr>
                <w:b/>
                <w:bCs/>
                <w:i/>
                <w:iCs/>
              </w:rPr>
              <w:tab/>
            </w:r>
            <w:r w:rsidRPr="00BC343F">
              <w:rPr>
                <w:b/>
                <w:bCs/>
                <w:i/>
                <w:iCs/>
              </w:rPr>
              <w:t>К</w:t>
            </w:r>
            <w:proofErr w:type="gramEnd"/>
            <w:r w:rsidRPr="00BC343F">
              <w:rPr>
                <w:b/>
                <w:bCs/>
                <w:i/>
                <w:iCs/>
              </w:rPr>
              <w:t xml:space="preserve"> 2020 году вдвое сократить число случаев смерти и травм в мире в результате дорожно-транспортных происшествий</w:t>
            </w:r>
          </w:p>
        </w:tc>
      </w:tr>
      <w:tr w:rsidR="00BC343F" w:rsidRPr="00BC343F" w:rsidTr="00BC343F">
        <w:tc>
          <w:tcPr>
            <w:tcW w:w="7574" w:type="dxa"/>
            <w:shd w:val="clear" w:color="auto" w:fill="auto"/>
          </w:tcPr>
          <w:p w:rsidR="00BC343F" w:rsidRPr="00BC343F" w:rsidRDefault="00BC343F" w:rsidP="00BC34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C343F">
              <w:rPr>
                <w:u w:val="single"/>
              </w:rPr>
              <w:t>Показатель</w:t>
            </w:r>
            <w:r w:rsidRPr="00BC343F">
              <w:t>: Число случаев смерти в результате дорожно-транспортных происшествий на 100 000 человек (стандартизированный по возрасту)</w:t>
            </w:r>
          </w:p>
        </w:tc>
      </w:tr>
      <w:tr w:rsidR="00BC343F" w:rsidRPr="00BC343F" w:rsidTr="00BC343F">
        <w:tc>
          <w:tcPr>
            <w:tcW w:w="7574" w:type="dxa"/>
            <w:shd w:val="clear" w:color="auto" w:fill="auto"/>
          </w:tcPr>
          <w:p w:rsidR="00BC343F" w:rsidRPr="00BC343F" w:rsidRDefault="00BC343F" w:rsidP="00BC34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C343F">
              <w:t>Комитет по внутреннему транспорту ЕЭК ООН является единственным форумом Организации Объединенных Наций, который применяет комплексный подход к проблеме безопасности дорожного движения на основе нормотворческой деятельности, мероприятий по наращиванию потенциала и оказанию технической помощи, аналитической работы и диалога по вопросам политики, охватывающих следующие аспекты:</w:t>
            </w:r>
          </w:p>
        </w:tc>
      </w:tr>
      <w:tr w:rsidR="00BC343F" w:rsidRPr="00BC343F" w:rsidTr="00BC343F">
        <w:tc>
          <w:tcPr>
            <w:tcW w:w="7574" w:type="dxa"/>
            <w:shd w:val="clear" w:color="auto" w:fill="auto"/>
          </w:tcPr>
          <w:p w:rsidR="00BC343F" w:rsidRPr="00BC343F" w:rsidRDefault="0067660F" w:rsidP="0015269B">
            <w:pPr>
              <w:tabs>
                <w:tab w:val="left" w:pos="414"/>
                <w:tab w:val="left" w:pos="576"/>
                <w:tab w:val="left" w:pos="927"/>
                <w:tab w:val="left" w:pos="1107"/>
              </w:tabs>
              <w:suppressAutoHyphens/>
              <w:spacing w:before="40" w:after="80"/>
              <w:ind w:left="180" w:right="40"/>
            </w:pPr>
            <w:r w:rsidRPr="0067660F">
              <w:tab/>
              <w:t>•</w:t>
            </w:r>
            <w:r w:rsidRPr="0067660F">
              <w:tab/>
            </w:r>
            <w:r w:rsidR="00BC343F" w:rsidRPr="00BC343F">
              <w:t>правила дорожного движения;</w:t>
            </w:r>
          </w:p>
        </w:tc>
      </w:tr>
      <w:tr w:rsidR="00BC343F" w:rsidRPr="00BC343F" w:rsidTr="00BC343F">
        <w:tc>
          <w:tcPr>
            <w:tcW w:w="7574" w:type="dxa"/>
            <w:shd w:val="clear" w:color="auto" w:fill="auto"/>
          </w:tcPr>
          <w:p w:rsidR="00BC343F" w:rsidRPr="00BC343F" w:rsidRDefault="0067660F" w:rsidP="0015269B">
            <w:pPr>
              <w:tabs>
                <w:tab w:val="left" w:pos="414"/>
                <w:tab w:val="left" w:pos="576"/>
                <w:tab w:val="left" w:pos="927"/>
                <w:tab w:val="left" w:pos="1107"/>
              </w:tabs>
              <w:suppressAutoHyphens/>
              <w:spacing w:before="40" w:after="80"/>
              <w:ind w:left="180" w:right="40"/>
            </w:pPr>
            <w:r w:rsidRPr="0067660F">
              <w:tab/>
              <w:t>•</w:t>
            </w:r>
            <w:r w:rsidRPr="0067660F">
              <w:tab/>
            </w:r>
            <w:r w:rsidR="00BC343F" w:rsidRPr="00BC343F">
              <w:t>дорожные знаки и сигналы;</w:t>
            </w:r>
          </w:p>
        </w:tc>
      </w:tr>
      <w:tr w:rsidR="00BC343F" w:rsidRPr="00BC343F" w:rsidTr="00BC343F">
        <w:tc>
          <w:tcPr>
            <w:tcW w:w="7574" w:type="dxa"/>
            <w:shd w:val="clear" w:color="auto" w:fill="auto"/>
          </w:tcPr>
          <w:p w:rsidR="00BC343F" w:rsidRPr="00BC343F" w:rsidRDefault="0067660F" w:rsidP="0015269B">
            <w:pPr>
              <w:tabs>
                <w:tab w:val="left" w:pos="414"/>
                <w:tab w:val="left" w:pos="576"/>
                <w:tab w:val="left" w:pos="927"/>
                <w:tab w:val="left" w:pos="1107"/>
              </w:tabs>
              <w:suppressAutoHyphens/>
              <w:spacing w:before="40" w:after="80"/>
              <w:ind w:left="180" w:right="40"/>
            </w:pPr>
            <w:r w:rsidRPr="0067660F">
              <w:tab/>
              <w:t>•</w:t>
            </w:r>
            <w:r w:rsidRPr="0067660F">
              <w:tab/>
            </w:r>
            <w:r w:rsidR="00BC343F" w:rsidRPr="00BC343F">
              <w:t>дорожная инфраструктура;</w:t>
            </w:r>
          </w:p>
        </w:tc>
      </w:tr>
      <w:tr w:rsidR="00BC343F" w:rsidRPr="00BC343F" w:rsidTr="00BC343F">
        <w:tc>
          <w:tcPr>
            <w:tcW w:w="7574" w:type="dxa"/>
            <w:shd w:val="clear" w:color="auto" w:fill="auto"/>
          </w:tcPr>
          <w:p w:rsidR="00BC343F" w:rsidRPr="00BC343F" w:rsidRDefault="0067660F" w:rsidP="0015269B">
            <w:pPr>
              <w:tabs>
                <w:tab w:val="left" w:pos="414"/>
                <w:tab w:val="left" w:pos="576"/>
                <w:tab w:val="left" w:pos="927"/>
                <w:tab w:val="left" w:pos="1107"/>
              </w:tabs>
              <w:suppressAutoHyphens/>
              <w:spacing w:before="40" w:after="80"/>
              <w:ind w:left="180" w:right="40"/>
            </w:pPr>
            <w:r w:rsidRPr="0067660F">
              <w:tab/>
              <w:t>•</w:t>
            </w:r>
            <w:r w:rsidRPr="0067660F">
              <w:tab/>
            </w:r>
            <w:r w:rsidR="00BC343F" w:rsidRPr="00BC343F">
              <w:t>конструкция и периодический осмотр транспортных средств;</w:t>
            </w:r>
          </w:p>
        </w:tc>
      </w:tr>
      <w:tr w:rsidR="00BC343F" w:rsidRPr="00BC343F" w:rsidTr="00BC343F">
        <w:tc>
          <w:tcPr>
            <w:tcW w:w="7574" w:type="dxa"/>
            <w:shd w:val="clear" w:color="auto" w:fill="auto"/>
          </w:tcPr>
          <w:p w:rsidR="00BC343F" w:rsidRPr="00BC343F" w:rsidRDefault="0067660F" w:rsidP="0015269B">
            <w:pPr>
              <w:tabs>
                <w:tab w:val="left" w:pos="414"/>
                <w:tab w:val="left" w:pos="576"/>
                <w:tab w:val="left" w:pos="927"/>
                <w:tab w:val="left" w:pos="1107"/>
              </w:tabs>
              <w:suppressAutoHyphens/>
              <w:spacing w:before="40" w:after="80"/>
              <w:ind w:left="180" w:right="40"/>
            </w:pPr>
            <w:r w:rsidRPr="0067660F">
              <w:tab/>
              <w:t>•</w:t>
            </w:r>
            <w:r w:rsidRPr="0067660F">
              <w:tab/>
            </w:r>
            <w:r w:rsidR="00BC343F" w:rsidRPr="00BC343F">
              <w:t>периоды работы и отдыха профессиональных водителей;</w:t>
            </w:r>
          </w:p>
        </w:tc>
      </w:tr>
      <w:tr w:rsidR="00BC343F" w:rsidRPr="00BC343F" w:rsidTr="0015269B">
        <w:tc>
          <w:tcPr>
            <w:tcW w:w="7574" w:type="dxa"/>
            <w:shd w:val="clear" w:color="auto" w:fill="auto"/>
          </w:tcPr>
          <w:p w:rsidR="00BC343F" w:rsidRPr="00BC343F" w:rsidRDefault="0067660F" w:rsidP="0015269B">
            <w:pPr>
              <w:tabs>
                <w:tab w:val="left" w:pos="414"/>
                <w:tab w:val="left" w:pos="576"/>
                <w:tab w:val="left" w:pos="927"/>
                <w:tab w:val="left" w:pos="1107"/>
              </w:tabs>
              <w:suppressAutoHyphens/>
              <w:spacing w:before="40" w:after="80"/>
              <w:ind w:left="180" w:right="40"/>
            </w:pPr>
            <w:r w:rsidRPr="0067660F">
              <w:tab/>
              <w:t>•</w:t>
            </w:r>
            <w:r w:rsidRPr="0067660F">
              <w:tab/>
            </w:r>
            <w:r w:rsidR="00BC343F" w:rsidRPr="00BC343F">
              <w:t>опасные грузы;</w:t>
            </w:r>
          </w:p>
        </w:tc>
      </w:tr>
      <w:tr w:rsidR="00BC343F" w:rsidRPr="00BC343F" w:rsidTr="0015269B">
        <w:tc>
          <w:tcPr>
            <w:tcW w:w="7574" w:type="dxa"/>
            <w:tcBorders>
              <w:bottom w:val="single" w:sz="12" w:space="0" w:color="auto"/>
            </w:tcBorders>
            <w:shd w:val="clear" w:color="auto" w:fill="auto"/>
          </w:tcPr>
          <w:p w:rsidR="00BC343F" w:rsidRPr="00BC343F" w:rsidRDefault="0067660F" w:rsidP="0015269B">
            <w:pPr>
              <w:tabs>
                <w:tab w:val="left" w:pos="414"/>
                <w:tab w:val="left" w:pos="576"/>
                <w:tab w:val="left" w:pos="927"/>
                <w:tab w:val="left" w:pos="1107"/>
              </w:tabs>
              <w:suppressAutoHyphens/>
              <w:spacing w:before="40" w:after="80"/>
              <w:ind w:left="576" w:right="40" w:hanging="396"/>
            </w:pPr>
            <w:r w:rsidRPr="0067660F">
              <w:tab/>
              <w:t>•</w:t>
            </w:r>
            <w:r w:rsidRPr="0067660F">
              <w:tab/>
            </w:r>
            <w:r w:rsidR="00BC343F" w:rsidRPr="00BC343F">
              <w:t xml:space="preserve">мобилизация политической воли и ресурсов, включая поддержку </w:t>
            </w:r>
            <w:proofErr w:type="gramStart"/>
            <w:r w:rsidR="00BC343F" w:rsidRPr="00BC343F">
              <w:t>работы Специального посланника Генерального секретаря Организации Объединенных Наций</w:t>
            </w:r>
            <w:proofErr w:type="gramEnd"/>
            <w:r w:rsidR="00BC343F" w:rsidRPr="00BC343F">
              <w:t xml:space="preserve"> по безопасности дорожного движения.</w:t>
            </w:r>
          </w:p>
        </w:tc>
      </w:tr>
      <w:tr w:rsidR="00BC343F" w:rsidRPr="00BC343F" w:rsidTr="0015269B">
        <w:tc>
          <w:tcPr>
            <w:tcW w:w="75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C343F" w:rsidRPr="00BC343F" w:rsidRDefault="00BC343F" w:rsidP="0067660F">
            <w:pPr>
              <w:tabs>
                <w:tab w:val="left" w:pos="288"/>
                <w:tab w:val="left" w:pos="576"/>
                <w:tab w:val="left" w:pos="1107"/>
              </w:tabs>
              <w:suppressAutoHyphens/>
              <w:spacing w:before="40" w:after="80"/>
              <w:ind w:right="40"/>
            </w:pPr>
            <w:r>
              <w:rPr>
                <w:b/>
                <w:bCs/>
              </w:rPr>
              <w:t>Цель 9.</w:t>
            </w:r>
            <w:r w:rsidRPr="00BC343F">
              <w:rPr>
                <w:b/>
                <w:bCs/>
              </w:rPr>
              <w:tab/>
              <w:t>Создание стойкой инфрастру</w:t>
            </w:r>
            <w:r>
              <w:rPr>
                <w:b/>
                <w:bCs/>
              </w:rPr>
              <w:t>ктуры, содействие всеохватной и</w:t>
            </w:r>
            <w:r>
              <w:rPr>
                <w:b/>
                <w:bCs/>
                <w:lang w:val="en-US"/>
              </w:rPr>
              <w:t> </w:t>
            </w:r>
            <w:r w:rsidRPr="00BC343F">
              <w:rPr>
                <w:b/>
                <w:bCs/>
              </w:rPr>
              <w:t>устойчивой индустриализации и инновациям</w:t>
            </w:r>
          </w:p>
        </w:tc>
      </w:tr>
      <w:tr w:rsidR="00BC343F" w:rsidRPr="00BC343F" w:rsidTr="0015269B">
        <w:tc>
          <w:tcPr>
            <w:tcW w:w="7574" w:type="dxa"/>
            <w:tcBorders>
              <w:top w:val="single" w:sz="4" w:space="0" w:color="auto"/>
            </w:tcBorders>
            <w:shd w:val="clear" w:color="auto" w:fill="auto"/>
          </w:tcPr>
          <w:p w:rsidR="00BC343F" w:rsidRPr="00BC343F" w:rsidRDefault="00BC343F" w:rsidP="00BC34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C343F">
              <w:rPr>
                <w:b/>
                <w:bCs/>
                <w:i/>
                <w:iCs/>
              </w:rPr>
              <w:t>9.1</w:t>
            </w:r>
            <w:proofErr w:type="gramStart"/>
            <w:r w:rsidRPr="00BC343F">
              <w:rPr>
                <w:b/>
                <w:bCs/>
                <w:i/>
                <w:iCs/>
              </w:rPr>
              <w:tab/>
            </w:r>
            <w:r w:rsidR="0067660F" w:rsidRPr="0067660F">
              <w:rPr>
                <w:b/>
                <w:bCs/>
                <w:i/>
                <w:iCs/>
              </w:rPr>
              <w:tab/>
            </w:r>
            <w:r w:rsidRPr="00BC343F">
              <w:rPr>
                <w:b/>
                <w:bCs/>
                <w:i/>
                <w:iCs/>
              </w:rPr>
              <w:t>Р</w:t>
            </w:r>
            <w:proofErr w:type="gramEnd"/>
            <w:r w:rsidRPr="00BC343F">
              <w:rPr>
                <w:b/>
                <w:bCs/>
                <w:i/>
                <w:iCs/>
              </w:rPr>
              <w:t>азвивать качественную, надежную, устойчивую и стойкую инфраструктуру, включая региональную и трансграничную инфраструктуру, в целях поддержки экономического развития и благополучия людей, уделяя особое внимание обеспечению недорогого и равноправного доступа для всех</w:t>
            </w:r>
          </w:p>
        </w:tc>
      </w:tr>
      <w:tr w:rsidR="00BC343F" w:rsidRPr="00BC343F" w:rsidTr="00BC343F">
        <w:tc>
          <w:tcPr>
            <w:tcW w:w="7574" w:type="dxa"/>
            <w:shd w:val="clear" w:color="auto" w:fill="auto"/>
          </w:tcPr>
          <w:p w:rsidR="00BC343F" w:rsidRPr="00BC343F" w:rsidRDefault="00BC343F" w:rsidP="00BC34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C343F">
              <w:rPr>
                <w:u w:val="single"/>
              </w:rPr>
              <w:t>Показатель 1</w:t>
            </w:r>
            <w:r w:rsidRPr="00BC343F">
              <w:t>: Доля сельского населения, проживающего в пределах 2 км от всесезонных дорог</w:t>
            </w:r>
          </w:p>
        </w:tc>
      </w:tr>
      <w:tr w:rsidR="00BC343F" w:rsidRPr="00BC343F" w:rsidTr="00BC343F">
        <w:tc>
          <w:tcPr>
            <w:tcW w:w="7574" w:type="dxa"/>
            <w:shd w:val="clear" w:color="auto" w:fill="auto"/>
          </w:tcPr>
          <w:p w:rsidR="00BC343F" w:rsidRPr="00BC343F" w:rsidRDefault="00BC343F" w:rsidP="00BC34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C343F">
              <w:rPr>
                <w:u w:val="single"/>
              </w:rPr>
              <w:t>Показатель 2</w:t>
            </w:r>
            <w:r w:rsidRPr="00BC343F">
              <w:t>: Объемы пассажирских и грузовых перевозок</w:t>
            </w:r>
          </w:p>
        </w:tc>
      </w:tr>
      <w:tr w:rsidR="00BC343F" w:rsidRPr="00BC343F" w:rsidTr="0015269B">
        <w:tc>
          <w:tcPr>
            <w:tcW w:w="7574" w:type="dxa"/>
            <w:shd w:val="clear" w:color="auto" w:fill="auto"/>
          </w:tcPr>
          <w:p w:rsidR="00BC343F" w:rsidRPr="00BC343F" w:rsidRDefault="00BC343F" w:rsidP="00BC34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proofErr w:type="gramStart"/>
            <w:r w:rsidRPr="00BC343F">
              <w:t>По линии деятельности Рабочей группы по тенденциям и экономике транспорта (WP.5) в области адаптации к изменениям климата КВТ осуществляет подготовку стратегических рекомендаций, нацеленных на повышение устойчивости систем международных перевозок в долгосрочной перспективе, и подбирает оптимальные примеры национальных стратегий, направленных на уменьшение уязвимости транспортных сетей, для правительств государств-членов, включая развивающиеся страны и страны, не имеющие выхода к морю, а также</w:t>
            </w:r>
            <w:proofErr w:type="gramEnd"/>
            <w:r w:rsidRPr="00BC343F">
              <w:t xml:space="preserve"> малые островные государства.</w:t>
            </w:r>
          </w:p>
        </w:tc>
      </w:tr>
      <w:tr w:rsidR="00BC343F" w:rsidRPr="00BC343F" w:rsidTr="0015269B">
        <w:tc>
          <w:tcPr>
            <w:tcW w:w="7574" w:type="dxa"/>
            <w:tcBorders>
              <w:bottom w:val="single" w:sz="4" w:space="0" w:color="auto"/>
            </w:tcBorders>
            <w:shd w:val="clear" w:color="auto" w:fill="auto"/>
          </w:tcPr>
          <w:p w:rsidR="00BC343F" w:rsidRPr="00BC343F" w:rsidRDefault="00BC343F" w:rsidP="0067660F">
            <w:pPr>
              <w:keepNext/>
              <w:tabs>
                <w:tab w:val="left" w:pos="288"/>
                <w:tab w:val="left" w:pos="576"/>
                <w:tab w:val="left" w:pos="1098"/>
              </w:tabs>
              <w:suppressAutoHyphens/>
              <w:spacing w:before="40" w:after="80"/>
              <w:ind w:right="43"/>
            </w:pPr>
            <w:r w:rsidRPr="00BC343F">
              <w:rPr>
                <w:b/>
                <w:bCs/>
              </w:rPr>
              <w:lastRenderedPageBreak/>
              <w:t>Цель 11.</w:t>
            </w:r>
            <w:r w:rsidRPr="00BC343F">
              <w:rPr>
                <w:b/>
                <w:bCs/>
              </w:rPr>
              <w:tab/>
              <w:t>Обеспечение открытости,</w:t>
            </w:r>
            <w:r>
              <w:rPr>
                <w:b/>
                <w:bCs/>
              </w:rPr>
              <w:t xml:space="preserve"> безопасности, жизнестойкости и</w:t>
            </w:r>
            <w:r>
              <w:rPr>
                <w:b/>
                <w:bCs/>
                <w:lang w:val="en-US"/>
              </w:rPr>
              <w:t> </w:t>
            </w:r>
            <w:r w:rsidRPr="00BC343F">
              <w:rPr>
                <w:b/>
                <w:bCs/>
              </w:rPr>
              <w:t>устойчивости городов и населенных пунктов</w:t>
            </w:r>
          </w:p>
        </w:tc>
      </w:tr>
      <w:tr w:rsidR="00BC343F" w:rsidRPr="00BC343F" w:rsidTr="0015269B">
        <w:tc>
          <w:tcPr>
            <w:tcW w:w="7574" w:type="dxa"/>
            <w:tcBorders>
              <w:top w:val="single" w:sz="4" w:space="0" w:color="auto"/>
            </w:tcBorders>
            <w:shd w:val="clear" w:color="auto" w:fill="auto"/>
          </w:tcPr>
          <w:p w:rsidR="00BC343F" w:rsidRPr="00BC343F" w:rsidRDefault="00BC343F" w:rsidP="00BC34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C343F">
              <w:rPr>
                <w:b/>
                <w:bCs/>
                <w:i/>
                <w:iCs/>
              </w:rPr>
              <w:t>11.2</w:t>
            </w:r>
            <w:proofErr w:type="gramStart"/>
            <w:r w:rsidRPr="00BC343F">
              <w:rPr>
                <w:b/>
                <w:bCs/>
                <w:i/>
                <w:iCs/>
              </w:rPr>
              <w:tab/>
              <w:t>К</w:t>
            </w:r>
            <w:proofErr w:type="gramEnd"/>
            <w:r w:rsidRPr="00BC343F">
              <w:rPr>
                <w:b/>
                <w:bCs/>
                <w:i/>
                <w:iCs/>
              </w:rPr>
              <w:t xml:space="preserve"> 2030 году обеспечить доступ к безопасным, недорогим, доступным и устойчивым транспортным системам для всех благодаря повышению безопасности дорожного движения, в том числе за счет расширения сети общественного транспорта, уделяя при этом особое внимание потребностям лиц, находящихся в уязвимом положении, женщинам, детям, инвалидам и пожилым людям</w:t>
            </w:r>
          </w:p>
        </w:tc>
      </w:tr>
      <w:tr w:rsidR="00BC343F" w:rsidRPr="00BC343F" w:rsidTr="00BC343F">
        <w:tc>
          <w:tcPr>
            <w:tcW w:w="7574" w:type="dxa"/>
            <w:shd w:val="clear" w:color="auto" w:fill="auto"/>
          </w:tcPr>
          <w:p w:rsidR="00BC343F" w:rsidRPr="00BC343F" w:rsidRDefault="00BC343F" w:rsidP="00BC34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C343F">
              <w:rPr>
                <w:u w:val="single"/>
              </w:rPr>
              <w:t>Исходный показатель</w:t>
            </w:r>
            <w:r w:rsidRPr="00BC343F">
              <w:t>: доля населения, которая имеет доступ к пункту остановки общественного транспорта в пределах 0,5 км</w:t>
            </w:r>
          </w:p>
        </w:tc>
      </w:tr>
      <w:tr w:rsidR="00BC343F" w:rsidRPr="00BC343F" w:rsidTr="0015269B">
        <w:tc>
          <w:tcPr>
            <w:tcW w:w="7574" w:type="dxa"/>
            <w:shd w:val="clear" w:color="auto" w:fill="auto"/>
          </w:tcPr>
          <w:p w:rsidR="00BC343F" w:rsidRPr="00BC343F" w:rsidRDefault="00BC343F" w:rsidP="00BC34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C343F">
              <w:rPr>
                <w:u w:val="single"/>
              </w:rPr>
              <w:t>Предложенное изменение/альтернативный показатель или дополнительный показатель</w:t>
            </w:r>
            <w:r w:rsidRPr="00BC343F">
              <w:t>: доля населения, которая имеет удобный доступ к общественному транспорту [</w:t>
            </w:r>
            <w:r w:rsidRPr="00BC343F">
              <w:rPr>
                <w:b/>
                <w:bCs/>
              </w:rPr>
              <w:t>примечание: согласовано</w:t>
            </w:r>
            <w:r w:rsidRPr="00BC343F">
              <w:t>]</w:t>
            </w:r>
          </w:p>
        </w:tc>
      </w:tr>
      <w:tr w:rsidR="00BC343F" w:rsidRPr="00BC343F" w:rsidTr="0015269B">
        <w:tc>
          <w:tcPr>
            <w:tcW w:w="7574" w:type="dxa"/>
            <w:tcBorders>
              <w:bottom w:val="single" w:sz="12" w:space="0" w:color="auto"/>
            </w:tcBorders>
            <w:shd w:val="clear" w:color="auto" w:fill="auto"/>
          </w:tcPr>
          <w:p w:rsidR="00BC343F" w:rsidRPr="00BC343F" w:rsidRDefault="00BC343F" w:rsidP="00BC34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C343F">
              <w:t xml:space="preserve">КВТ предоставляет информацию о примерах передовой практики и стратегиях для создания устойчивых систем городского транспорта, т.е. систем, которые являются эффективными, взаимосвязанными, доступными по цене, безопасными и </w:t>
            </w:r>
            <w:proofErr w:type="spellStart"/>
            <w:r w:rsidRPr="00BC343F">
              <w:t>экологичными</w:t>
            </w:r>
            <w:proofErr w:type="spellEnd"/>
            <w:r w:rsidRPr="00BC343F">
              <w:t xml:space="preserve"> и обеспечивают более широкую мобильность и доступ для всех в условиях городской среды с высокой плотностью населения.</w:t>
            </w:r>
          </w:p>
        </w:tc>
      </w:tr>
      <w:tr w:rsidR="00BC343F" w:rsidRPr="00BC343F" w:rsidTr="0015269B">
        <w:tc>
          <w:tcPr>
            <w:tcW w:w="75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C343F" w:rsidRPr="00BC343F" w:rsidRDefault="00BC343F" w:rsidP="0067660F">
            <w:pPr>
              <w:tabs>
                <w:tab w:val="left" w:pos="288"/>
                <w:tab w:val="left" w:pos="576"/>
                <w:tab w:val="left" w:pos="1107"/>
              </w:tabs>
              <w:suppressAutoHyphens/>
              <w:spacing w:before="40" w:after="80"/>
              <w:ind w:right="40"/>
            </w:pPr>
            <w:r w:rsidRPr="00BC343F">
              <w:rPr>
                <w:b/>
                <w:bCs/>
              </w:rPr>
              <w:t>Цель 13.</w:t>
            </w:r>
            <w:r w:rsidRPr="00BC343F">
              <w:rPr>
                <w:b/>
                <w:bCs/>
              </w:rPr>
              <w:tab/>
              <w:t>Принятие срочных мер по борьбе с изменением климата и его последствиями</w:t>
            </w:r>
          </w:p>
        </w:tc>
      </w:tr>
      <w:tr w:rsidR="00BC343F" w:rsidRPr="00BC343F" w:rsidTr="0015269B">
        <w:tc>
          <w:tcPr>
            <w:tcW w:w="7574" w:type="dxa"/>
            <w:tcBorders>
              <w:top w:val="single" w:sz="4" w:space="0" w:color="auto"/>
            </w:tcBorders>
            <w:shd w:val="clear" w:color="auto" w:fill="auto"/>
          </w:tcPr>
          <w:p w:rsidR="00BC343F" w:rsidRPr="00BC343F" w:rsidRDefault="00BC343F" w:rsidP="006766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C343F">
              <w:rPr>
                <w:b/>
                <w:bCs/>
                <w:i/>
                <w:iCs/>
              </w:rPr>
              <w:t>13.2</w:t>
            </w:r>
            <w:proofErr w:type="gramStart"/>
            <w:r w:rsidRPr="00BC343F">
              <w:rPr>
                <w:b/>
                <w:bCs/>
                <w:i/>
                <w:iCs/>
              </w:rPr>
              <w:tab/>
              <w:t>В</w:t>
            </w:r>
            <w:proofErr w:type="gramEnd"/>
            <w:r w:rsidRPr="00BC343F">
              <w:rPr>
                <w:b/>
                <w:bCs/>
                <w:i/>
                <w:iCs/>
              </w:rPr>
              <w:t>ключить меры реагирования на изменение климата в политику, стратегии и планирование на национальном уровне</w:t>
            </w:r>
          </w:p>
        </w:tc>
      </w:tr>
      <w:tr w:rsidR="00BC343F" w:rsidRPr="00BC343F" w:rsidTr="00BC343F">
        <w:tc>
          <w:tcPr>
            <w:tcW w:w="7574" w:type="dxa"/>
            <w:shd w:val="clear" w:color="auto" w:fill="auto"/>
          </w:tcPr>
          <w:p w:rsidR="00BC343F" w:rsidRPr="00BC343F" w:rsidRDefault="00BC343F" w:rsidP="00BC34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C343F">
              <w:rPr>
                <w:u w:val="single"/>
              </w:rPr>
              <w:t>Исходный показатель</w:t>
            </w:r>
            <w:r w:rsidRPr="00BC343F">
              <w:t xml:space="preserve">: число стран, которые официально сообщили о внедрении комплексных стратегий развития, сопряженного с низким уровнем выбросов углерода, устойчивого к изменению климата и ориентированного на уменьшение риска стихийных бедствий (например, план национальной адаптации, национальные стратегии и меры для содействия переходу к использованию </w:t>
            </w:r>
            <w:proofErr w:type="spellStart"/>
            <w:r w:rsidRPr="00BC343F">
              <w:t>экологичных</w:t>
            </w:r>
            <w:proofErr w:type="spellEnd"/>
            <w:r w:rsidRPr="00BC343F">
              <w:t xml:space="preserve"> материалов и технологий) [</w:t>
            </w:r>
            <w:r w:rsidRPr="00BC343F">
              <w:rPr>
                <w:b/>
                <w:bCs/>
              </w:rPr>
              <w:t>примечание: соглашение не достигнуто</w:t>
            </w:r>
            <w:r w:rsidRPr="00BC343F">
              <w:t>]</w:t>
            </w:r>
          </w:p>
        </w:tc>
      </w:tr>
      <w:tr w:rsidR="00BC343F" w:rsidRPr="00BC343F" w:rsidTr="00BC343F">
        <w:tc>
          <w:tcPr>
            <w:tcW w:w="7574" w:type="dxa"/>
            <w:tcBorders>
              <w:bottom w:val="single" w:sz="12" w:space="0" w:color="auto"/>
            </w:tcBorders>
            <w:shd w:val="clear" w:color="auto" w:fill="auto"/>
          </w:tcPr>
          <w:p w:rsidR="00BC343F" w:rsidRPr="00BC343F" w:rsidRDefault="00BC343F" w:rsidP="00BC34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C343F">
              <w:t xml:space="preserve">КВТ и его вспомогательные органы служат форумом для обмена передовым опытом и выработки стратегических рекомендаций по адаптации систем внутреннего транспорта (с </w:t>
            </w:r>
            <w:proofErr w:type="gramStart"/>
            <w:r w:rsidRPr="00BC343F">
              <w:t>тем</w:t>
            </w:r>
            <w:proofErr w:type="gramEnd"/>
            <w:r w:rsidRPr="00BC343F">
              <w:t xml:space="preserve"> что</w:t>
            </w:r>
            <w:r w:rsidR="00B26AE3">
              <w:t>бы</w:t>
            </w:r>
            <w:r w:rsidRPr="00BC343F">
              <w:t xml:space="preserve"> они выдерживали и позволяли уменьшить последствия изменения климата), а также предложения обоснованных стратегических решений для смягчения последствий изменения климата посредством разработки соответствующих инструментов. Например, </w:t>
            </w:r>
            <w:proofErr w:type="spellStart"/>
            <w:r w:rsidRPr="00BC343F">
              <w:t>ForFITS</w:t>
            </w:r>
            <w:proofErr w:type="spellEnd"/>
            <w:r w:rsidRPr="00BC343F">
              <w:t xml:space="preserve"> представляет собой инструмент, позволяющий правительствам принимать обоснованные решения при выборе наиболее эффективных стратегий создания транспортных систем с низкими уровнями выбросов CO</w:t>
            </w:r>
            <w:r w:rsidRPr="00BC343F">
              <w:rPr>
                <w:vertAlign w:val="subscript"/>
              </w:rPr>
              <w:t>2</w:t>
            </w:r>
            <w:r w:rsidRPr="00BC343F">
              <w:t>.</w:t>
            </w:r>
          </w:p>
        </w:tc>
      </w:tr>
    </w:tbl>
    <w:p w:rsidR="00714A47" w:rsidRPr="0067660F" w:rsidRDefault="0067660F" w:rsidP="0067660F">
      <w:pPr>
        <w:pStyle w:val="SingleTxt"/>
        <w:spacing w:after="0" w:line="240" w:lineRule="auto"/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714A47" w:rsidRPr="0067660F" w:rsidSect="005F512B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803" w:rsidRDefault="00284803" w:rsidP="008A1A7A">
      <w:pPr>
        <w:spacing w:line="240" w:lineRule="auto"/>
      </w:pPr>
      <w:r>
        <w:separator/>
      </w:r>
    </w:p>
  </w:endnote>
  <w:endnote w:type="continuationSeparator" w:id="0">
    <w:p w:rsidR="00284803" w:rsidRDefault="00284803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F512B" w:rsidTr="005F512B">
      <w:trPr>
        <w:jc w:val="center"/>
      </w:trPr>
      <w:tc>
        <w:tcPr>
          <w:tcW w:w="5126" w:type="dxa"/>
          <w:shd w:val="clear" w:color="auto" w:fill="auto"/>
          <w:vAlign w:val="bottom"/>
        </w:tcPr>
        <w:p w:rsidR="005F512B" w:rsidRPr="005F512B" w:rsidRDefault="005F512B" w:rsidP="005F512B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66F80">
            <w:rPr>
              <w:noProof/>
            </w:rPr>
            <w:t>6</w:t>
          </w:r>
          <w:r>
            <w:fldChar w:fldCharType="end"/>
          </w:r>
          <w:r>
            <w:t>/</w:t>
          </w:r>
          <w:fldSimple w:instr=" NUMPAGES  \* Arabic  \* MERGEFORMAT ">
            <w:r w:rsidR="00066F80">
              <w:rPr>
                <w:noProof/>
              </w:rPr>
              <w:t>6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5F512B" w:rsidRPr="005F512B" w:rsidRDefault="005F512B" w:rsidP="005F512B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A15644">
            <w:rPr>
              <w:b w:val="0"/>
              <w:color w:val="000000"/>
              <w:sz w:val="14"/>
            </w:rPr>
            <w:t>GE.15-21950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5F512B" w:rsidRPr="005F512B" w:rsidRDefault="005F512B" w:rsidP="005F51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F512B" w:rsidTr="005F512B">
      <w:trPr>
        <w:jc w:val="center"/>
      </w:trPr>
      <w:tc>
        <w:tcPr>
          <w:tcW w:w="5126" w:type="dxa"/>
          <w:shd w:val="clear" w:color="auto" w:fill="auto"/>
          <w:vAlign w:val="bottom"/>
        </w:tcPr>
        <w:p w:rsidR="005F512B" w:rsidRPr="005F512B" w:rsidRDefault="005F512B" w:rsidP="005F512B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A15644">
            <w:rPr>
              <w:b w:val="0"/>
              <w:color w:val="000000"/>
              <w:sz w:val="14"/>
            </w:rPr>
            <w:t>GE.15-21950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F512B" w:rsidRPr="005F512B" w:rsidRDefault="005F512B" w:rsidP="005F512B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66F80">
            <w:rPr>
              <w:noProof/>
            </w:rPr>
            <w:t>5</w:t>
          </w:r>
          <w:r>
            <w:fldChar w:fldCharType="end"/>
          </w:r>
          <w:r>
            <w:t>/</w:t>
          </w:r>
          <w:fldSimple w:instr=" NUMPAGES  \* Arabic  \* MERGEFORMAT ">
            <w:r w:rsidR="00066F80">
              <w:rPr>
                <w:noProof/>
              </w:rPr>
              <w:t>5</w:t>
            </w:r>
          </w:fldSimple>
        </w:p>
      </w:tc>
    </w:tr>
  </w:tbl>
  <w:p w:rsidR="005F512B" w:rsidRPr="005F512B" w:rsidRDefault="005F512B" w:rsidP="005F51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5F512B" w:rsidTr="005F512B">
      <w:tc>
        <w:tcPr>
          <w:tcW w:w="3873" w:type="dxa"/>
        </w:tcPr>
        <w:p w:rsidR="005F512B" w:rsidRDefault="005F512B" w:rsidP="005F512B">
          <w:pPr>
            <w:pStyle w:val="ReleaseDate"/>
            <w:rPr>
              <w:color w:val="01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419CB0EF" wp14:editId="333C956B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2016/6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2016/6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GE.15-21950 (R)</w:t>
          </w:r>
          <w:r>
            <w:rPr>
              <w:color w:val="010000"/>
            </w:rPr>
            <w:t xml:space="preserve">    050116    050116</w:t>
          </w:r>
        </w:p>
        <w:p w:rsidR="005F512B" w:rsidRPr="005F512B" w:rsidRDefault="005F512B" w:rsidP="005F512B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*1521950*</w:t>
          </w:r>
        </w:p>
      </w:tc>
      <w:tc>
        <w:tcPr>
          <w:tcW w:w="5127" w:type="dxa"/>
        </w:tcPr>
        <w:p w:rsidR="005F512B" w:rsidRDefault="005F512B" w:rsidP="005F512B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/>
            </w:rPr>
            <w:drawing>
              <wp:inline distT="0" distB="0" distL="0" distR="0" wp14:anchorId="363D067C" wp14:editId="5E2E8A01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F512B" w:rsidRPr="005F512B" w:rsidRDefault="005F512B" w:rsidP="005F512B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803" w:rsidRPr="00BC343F" w:rsidRDefault="00BC343F" w:rsidP="00BC343F">
      <w:pPr>
        <w:pStyle w:val="Footer"/>
        <w:spacing w:after="80"/>
        <w:ind w:left="792"/>
        <w:rPr>
          <w:sz w:val="16"/>
        </w:rPr>
      </w:pPr>
      <w:r w:rsidRPr="00BC343F">
        <w:rPr>
          <w:sz w:val="16"/>
        </w:rPr>
        <w:t>__________________</w:t>
      </w:r>
    </w:p>
  </w:footnote>
  <w:footnote w:type="continuationSeparator" w:id="0">
    <w:p w:rsidR="00284803" w:rsidRPr="00BC343F" w:rsidRDefault="00BC343F" w:rsidP="00BC343F">
      <w:pPr>
        <w:pStyle w:val="Footer"/>
        <w:spacing w:after="80"/>
        <w:ind w:left="792"/>
        <w:rPr>
          <w:sz w:val="16"/>
        </w:rPr>
      </w:pPr>
      <w:r w:rsidRPr="00BC343F">
        <w:rPr>
          <w:sz w:val="16"/>
        </w:rPr>
        <w:t>__________________</w:t>
      </w:r>
    </w:p>
  </w:footnote>
  <w:footnote w:id="1">
    <w:p w:rsidR="00714A47" w:rsidRPr="00D35395" w:rsidRDefault="00714A47" w:rsidP="00BC343F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К 2030 году существенно сократить количество случаев смерти и заболевания в результате воздействия опасных химических веществ и загрязнения и отравления воздуха, воды и почв.</w:t>
      </w:r>
    </w:p>
  </w:footnote>
  <w:footnote w:id="2">
    <w:p w:rsidR="00714A47" w:rsidRPr="00D35395" w:rsidRDefault="00714A47" w:rsidP="00BC343F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К 2030 году повысить качество воды посредством уменьшения загрязнения, ликвидации сброса отходов и сведения к минимуму выбросов опасных химических веществ и материалов, сокращения вдвое доли неочищенных сточных вод и значительного увеличения масштабов рециркуляции и безопасного повторного использования сточных вод во всем мире.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F512B" w:rsidTr="005F512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F512B" w:rsidRPr="005F512B" w:rsidRDefault="005F512B" w:rsidP="005F512B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15644">
            <w:rPr>
              <w:b/>
            </w:rPr>
            <w:t>ECE/TRANS/2016/6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F512B" w:rsidRDefault="005F512B" w:rsidP="005F512B">
          <w:pPr>
            <w:pStyle w:val="Header"/>
          </w:pPr>
        </w:p>
      </w:tc>
    </w:tr>
  </w:tbl>
  <w:p w:rsidR="005F512B" w:rsidRPr="005F512B" w:rsidRDefault="005F512B" w:rsidP="005F51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F512B" w:rsidTr="005F512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F512B" w:rsidRDefault="005F512B" w:rsidP="005F512B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5F512B" w:rsidRPr="005F512B" w:rsidRDefault="005F512B" w:rsidP="005F512B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15644">
            <w:rPr>
              <w:b/>
            </w:rPr>
            <w:t>ECE/TRANS/2016/6</w:t>
          </w:r>
          <w:r>
            <w:rPr>
              <w:b/>
            </w:rPr>
            <w:fldChar w:fldCharType="end"/>
          </w:r>
        </w:p>
      </w:tc>
    </w:tr>
  </w:tbl>
  <w:p w:rsidR="005F512B" w:rsidRPr="005F512B" w:rsidRDefault="005F512B" w:rsidP="005F51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5F512B" w:rsidTr="005F512B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5F512B" w:rsidRPr="005F512B" w:rsidRDefault="005F512B" w:rsidP="005F512B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F512B" w:rsidRDefault="005F512B" w:rsidP="005F512B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5F512B" w:rsidRPr="005F512B" w:rsidRDefault="005F512B" w:rsidP="005F512B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/TRANS/2016/6</w:t>
          </w:r>
        </w:p>
      </w:tc>
    </w:tr>
    <w:tr w:rsidR="005F512B" w:rsidRPr="007C721A" w:rsidTr="005F512B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F512B" w:rsidRPr="005F512B" w:rsidRDefault="005F512B" w:rsidP="005F512B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5E6AD758" wp14:editId="43D4466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F512B" w:rsidRPr="005F512B" w:rsidRDefault="005F512B" w:rsidP="005F512B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F512B" w:rsidRPr="005F512B" w:rsidRDefault="005F512B" w:rsidP="005F512B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F512B" w:rsidRPr="00714A47" w:rsidRDefault="005F512B" w:rsidP="005F512B">
          <w:pPr>
            <w:pStyle w:val="Distribution"/>
            <w:rPr>
              <w:color w:val="000000"/>
              <w:lang w:val="en-US"/>
            </w:rPr>
          </w:pPr>
          <w:r w:rsidRPr="00714A47">
            <w:rPr>
              <w:color w:val="000000"/>
              <w:lang w:val="en-US"/>
            </w:rPr>
            <w:t>Distr.: General</w:t>
          </w:r>
        </w:p>
        <w:p w:rsidR="005F512B" w:rsidRPr="00714A47" w:rsidRDefault="005F512B" w:rsidP="00714A47">
          <w:pPr>
            <w:pStyle w:val="Publication"/>
            <w:rPr>
              <w:color w:val="000000"/>
              <w:lang w:val="en-US"/>
            </w:rPr>
          </w:pPr>
          <w:r w:rsidRPr="00714A47">
            <w:rPr>
              <w:color w:val="000000"/>
              <w:lang w:val="en-US"/>
            </w:rPr>
            <w:t>14 December 2015</w:t>
          </w:r>
        </w:p>
        <w:p w:rsidR="005F512B" w:rsidRPr="00714A47" w:rsidRDefault="005F512B" w:rsidP="005F512B">
          <w:pPr>
            <w:rPr>
              <w:color w:val="000000"/>
              <w:lang w:val="en-US"/>
            </w:rPr>
          </w:pPr>
          <w:r w:rsidRPr="00714A47">
            <w:rPr>
              <w:color w:val="000000"/>
              <w:lang w:val="en-US"/>
            </w:rPr>
            <w:t>Russian</w:t>
          </w:r>
        </w:p>
        <w:p w:rsidR="005F512B" w:rsidRPr="00714A47" w:rsidRDefault="005F512B" w:rsidP="005F512B">
          <w:pPr>
            <w:pStyle w:val="Original"/>
            <w:rPr>
              <w:color w:val="000000"/>
              <w:lang w:val="en-US"/>
            </w:rPr>
          </w:pPr>
          <w:r w:rsidRPr="00714A47">
            <w:rPr>
              <w:color w:val="000000"/>
              <w:lang w:val="en-US"/>
            </w:rPr>
            <w:t>Original: English</w:t>
          </w:r>
        </w:p>
        <w:p w:rsidR="005F512B" w:rsidRPr="00714A47" w:rsidRDefault="005F512B" w:rsidP="005F512B">
          <w:pPr>
            <w:rPr>
              <w:lang w:val="en-US"/>
            </w:rPr>
          </w:pPr>
        </w:p>
      </w:tc>
    </w:tr>
  </w:tbl>
  <w:p w:rsidR="005F512B" w:rsidRPr="00714A47" w:rsidRDefault="005F512B" w:rsidP="005F512B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1950*"/>
    <w:docVar w:name="CreationDt" w:val="1/5/2016 11:32 AM"/>
    <w:docVar w:name="DocCategory" w:val="Doc"/>
    <w:docVar w:name="DocType" w:val="Final"/>
    <w:docVar w:name="DutyStation" w:val="Geneva"/>
    <w:docVar w:name="FooterJN" w:val="GE.15-21950"/>
    <w:docVar w:name="jobn" w:val="GE.15-21950 (R)"/>
    <w:docVar w:name="jobnDT" w:val="GE.15-21950 (R)   050116"/>
    <w:docVar w:name="jobnDTDT" w:val="GE.15-21950 (R)   050116   050116"/>
    <w:docVar w:name="JobNo" w:val="GE.1521950R"/>
    <w:docVar w:name="JobNo2" w:val="1528395R"/>
    <w:docVar w:name="LocalDrive" w:val="0"/>
    <w:docVar w:name="OandT" w:val="AP"/>
    <w:docVar w:name="PaperSize" w:val="A4"/>
    <w:docVar w:name="sss1" w:val="ECE/TRANS/2016/6"/>
    <w:docVar w:name="sss2" w:val="-"/>
    <w:docVar w:name="Symbol1" w:val="ECE/TRANS/2016/6"/>
    <w:docVar w:name="Symbol2" w:val="-"/>
  </w:docVars>
  <w:rsids>
    <w:rsidRoot w:val="00284803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6F80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B7A20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269B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4803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077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512B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7660F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4A47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46686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0E43"/>
    <w:rsid w:val="007B1DE5"/>
    <w:rsid w:val="007B5785"/>
    <w:rsid w:val="007B5CF3"/>
    <w:rsid w:val="007B67AE"/>
    <w:rsid w:val="007B6EBF"/>
    <w:rsid w:val="007C4E4D"/>
    <w:rsid w:val="007C62D1"/>
    <w:rsid w:val="007C706F"/>
    <w:rsid w:val="007C721A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5644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04B0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6AE3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343F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5F51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12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12B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12B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F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80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5F51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12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12B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12B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F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80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658EC-D595-436F-B1DB-F3BBC4D3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2260</Words>
  <Characters>12888</Characters>
  <Application>Microsoft Office Word</Application>
  <DocSecurity>4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Petelina Anna</dc:creator>
  <cp:lastModifiedBy>Anastasia Barinova</cp:lastModifiedBy>
  <cp:revision>2</cp:revision>
  <cp:lastPrinted>2016-01-05T11:14:00Z</cp:lastPrinted>
  <dcterms:created xsi:type="dcterms:W3CDTF">2016-01-29T12:51:00Z</dcterms:created>
  <dcterms:modified xsi:type="dcterms:W3CDTF">2016-01-29T12:51:00Z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1521950R</vt:lpwstr>
  </property>
  <property fmtid="{D5CDD505-2E9C-101B-9397-08002B2CF9AE}" pid="3" name="ODSRefJobNo">
    <vt:lpwstr>1528395R</vt:lpwstr>
  </property>
  <property fmtid="{D5CDD505-2E9C-101B-9397-08002B2CF9AE}" pid="4" name="Symbol1">
    <vt:lpwstr>ECE/TRANS/2016/6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AP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14 December 2015</vt:lpwstr>
  </property>
  <property fmtid="{D5CDD505-2E9C-101B-9397-08002B2CF9AE}" pid="12" name="Original">
    <vt:lpwstr>English</vt:lpwstr>
  </property>
  <property fmtid="{D5CDD505-2E9C-101B-9397-08002B2CF9AE}" pid="13" name="Release Date">
    <vt:lpwstr>050116</vt:lpwstr>
  </property>
</Properties>
</file>