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04" w:rsidRPr="00F44622" w:rsidRDefault="00E31F04" w:rsidP="00E31F04">
      <w:pPr>
        <w:spacing w:line="60" w:lineRule="exact"/>
        <w:rPr>
          <w:color w:val="010000"/>
          <w:sz w:val="6"/>
        </w:rPr>
        <w:sectPr w:rsidR="00E31F04" w:rsidRPr="00F44622" w:rsidSect="00E31F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F44622">
        <w:rPr>
          <w:rStyle w:val="CommentReference"/>
        </w:rPr>
        <w:commentReference w:id="0"/>
      </w:r>
      <w:bookmarkStart w:id="1" w:name="_GoBack"/>
      <w:bookmarkEnd w:id="1"/>
    </w:p>
    <w:p w:rsidR="00F44622" w:rsidRPr="00F44622" w:rsidRDefault="00F44622" w:rsidP="00F4462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2" w:name="lt_pId000"/>
      <w:r w:rsidRPr="00F44622">
        <w:lastRenderedPageBreak/>
        <w:t>Европейская экономическая комиссия</w:t>
      </w:r>
      <w:bookmarkEnd w:id="2"/>
    </w:p>
    <w:p w:rsidR="00F44622" w:rsidRPr="00F44622" w:rsidRDefault="00F44622" w:rsidP="00F4462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bookmarkStart w:id="3" w:name="lt_pId001"/>
    </w:p>
    <w:p w:rsidR="00F44622" w:rsidRPr="005E6111" w:rsidRDefault="00F44622" w:rsidP="00F4462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5E6111">
        <w:rPr>
          <w:b w:val="0"/>
          <w:bCs/>
        </w:rPr>
        <w:t>Комитет по внутреннему транспорту</w:t>
      </w:r>
      <w:bookmarkEnd w:id="3"/>
    </w:p>
    <w:p w:rsidR="00F44622" w:rsidRPr="00F44622" w:rsidRDefault="00F44622" w:rsidP="00F4462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bookmarkStart w:id="4" w:name="lt_pId002"/>
    </w:p>
    <w:p w:rsidR="00F44622" w:rsidRPr="00F44622" w:rsidRDefault="00F44622" w:rsidP="00F4462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44622">
        <w:t>Семьдесят восьмая сессия</w:t>
      </w:r>
      <w:bookmarkEnd w:id="4"/>
    </w:p>
    <w:p w:rsidR="00F44622" w:rsidRPr="007130FF" w:rsidRDefault="00F44622" w:rsidP="00F4462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5" w:name="lt_pId003"/>
      <w:r w:rsidRPr="00F44622">
        <w:t>Женева, 23−26 февраля 2016 года</w:t>
      </w:r>
      <w:bookmarkEnd w:id="5"/>
      <w:r w:rsidRPr="00F44622">
        <w:br/>
      </w:r>
      <w:bookmarkStart w:id="6" w:name="lt_pId004"/>
      <w:r w:rsidRPr="00F44622">
        <w:t>Пункт 7 предварительной повестки дня</w:t>
      </w:r>
      <w:bookmarkEnd w:id="6"/>
    </w:p>
    <w:p w:rsidR="00F44622" w:rsidRPr="00F44622" w:rsidRDefault="00F44622" w:rsidP="00F4462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7" w:name="lt_pId005"/>
      <w:r w:rsidRPr="00F44622">
        <w:t xml:space="preserve">Проект годового доклада о деятельности </w:t>
      </w:r>
      <w:r w:rsidRPr="00F44622">
        <w:br/>
        <w:t>вспомогательных органов Комитета в 2015 году</w:t>
      </w:r>
      <w:bookmarkEnd w:id="7"/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5E61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tab/>
      </w:r>
      <w:r w:rsidRPr="00F44622">
        <w:tab/>
      </w:r>
      <w:bookmarkStart w:id="8" w:name="lt_pId008"/>
      <w:r w:rsidRPr="00F44622">
        <w:t>Задачи на 2016 год и последующий период</w:t>
      </w:r>
      <w:bookmarkEnd w:id="8"/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Default="00F44622" w:rsidP="005E61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F44622">
        <w:tab/>
      </w:r>
      <w:r w:rsidRPr="00F44622">
        <w:tab/>
      </w:r>
      <w:bookmarkStart w:id="9" w:name="lt_pId011"/>
      <w:r w:rsidRPr="00F44622">
        <w:t>Записка секретариата</w:t>
      </w:r>
      <w:bookmarkEnd w:id="9"/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  <w:lang w:val="en-US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  <w:lang w:val="en-US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</w:tblGrid>
      <w:tr w:rsidR="00F44622" w:rsidTr="00F44622">
        <w:tc>
          <w:tcPr>
            <w:tcW w:w="7560" w:type="dxa"/>
            <w:tcBorders>
              <w:bottom w:val="nil"/>
            </w:tcBorders>
          </w:tcPr>
          <w:p w:rsidR="00F44622" w:rsidRDefault="00F4462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F44622" w:rsidRPr="007130FF" w:rsidRDefault="00F4462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F44622">
              <w:tab/>
            </w:r>
            <w:bookmarkStart w:id="10" w:name="lt_pId013"/>
            <w:r w:rsidRPr="00F44622">
              <w:t>В дополнение к годовому докладу о деятельности ЕЭК</w:t>
            </w:r>
            <w:r w:rsidRPr="00F44622">
              <w:rPr>
                <w:lang w:val="fr-CH"/>
              </w:rPr>
              <w:t> </w:t>
            </w:r>
            <w:r w:rsidRPr="00F44622">
              <w:t>ООН в о</w:t>
            </w:r>
            <w:r w:rsidRPr="00F44622">
              <w:t>б</w:t>
            </w:r>
            <w:r w:rsidRPr="00F44622">
              <w:t>ласти транспорта секретариат подготовил перечень основных задач, к</w:t>
            </w:r>
            <w:r w:rsidRPr="00F44622">
              <w:t>о</w:t>
            </w:r>
            <w:r w:rsidRPr="00F44622">
              <w:t>торые могут обернуться новыми возможностями.</w:t>
            </w:r>
            <w:bookmarkEnd w:id="10"/>
            <w:r w:rsidRPr="00F44622">
              <w:t xml:space="preserve"> Речь идет о выполн</w:t>
            </w:r>
            <w:r w:rsidRPr="00F44622">
              <w:t>е</w:t>
            </w:r>
            <w:r w:rsidRPr="00F44622">
              <w:t>нии работы, близкой к завершению, так как этот перечень подготовлен до окончания текущего года. Соответствующий полный доклад с фот</w:t>
            </w:r>
            <w:r w:rsidRPr="00F44622">
              <w:t>о</w:t>
            </w:r>
            <w:r w:rsidRPr="00F44622">
              <w:t>графиями будет представлен в качестве неофициального документа на ежегодной сессии.</w:t>
            </w:r>
          </w:p>
          <w:p w:rsidR="00F44622" w:rsidRPr="00F44622" w:rsidRDefault="00F4462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F44622">
              <w:tab/>
              <w:t>Комитету предлагается рассмотреть вопрос о том, как он может наилучшим образом поддержать усилия, направленные на выполнение задач, обозначенных в настоящем документе.</w:t>
            </w:r>
          </w:p>
        </w:tc>
      </w:tr>
      <w:tr w:rsidR="00F44622" w:rsidTr="00F44622">
        <w:tc>
          <w:tcPr>
            <w:tcW w:w="7560" w:type="dxa"/>
            <w:tcBorders>
              <w:top w:val="nil"/>
              <w:bottom w:val="single" w:sz="4" w:space="0" w:color="auto"/>
            </w:tcBorders>
          </w:tcPr>
          <w:p w:rsidR="00F44622" w:rsidRDefault="00F4462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</w:tc>
      </w:tr>
    </w:tbl>
    <w:p w:rsidR="00F44622" w:rsidRPr="00F44622" w:rsidRDefault="00F44622" w:rsidP="00F44622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30FF">
        <w:tab/>
      </w:r>
      <w:r>
        <w:rPr>
          <w:lang w:val="en-US"/>
        </w:rPr>
        <w:t>I</w:t>
      </w:r>
      <w:r w:rsidRPr="00F44622">
        <w:t>.</w:t>
      </w:r>
      <w:r w:rsidRPr="00F44622">
        <w:tab/>
        <w:t>Подготовительная работа в связи с 70-й годовщиной Комитета</w:t>
      </w:r>
    </w:p>
    <w:p w:rsidR="00F44622" w:rsidRPr="00F44622" w:rsidRDefault="00F44622" w:rsidP="00F44622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5E6111">
      <w:pPr>
        <w:pStyle w:val="SingleTxt"/>
      </w:pPr>
      <w:r w:rsidRPr="00F44622">
        <w:t>1.</w:t>
      </w:r>
      <w:r w:rsidRPr="00F44622">
        <w:tab/>
        <w:t xml:space="preserve">2016 год будет годом подготовки к 70-летию Комитета. </w:t>
      </w:r>
      <w:proofErr w:type="gramStart"/>
      <w:r w:rsidRPr="00F44622">
        <w:t>Извлечение уроков из семи десятилетий существования Комитета с целью определить направление его будущей деятельности в быстро меняющемся мире явится большой возмо</w:t>
      </w:r>
      <w:r w:rsidRPr="00F44622">
        <w:t>ж</w:t>
      </w:r>
      <w:r w:rsidRPr="00F44622">
        <w:t>ностью и сложной задачей для государств </w:t>
      </w:r>
      <w:r w:rsidR="005E6111" w:rsidRPr="005E6111">
        <w:t>–</w:t>
      </w:r>
      <w:r w:rsidRPr="00F44622">
        <w:t xml:space="preserve"> членов КВТ, а также для Договар</w:t>
      </w:r>
      <w:r w:rsidRPr="00F44622">
        <w:t>и</w:t>
      </w:r>
      <w:r w:rsidRPr="00F44622">
        <w:t>вающихся сторон 58 правовых документов ООН в области внутреннего тран</w:t>
      </w:r>
      <w:r w:rsidRPr="00F44622">
        <w:t>с</w:t>
      </w:r>
      <w:r w:rsidRPr="00F44622">
        <w:t>порта, относящихся к ведению КВТ и Отдела устойчивого транспорта ЕЭК ООН.</w:t>
      </w:r>
      <w:proofErr w:type="gramEnd"/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F4462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lastRenderedPageBreak/>
        <w:tab/>
      </w:r>
      <w:bookmarkStart w:id="11" w:name="lt_pId025"/>
      <w:r w:rsidRPr="00F44622">
        <w:rPr>
          <w:lang w:val="en-GB"/>
        </w:rPr>
        <w:t>II</w:t>
      </w:r>
      <w:r w:rsidRPr="00F44622">
        <w:t>.</w:t>
      </w:r>
      <w:bookmarkEnd w:id="11"/>
      <w:r w:rsidRPr="00F44622">
        <w:tab/>
        <w:t>Цели устойчивого развития</w:t>
      </w:r>
    </w:p>
    <w:p w:rsidR="00F44622" w:rsidRPr="00F44622" w:rsidRDefault="00F44622" w:rsidP="00F44622">
      <w:pPr>
        <w:pStyle w:val="SingleTxt"/>
        <w:keepNext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  <w:keepNext/>
        <w:spacing w:after="0" w:line="120" w:lineRule="exact"/>
        <w:rPr>
          <w:sz w:val="10"/>
        </w:rPr>
      </w:pPr>
    </w:p>
    <w:p w:rsidR="00F44622" w:rsidRPr="00F44622" w:rsidRDefault="00F44622" w:rsidP="005E6111">
      <w:pPr>
        <w:pStyle w:val="SingleTxt"/>
        <w:keepLines/>
      </w:pPr>
      <w:r w:rsidRPr="00F44622">
        <w:t>2.</w:t>
      </w:r>
      <w:r w:rsidRPr="00F44622">
        <w:tab/>
        <w:t>Одна из ключевых задач и возможностей Комитета в 2016 году и в посл</w:t>
      </w:r>
      <w:r w:rsidRPr="00F44622">
        <w:t>е</w:t>
      </w:r>
      <w:r w:rsidRPr="00F44622">
        <w:t>дующий период будет состоять в придании формы его роли и областям внесения вклада в осуществление связанных с транспортом целей Повестки дня в области развития на период после 2030 года. В этой связи большое значение будет иметь определение будущей роли КВТ и его рабочих групп. Например, может потреб</w:t>
      </w:r>
      <w:r w:rsidRPr="00F44622">
        <w:t>о</w:t>
      </w:r>
      <w:r w:rsidRPr="00F44622">
        <w:t>ваться пересмотр роли Рабочей группы по статистике транспорта (WP.6), так как она занимается разработкой надлежащих методологий и терминологии для согл</w:t>
      </w:r>
      <w:r w:rsidRPr="00F44622">
        <w:t>а</w:t>
      </w:r>
      <w:r w:rsidRPr="00F44622">
        <w:t>сования статистики транспорта, а также сбором и распространением данных.</w:t>
      </w:r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F4462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tab/>
      </w:r>
      <w:bookmarkStart w:id="12" w:name="lt_pId032"/>
      <w:r w:rsidRPr="00F44622">
        <w:rPr>
          <w:lang w:val="en-US"/>
        </w:rPr>
        <w:t>III</w:t>
      </w:r>
      <w:r w:rsidRPr="00F44622">
        <w:t>.</w:t>
      </w:r>
      <w:bookmarkEnd w:id="12"/>
      <w:r w:rsidRPr="00F44622">
        <w:tab/>
      </w:r>
      <w:bookmarkStart w:id="13" w:name="lt_pId033"/>
      <w:r w:rsidRPr="00F44622">
        <w:t>Изменение климата</w:t>
      </w:r>
      <w:bookmarkEnd w:id="13"/>
    </w:p>
    <w:p w:rsidR="00F44622" w:rsidRPr="00F44622" w:rsidRDefault="00F44622" w:rsidP="00F44622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29797A">
      <w:pPr>
        <w:pStyle w:val="SingleTxt"/>
      </w:pPr>
      <w:r w:rsidRPr="00F44622">
        <w:t>3.</w:t>
      </w:r>
      <w:r w:rsidRPr="00F44622">
        <w:tab/>
        <w:t xml:space="preserve">Комитету также будет необходимо рассмотреть вопрос о том, какую роль он </w:t>
      </w:r>
      <w:proofErr w:type="gramStart"/>
      <w:r w:rsidRPr="00F44622">
        <w:t>может</w:t>
      </w:r>
      <w:proofErr w:type="gramEnd"/>
      <w:r w:rsidRPr="00F44622">
        <w:t xml:space="preserve"> и будет играть в отслеживании хода реализации решений, принятых на Саммите по проблеме изменения климата. </w:t>
      </w:r>
      <w:proofErr w:type="gramStart"/>
      <w:r w:rsidRPr="00F44622">
        <w:t>Несоразмерно высокая доля внутре</w:t>
      </w:r>
      <w:r w:rsidRPr="00F44622">
        <w:t>н</w:t>
      </w:r>
      <w:r w:rsidRPr="00F44622">
        <w:t>них перевозок в объеме выбросов CO</w:t>
      </w:r>
      <w:r w:rsidRPr="00F44622">
        <w:rPr>
          <w:vertAlign w:val="subscript"/>
        </w:rPr>
        <w:t>2</w:t>
      </w:r>
      <w:r w:rsidRPr="00F44622">
        <w:t>, связанных с работой транспорта, поро</w:t>
      </w:r>
      <w:r w:rsidRPr="00F44622">
        <w:t>ж</w:t>
      </w:r>
      <w:r w:rsidRPr="00F44622">
        <w:t>дает повышенную ответственность для Комитета и его потенциальной роли в д</w:t>
      </w:r>
      <w:r w:rsidRPr="00F44622">
        <w:t>е</w:t>
      </w:r>
      <w:r w:rsidRPr="00F44622">
        <w:t>ле дальнейшего сокращения выбросов CO</w:t>
      </w:r>
      <w:r w:rsidRPr="00F44622">
        <w:rPr>
          <w:vertAlign w:val="subscript"/>
        </w:rPr>
        <w:t>2</w:t>
      </w:r>
      <w:r w:rsidR="0029797A" w:rsidRPr="0029797A">
        <w:t xml:space="preserve"> – </w:t>
      </w:r>
      <w:r w:rsidRPr="00F44622">
        <w:t>либо путем непосредственного во</w:t>
      </w:r>
      <w:r w:rsidRPr="00F44622">
        <w:t>з</w:t>
      </w:r>
      <w:r w:rsidRPr="00F44622">
        <w:t xml:space="preserve">действия на </w:t>
      </w:r>
      <w:proofErr w:type="spellStart"/>
      <w:r w:rsidRPr="00F44622">
        <w:t>энергоэффективность</w:t>
      </w:r>
      <w:proofErr w:type="spellEnd"/>
      <w:r w:rsidRPr="00F44622">
        <w:t xml:space="preserve"> транспортных средств, либо путем поощрения такого перехода на другие виды транспорта, который благоприятно скажется на смягчении последствий изменения климата.</w:t>
      </w:r>
      <w:proofErr w:type="gramEnd"/>
      <w:r w:rsidRPr="00F44622">
        <w:t xml:space="preserve"> Что касается адаптации к изменению климата, то новаторские усилия, предпринимаемые под эгидой КВТ, потребуется наращивать, чтобы изменить ситуацию к лучшему.</w:t>
      </w:r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2979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tab/>
      </w:r>
      <w:bookmarkStart w:id="14" w:name="lt_pId038"/>
      <w:r w:rsidRPr="00F44622">
        <w:t>IV.</w:t>
      </w:r>
      <w:bookmarkEnd w:id="14"/>
      <w:r w:rsidRPr="00F44622">
        <w:tab/>
      </w:r>
      <w:bookmarkStart w:id="15" w:name="lt_pId039"/>
      <w:r w:rsidRPr="00F44622">
        <w:t>Политический диалог, наращивание потенциала и</w:t>
      </w:r>
      <w:r w:rsidR="0029797A">
        <w:rPr>
          <w:lang w:val="en-US"/>
        </w:rPr>
        <w:t> </w:t>
      </w:r>
      <w:r w:rsidRPr="00F44622">
        <w:t>оказание технической помощи</w:t>
      </w:r>
      <w:bookmarkEnd w:id="15"/>
    </w:p>
    <w:p w:rsidR="00F44622" w:rsidRPr="00F44622" w:rsidRDefault="00F44622" w:rsidP="00F44622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</w:pPr>
      <w:r w:rsidRPr="00F44622">
        <w:t>4.</w:t>
      </w:r>
      <w:r w:rsidRPr="00F44622">
        <w:tab/>
        <w:t>Главной задачей в области политического диалога, наращивания потенциала и оказания технической помощи будет своевременное осуществление текущих проектов, дающее долгосрочные результаты, особенно с учетом необходимости во внебюджетном финансировании.</w:t>
      </w: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2979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tab/>
        <w:t>V.</w:t>
      </w:r>
      <w:r w:rsidRPr="00F44622">
        <w:tab/>
      </w:r>
      <w:bookmarkStart w:id="16" w:name="lt_pId044"/>
      <w:r w:rsidRPr="00F44622">
        <w:t>Безопасность дорожного движения и автомобильный транспорт</w:t>
      </w:r>
      <w:bookmarkEnd w:id="16"/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</w:pPr>
      <w:r w:rsidRPr="00F44622">
        <w:t>5.</w:t>
      </w:r>
      <w:r w:rsidRPr="00F44622">
        <w:tab/>
      </w:r>
      <w:bookmarkStart w:id="17" w:name="lt_pId046"/>
      <w:r w:rsidRPr="00F44622">
        <w:t>Завершение предварительной оценки осуществления Конвенции о доро</w:t>
      </w:r>
      <w:r w:rsidRPr="00F44622">
        <w:t>ж</w:t>
      </w:r>
      <w:r w:rsidRPr="00F44622">
        <w:t>ных знаках и сигналах 1968 года Группой экспертов по дорожным знакам и си</w:t>
      </w:r>
      <w:r w:rsidRPr="00F44622">
        <w:t>г</w:t>
      </w:r>
      <w:r w:rsidRPr="00F44622">
        <w:t>налам в рамках Рабочей группы по безопасности дорожного движения (WP.1) ожидается в 2016 году.</w:t>
      </w:r>
      <w:bookmarkEnd w:id="17"/>
    </w:p>
    <w:p w:rsidR="00F44622" w:rsidRPr="00F44622" w:rsidRDefault="00F44622" w:rsidP="0029797A">
      <w:pPr>
        <w:pStyle w:val="SingleTxt"/>
      </w:pPr>
      <w:r w:rsidRPr="00F44622">
        <w:t>6.</w:t>
      </w:r>
      <w:r w:rsidRPr="00F44622">
        <w:tab/>
        <w:t>WP.1 продолжит работу по вопросу о передовых системах автоматического управления автомобилями в сравнении с ролью водителя и изучит возможности для более тесного сотрудничества с WP.29 по проблематике человеческих факт</w:t>
      </w:r>
      <w:r w:rsidRPr="00F44622">
        <w:t>о</w:t>
      </w:r>
      <w:r w:rsidRPr="00F44622">
        <w:t>ров (особенно по вопросу взаимодействия «человек</w:t>
      </w:r>
      <w:r w:rsidR="0029797A" w:rsidRPr="0029797A">
        <w:t>–</w:t>
      </w:r>
      <w:r w:rsidRPr="00F44622">
        <w:t>машина»).</w:t>
      </w:r>
    </w:p>
    <w:p w:rsidR="00F44622" w:rsidRPr="00F44622" w:rsidRDefault="00F44622" w:rsidP="00F44622">
      <w:pPr>
        <w:pStyle w:val="SingleTxt"/>
      </w:pPr>
      <w:r w:rsidRPr="00F44622">
        <w:t>7.</w:t>
      </w:r>
      <w:r w:rsidRPr="00F44622">
        <w:tab/>
      </w:r>
      <w:bookmarkStart w:id="18" w:name="lt_pId050"/>
      <w:r w:rsidRPr="00F44622">
        <w:t>Группа экспертов по Европейскому соглашению, касающемуся работы эк</w:t>
      </w:r>
      <w:r w:rsidRPr="00F44622">
        <w:t>и</w:t>
      </w:r>
      <w:r w:rsidRPr="00F44622">
        <w:t>пажей транспортных средств, производящих международные автомобильные п</w:t>
      </w:r>
      <w:r w:rsidRPr="00F44622">
        <w:t>е</w:t>
      </w:r>
      <w:r w:rsidRPr="00F44622">
        <w:t>ревозки (ГЭ ЕСТР), в рамках Рабочей группы по автомобильному транспорту (SC.1) проводила совещания в течение 2015 года, но не пришла к согласию о том, каким образом в ЕСТР могут быть внесены поправки.</w:t>
      </w:r>
      <w:bookmarkEnd w:id="18"/>
      <w:r w:rsidRPr="00F44622">
        <w:t xml:space="preserve"> </w:t>
      </w:r>
      <w:bookmarkStart w:id="19" w:name="lt_pId051"/>
      <w:r w:rsidRPr="00F44622">
        <w:t>Проявление Договарив</w:t>
      </w:r>
      <w:r w:rsidRPr="00F44622">
        <w:t>а</w:t>
      </w:r>
      <w:r w:rsidRPr="00F44622">
        <w:t>ющимися сторонами политической воли для поиска компромисса могло бы о</w:t>
      </w:r>
      <w:r w:rsidRPr="00F44622">
        <w:t>б</w:t>
      </w:r>
      <w:r w:rsidRPr="00F44622">
        <w:t>легчить достижение консенсуса.</w:t>
      </w:r>
      <w:bookmarkEnd w:id="19"/>
    </w:p>
    <w:p w:rsidR="00F44622" w:rsidRPr="00F44622" w:rsidRDefault="00F44622" w:rsidP="00F44622">
      <w:pPr>
        <w:pStyle w:val="SingleTxt"/>
      </w:pPr>
      <w:r w:rsidRPr="00F44622">
        <w:lastRenderedPageBreak/>
        <w:t>8.</w:t>
      </w:r>
      <w:r w:rsidRPr="00F44622">
        <w:tab/>
      </w:r>
      <w:bookmarkStart w:id="20" w:name="lt_pId053"/>
      <w:r w:rsidRPr="00F44622">
        <w:t>Ожидается, что в 2016 году удастся продвинуться вперед в разработке мн</w:t>
      </w:r>
      <w:r w:rsidRPr="00F44622">
        <w:t>о</w:t>
      </w:r>
      <w:r w:rsidRPr="00F44622">
        <w:t>гостороннего соглашения о международных регулярных перевозках пассажиров городскими и междугородными автобусами («</w:t>
      </w:r>
      <w:proofErr w:type="spellStart"/>
      <w:r w:rsidRPr="00F44622">
        <w:t>ОмниБУС</w:t>
      </w:r>
      <w:proofErr w:type="spellEnd"/>
      <w:r w:rsidRPr="00F44622">
        <w:t>») при условии, что гос</w:t>
      </w:r>
      <w:r w:rsidRPr="00F44622">
        <w:t>у</w:t>
      </w:r>
      <w:r w:rsidRPr="00F44622">
        <w:t>дарства-члены примут участие в переговорах.</w:t>
      </w:r>
      <w:bookmarkEnd w:id="20"/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2979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tab/>
      </w:r>
      <w:bookmarkStart w:id="21" w:name="lt_pId056"/>
      <w:r w:rsidRPr="00F44622">
        <w:rPr>
          <w:lang w:val="en-US"/>
        </w:rPr>
        <w:t>VI</w:t>
      </w:r>
      <w:r w:rsidRPr="00F44622">
        <w:t>.</w:t>
      </w:r>
      <w:bookmarkEnd w:id="21"/>
      <w:r w:rsidRPr="00F44622">
        <w:tab/>
      </w:r>
      <w:bookmarkStart w:id="22" w:name="lt_pId057"/>
      <w:r w:rsidRPr="00F44622">
        <w:t>Внутренний водный транспорт</w:t>
      </w:r>
      <w:bookmarkEnd w:id="22"/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29797A">
      <w:pPr>
        <w:pStyle w:val="SingleTxt"/>
      </w:pPr>
      <w:r w:rsidRPr="00F44622">
        <w:t>9.</w:t>
      </w:r>
      <w:r w:rsidRPr="00F44622">
        <w:tab/>
        <w:t>В области внутреннего водного транспорта основной проблемой остается выполнение стратегических рекомендаций, изложенных в Белой книге по эффе</w:t>
      </w:r>
      <w:r w:rsidRPr="00F44622">
        <w:t>к</w:t>
      </w:r>
      <w:r w:rsidRPr="00F44622">
        <w:t>тивному и устойчивому внутреннему водному транспорту в Европе. Особый а</w:t>
      </w:r>
      <w:r w:rsidRPr="00F44622">
        <w:t>к</w:t>
      </w:r>
      <w:r w:rsidRPr="00F44622">
        <w:t>цент в этой связи будет сделан на совершенствовании институциональной осн</w:t>
      </w:r>
      <w:r w:rsidRPr="00F44622">
        <w:t>о</w:t>
      </w:r>
      <w:r w:rsidRPr="00F44622">
        <w:t xml:space="preserve">вы на общеевропейском уровне и на сосредоточении </w:t>
      </w:r>
      <w:proofErr w:type="gramStart"/>
      <w:r w:rsidRPr="00F44622">
        <w:t>усилий</w:t>
      </w:r>
      <w:proofErr w:type="gramEnd"/>
      <w:r w:rsidRPr="00F44622">
        <w:t xml:space="preserve"> на выявлении опт</w:t>
      </w:r>
      <w:r w:rsidRPr="00F44622">
        <w:t>и</w:t>
      </w:r>
      <w:r w:rsidRPr="00F44622">
        <w:t>мальной организационной структуры для внутренних водных путей в сотрудн</w:t>
      </w:r>
      <w:r w:rsidRPr="00F44622">
        <w:t>и</w:t>
      </w:r>
      <w:r w:rsidRPr="00F44622">
        <w:t>честве с государствами-членами и другими заинтересованными сторонами. В</w:t>
      </w:r>
      <w:r w:rsidR="0029797A">
        <w:rPr>
          <w:lang w:val="en-US"/>
        </w:rPr>
        <w:t> </w:t>
      </w:r>
      <w:r w:rsidRPr="00F44622">
        <w:t>этом контексте проходит стадию обсуждения новая стратегия для Рабочей группы по внутреннему водному транспорту с целью обновления ее круга вед</w:t>
      </w:r>
      <w:r w:rsidRPr="00F44622">
        <w:t>е</w:t>
      </w:r>
      <w:r w:rsidRPr="00F44622">
        <w:t>ния.</w:t>
      </w:r>
    </w:p>
    <w:p w:rsidR="00F44622" w:rsidRPr="00F44622" w:rsidRDefault="00F44622" w:rsidP="00F44622">
      <w:pPr>
        <w:pStyle w:val="SingleTxt"/>
      </w:pPr>
      <w:r w:rsidRPr="00F44622">
        <w:t>10.</w:t>
      </w:r>
      <w:r w:rsidRPr="00F44622">
        <w:tab/>
        <w:t>Начало работы по организации международной конференции по внутренн</w:t>
      </w:r>
      <w:r w:rsidRPr="00F44622">
        <w:t>е</w:t>
      </w:r>
      <w:r w:rsidRPr="00F44622">
        <w:t>му водному транспорту, которая состоится в 2016 или 2017 году.</w:t>
      </w: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2979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tab/>
      </w:r>
      <w:bookmarkStart w:id="23" w:name="lt_pId064"/>
      <w:r w:rsidRPr="00F44622">
        <w:rPr>
          <w:lang w:val="en-GB"/>
        </w:rPr>
        <w:t>VII</w:t>
      </w:r>
      <w:r w:rsidRPr="00F44622">
        <w:t>.</w:t>
      </w:r>
      <w:bookmarkEnd w:id="23"/>
      <w:r w:rsidRPr="00F44622">
        <w:tab/>
      </w:r>
      <w:bookmarkStart w:id="24" w:name="lt_pId065"/>
      <w:r w:rsidRPr="00F44622">
        <w:t>Облегчение пересечения границ</w:t>
      </w:r>
      <w:bookmarkEnd w:id="24"/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</w:pPr>
      <w:r w:rsidRPr="00F44622">
        <w:t>11.</w:t>
      </w:r>
      <w:r w:rsidRPr="00F44622">
        <w:tab/>
      </w:r>
      <w:bookmarkStart w:id="25" w:name="lt_pId068"/>
      <w:r w:rsidRPr="00F44622">
        <w:t>В области облегчения пересечения границ Отдел устойчивого транспорта будет поощрять участие стран, не имеющих выхода к морю, в соответствующих совещаниях и инициативах. Наибольшую потенциальную пользу средства, предоставляемые правовыми документами ООН, касающимися облегчения пер</w:t>
      </w:r>
      <w:r w:rsidRPr="00F44622">
        <w:t>е</w:t>
      </w:r>
      <w:r w:rsidRPr="00F44622">
        <w:t>сечения границ, могут принести развивающимся странам, не имеющим выхода к морю.</w:t>
      </w:r>
      <w:bookmarkEnd w:id="25"/>
      <w:r w:rsidRPr="00F44622">
        <w:t xml:space="preserve"> </w:t>
      </w:r>
      <w:bookmarkStart w:id="26" w:name="lt_pId069"/>
      <w:r w:rsidRPr="00F44622">
        <w:t>Однако по финансовым соображениям представители этих стран зачастую не могут позволить себе участвовать в сессиях ЕЭК ООН в Женеве.</w:t>
      </w:r>
      <w:bookmarkEnd w:id="26"/>
      <w:r w:rsidRPr="00F44622">
        <w:t xml:space="preserve"> </w:t>
      </w:r>
      <w:bookmarkStart w:id="27" w:name="lt_pId070"/>
      <w:r w:rsidRPr="00F44622">
        <w:t>В качестве возможных решений можно предложить создать целевой фонд при поддержке частного сектора и/или проводить некоторые официальные совещания в этих странах, а не в Женеве.</w:t>
      </w:r>
      <w:bookmarkEnd w:id="27"/>
    </w:p>
    <w:p w:rsidR="00F44622" w:rsidRPr="00F44622" w:rsidRDefault="00F44622" w:rsidP="00F44622">
      <w:pPr>
        <w:pStyle w:val="SingleTxt"/>
      </w:pPr>
      <w:r w:rsidRPr="00F44622">
        <w:t>12.</w:t>
      </w:r>
      <w:r w:rsidRPr="00F44622">
        <w:tab/>
        <w:t>В целях информирования государств-членов о том, какие средства сущ</w:t>
      </w:r>
      <w:r w:rsidRPr="00F44622">
        <w:t>е</w:t>
      </w:r>
      <w:r w:rsidRPr="00F44622">
        <w:t>ствуют для оказания помощи в облегчении эффективного пересечения границ, в 2015 году была выпущена брошюра «Спектр деятельности ЕЭК ООН по обле</w:t>
      </w:r>
      <w:r w:rsidRPr="00F44622">
        <w:t>г</w:t>
      </w:r>
      <w:r w:rsidRPr="00F44622">
        <w:t>чению пересечения границ», которая будет опубликована в печатном виде в 2016 году.</w:t>
      </w:r>
    </w:p>
    <w:p w:rsidR="00F44622" w:rsidRPr="00F44622" w:rsidRDefault="00F44622" w:rsidP="00F44622">
      <w:pPr>
        <w:pStyle w:val="SingleTxt"/>
      </w:pPr>
      <w:r w:rsidRPr="00F44622">
        <w:t>13.</w:t>
      </w:r>
      <w:r w:rsidRPr="00F44622">
        <w:tab/>
        <w:t>Кроме того, готовится новая конвенция об облегчении условий железнод</w:t>
      </w:r>
      <w:r w:rsidRPr="00F44622">
        <w:t>о</w:t>
      </w:r>
      <w:r w:rsidRPr="00F44622">
        <w:t>рожной перевозки пассажиров и багажа через границы, которая заменит уст</w:t>
      </w:r>
      <w:r w:rsidRPr="00F44622">
        <w:t>а</w:t>
      </w:r>
      <w:r w:rsidRPr="00F44622">
        <w:t>ревшую Конвенцию 1952 года. К концу 2015 года на рассмотрение WP.30 и SC.2 был представлен ее первый проект.</w:t>
      </w:r>
    </w:p>
    <w:p w:rsidR="00F44622" w:rsidRPr="00F44622" w:rsidRDefault="00F44622" w:rsidP="00F44622">
      <w:pPr>
        <w:pStyle w:val="SingleTxt"/>
      </w:pPr>
      <w:r w:rsidRPr="00F44622">
        <w:t>14.</w:t>
      </w:r>
      <w:r w:rsidRPr="00F44622">
        <w:tab/>
        <w:t>В 2016 году будут обсуждаться и, возможно, приняты поправки к Конве</w:t>
      </w:r>
      <w:r w:rsidRPr="00F44622">
        <w:t>н</w:t>
      </w:r>
      <w:r w:rsidRPr="00F44622">
        <w:t>ции о согласовании, содержащей новое приложение 10, касающееся морских портов.</w:t>
      </w:r>
    </w:p>
    <w:p w:rsidR="00F44622" w:rsidRPr="00F44622" w:rsidRDefault="00F44622" w:rsidP="00F44622">
      <w:pPr>
        <w:pStyle w:val="SingleTxt"/>
      </w:pPr>
      <w:r w:rsidRPr="00F44622">
        <w:t>15.</w:t>
      </w:r>
      <w:r w:rsidRPr="00F44622">
        <w:tab/>
        <w:t>Как всегда, будет сделан большой упор на обеспечении надлежащего фун</w:t>
      </w:r>
      <w:r w:rsidRPr="00F44622">
        <w:t>к</w:t>
      </w:r>
      <w:r w:rsidRPr="00F44622">
        <w:t>ционирования Конвенции МДП во всех Договаривающихся сторонах.</w:t>
      </w: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2979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lastRenderedPageBreak/>
        <w:tab/>
      </w:r>
      <w:bookmarkStart w:id="28" w:name="lt_pId081"/>
      <w:r w:rsidRPr="00F44622">
        <w:t>VIII.</w:t>
      </w:r>
      <w:bookmarkEnd w:id="28"/>
      <w:r w:rsidRPr="00F44622">
        <w:tab/>
        <w:t>Согласование правил в области транспортных средств</w:t>
      </w:r>
    </w:p>
    <w:p w:rsidR="0029797A" w:rsidRPr="0029797A" w:rsidRDefault="0029797A" w:rsidP="0029797A">
      <w:pPr>
        <w:pStyle w:val="SingleTxt"/>
        <w:keepNext/>
        <w:spacing w:after="0" w:line="120" w:lineRule="exact"/>
        <w:rPr>
          <w:sz w:val="10"/>
        </w:rPr>
      </w:pPr>
    </w:p>
    <w:p w:rsidR="0029797A" w:rsidRPr="0029797A" w:rsidRDefault="0029797A" w:rsidP="0029797A">
      <w:pPr>
        <w:pStyle w:val="SingleTxt"/>
        <w:keepNext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</w:pPr>
      <w:r w:rsidRPr="00F44622">
        <w:t>16.</w:t>
      </w:r>
      <w:r w:rsidRPr="00F44622">
        <w:tab/>
      </w:r>
      <w:proofErr w:type="gramStart"/>
      <w:r w:rsidRPr="00F44622">
        <w:t>Как ожидается, на сессии Всемирного форума для согласования правил в области транспортных средств в марте 2016 года Договаривающиеся стороны д</w:t>
      </w:r>
      <w:r w:rsidRPr="00F44622">
        <w:t>о</w:t>
      </w:r>
      <w:r w:rsidRPr="00F44622">
        <w:t>стигнут консенсуса в отношении проекта поправки к Соглашению 1958 года о единообразных технических предписаниях для колесных транспортных средств, предметов оборудования и частей, которые могут быть установлены и/или и</w:t>
      </w:r>
      <w:r w:rsidRPr="00F44622">
        <w:t>с</w:t>
      </w:r>
      <w:r w:rsidRPr="00F44622">
        <w:t>пользованы на колесных транспортных средствах, и об условиях взаимного пр</w:t>
      </w:r>
      <w:r w:rsidRPr="00F44622">
        <w:t>и</w:t>
      </w:r>
      <w:r w:rsidRPr="00F44622">
        <w:t>знания официальных утверждений.</w:t>
      </w:r>
      <w:proofErr w:type="gramEnd"/>
    </w:p>
    <w:p w:rsidR="00F44622" w:rsidRPr="00F44622" w:rsidRDefault="00F44622" w:rsidP="00F44622">
      <w:pPr>
        <w:pStyle w:val="SingleTxt"/>
      </w:pPr>
      <w:r w:rsidRPr="00F44622">
        <w:t>17.</w:t>
      </w:r>
      <w:r w:rsidRPr="00F44622">
        <w:tab/>
        <w:t>Эта поправка послужит основой для международного официального утве</w:t>
      </w:r>
      <w:r w:rsidRPr="00F44622">
        <w:t>р</w:t>
      </w:r>
      <w:r w:rsidRPr="00F44622">
        <w:t>ждения типа комплектного транспортного средства, который потребует разрабо</w:t>
      </w:r>
      <w:r w:rsidRPr="00F44622">
        <w:t>т</w:t>
      </w:r>
      <w:r w:rsidRPr="00F44622">
        <w:t>ки новых правил ООН, а также создания базы международных данных офиц</w:t>
      </w:r>
      <w:r w:rsidRPr="00F44622">
        <w:t>и</w:t>
      </w:r>
      <w:r w:rsidRPr="00F44622">
        <w:t>альных утверждений типа (ДЕТА) в рамках ЕЭК ООН.</w:t>
      </w:r>
    </w:p>
    <w:p w:rsidR="00F44622" w:rsidRPr="00F44622" w:rsidRDefault="00F44622" w:rsidP="0029797A">
      <w:pPr>
        <w:pStyle w:val="SingleTxt"/>
      </w:pPr>
      <w:r w:rsidRPr="00F44622">
        <w:t>18.</w:t>
      </w:r>
      <w:r w:rsidRPr="00F44622">
        <w:tab/>
      </w:r>
      <w:proofErr w:type="gramStart"/>
      <w:r w:rsidRPr="00F44622">
        <w:t>В 2015 году под руководством трех Договаривающихся сторон-спонсоров, а</w:t>
      </w:r>
      <w:r w:rsidR="0029797A">
        <w:rPr>
          <w:lang w:val="en-US"/>
        </w:rPr>
        <w:t> </w:t>
      </w:r>
      <w:r w:rsidRPr="00F44622">
        <w:t>именно Соединенных Штатов Америки, Японии и Европейского союза, на Всемирном форуме для согласования правил в области транспортных средств началось рассмотрение стратегического подхода к разработке будущих глобал</w:t>
      </w:r>
      <w:r w:rsidRPr="00F44622">
        <w:t>ь</w:t>
      </w:r>
      <w:r w:rsidRPr="00F44622">
        <w:t>ных технических правил ООН в рамках Соглашения 1998 года о глобальных те</w:t>
      </w:r>
      <w:r w:rsidRPr="00F44622">
        <w:t>х</w:t>
      </w:r>
      <w:r w:rsidRPr="00F44622">
        <w:t>нических правилах для колесных транспортных средств, предметов оборудов</w:t>
      </w:r>
      <w:r w:rsidRPr="00F44622">
        <w:t>а</w:t>
      </w:r>
      <w:r w:rsidRPr="00F44622">
        <w:t>ния и частей, которые могут быть установлены и</w:t>
      </w:r>
      <w:proofErr w:type="gramEnd"/>
      <w:r w:rsidRPr="00F44622">
        <w:t xml:space="preserve">/или </w:t>
      </w:r>
      <w:proofErr w:type="gramStart"/>
      <w:r w:rsidRPr="00F44622">
        <w:t>использованы</w:t>
      </w:r>
      <w:proofErr w:type="gramEnd"/>
      <w:r w:rsidRPr="00F44622">
        <w:t xml:space="preserve"> на колесных транспортных средствах.</w:t>
      </w:r>
    </w:p>
    <w:p w:rsidR="00F44622" w:rsidRPr="00F44622" w:rsidRDefault="00F44622" w:rsidP="00F44622">
      <w:pPr>
        <w:pStyle w:val="SingleTxt"/>
      </w:pPr>
      <w:r w:rsidRPr="00F44622">
        <w:t>19.</w:t>
      </w:r>
      <w:r w:rsidRPr="00F44622">
        <w:tab/>
        <w:t>Началась и должна быть продолжена в предстоящие годы работа по отраж</w:t>
      </w:r>
      <w:r w:rsidRPr="00F44622">
        <w:t>е</w:t>
      </w:r>
      <w:r w:rsidRPr="00F44622">
        <w:t>нию в имеющихся нормативных положениях последних технологических разр</w:t>
      </w:r>
      <w:r w:rsidRPr="00F44622">
        <w:t>а</w:t>
      </w:r>
      <w:r w:rsidRPr="00F44622">
        <w:t>боток в области автоматизированных/автономных транспортных средств.</w:t>
      </w:r>
    </w:p>
    <w:p w:rsidR="00F44622" w:rsidRPr="00F44622" w:rsidRDefault="00F44622" w:rsidP="00F44622">
      <w:pPr>
        <w:pStyle w:val="SingleTxt"/>
      </w:pPr>
      <w:r w:rsidRPr="00F44622">
        <w:t>20.</w:t>
      </w:r>
      <w:r w:rsidRPr="00F44622">
        <w:tab/>
      </w:r>
      <w:proofErr w:type="gramStart"/>
      <w:r w:rsidRPr="00F44622">
        <w:t>В настоящее время на Всемирном форуме для согласования правил в обл</w:t>
      </w:r>
      <w:r w:rsidRPr="00F44622">
        <w:t>а</w:t>
      </w:r>
      <w:r w:rsidRPr="00F44622">
        <w:t>сти транспортных средств рассматривается, с целью введения новых правил ООН до 2018 года, вопрос о включении легковых автомобилей и легких фургонов и о дальнейшем укреплении системы периодических технических осмотров, р</w:t>
      </w:r>
      <w:r w:rsidRPr="00F44622">
        <w:t>е</w:t>
      </w:r>
      <w:r w:rsidRPr="00F44622">
        <w:t>гулируемых Соглашением 1997 года о единообразных условиях для периодич</w:t>
      </w:r>
      <w:r w:rsidRPr="00F44622">
        <w:t>е</w:t>
      </w:r>
      <w:r w:rsidRPr="00F44622">
        <w:t>ских технических осмотров колесных транспортных средств и о взаимном пр</w:t>
      </w:r>
      <w:r w:rsidRPr="00F44622">
        <w:t>и</w:t>
      </w:r>
      <w:r w:rsidRPr="00F44622">
        <w:t>знании таких осмотров.</w:t>
      </w:r>
      <w:proofErr w:type="gramEnd"/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2979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tab/>
      </w:r>
      <w:bookmarkStart w:id="29" w:name="lt_pId094"/>
      <w:r w:rsidRPr="00F44622">
        <w:t>IX.</w:t>
      </w:r>
      <w:bookmarkEnd w:id="29"/>
      <w:r w:rsidRPr="00F44622">
        <w:tab/>
      </w:r>
      <w:bookmarkStart w:id="30" w:name="lt_pId095"/>
      <w:r w:rsidRPr="00F44622">
        <w:t>Интеллектуальные транспортные системы (ИТС)</w:t>
      </w:r>
      <w:bookmarkEnd w:id="30"/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</w:pPr>
      <w:r w:rsidRPr="00F44622">
        <w:t>21.</w:t>
      </w:r>
      <w:r w:rsidRPr="00F44622">
        <w:tab/>
        <w:t>Осуществление принятого ЕЭК ООН Плана действий по ИТС требует ск</w:t>
      </w:r>
      <w:r w:rsidRPr="00F44622">
        <w:t>о</w:t>
      </w:r>
      <w:r w:rsidRPr="00F44622">
        <w:t>ординированной работы, проводимой на основе целостного подхода, над техн</w:t>
      </w:r>
      <w:r w:rsidRPr="00F44622">
        <w:t>и</w:t>
      </w:r>
      <w:r w:rsidRPr="00F44622">
        <w:t>ческими вопросами на уровне вспомогательных органов Комитета по внутре</w:t>
      </w:r>
      <w:r w:rsidRPr="00F44622">
        <w:t>н</w:t>
      </w:r>
      <w:r w:rsidRPr="00F44622">
        <w:t>нему транспорту и над вопросами политики </w:t>
      </w:r>
      <w:r w:rsidR="007130FF">
        <w:t>–</w:t>
      </w:r>
      <w:r w:rsidRPr="00F44622">
        <w:t xml:space="preserve"> на уровне Комитета.</w:t>
      </w: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F44622" w:rsidRPr="00F44622" w:rsidRDefault="00F44622" w:rsidP="002979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tab/>
        <w:t>X.</w:t>
      </w:r>
      <w:r w:rsidRPr="00F44622">
        <w:tab/>
      </w:r>
      <w:bookmarkStart w:id="31" w:name="lt_pId100"/>
      <w:r w:rsidRPr="00F44622">
        <w:t>Перевозка опасных грузов, классификация и маркировка химических веществ</w:t>
      </w:r>
      <w:bookmarkEnd w:id="31"/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F44622" w:rsidRPr="00F44622" w:rsidRDefault="00F44622" w:rsidP="00F44622">
      <w:pPr>
        <w:pStyle w:val="SingleTxt"/>
      </w:pPr>
      <w:r w:rsidRPr="00F44622">
        <w:t>22.</w:t>
      </w:r>
      <w:r w:rsidRPr="00F44622">
        <w:tab/>
        <w:t>Проект поправок к Европейскому соглашению о международной перевозке опасных грузов по внутренним водным путям (ВОПОГ) был подготовлен в 2015 году, но большинство обсуждаемых поправок будут, как ожидается, оконч</w:t>
      </w:r>
      <w:r w:rsidRPr="00F44622">
        <w:t>а</w:t>
      </w:r>
      <w:r w:rsidRPr="00F44622">
        <w:t>тельно согласованы в январе 2016 года.</w:t>
      </w:r>
    </w:p>
    <w:p w:rsidR="00F44622" w:rsidRPr="00F44622" w:rsidRDefault="00F44622" w:rsidP="00F44622">
      <w:pPr>
        <w:pStyle w:val="SingleTxt"/>
      </w:pPr>
      <w:r w:rsidRPr="00F44622">
        <w:t>23.</w:t>
      </w:r>
      <w:r w:rsidRPr="00F44622">
        <w:tab/>
      </w:r>
      <w:proofErr w:type="gramStart"/>
      <w:r w:rsidRPr="00F44622">
        <w:t>Все эти проекты поправок должны быть представлены для принятия Дог</w:t>
      </w:r>
      <w:r w:rsidRPr="00F44622">
        <w:t>о</w:t>
      </w:r>
      <w:r w:rsidRPr="00F44622">
        <w:t xml:space="preserve">варивающимся сторонам Европейского соглашения о международной дорожной перевозке опасных грузов (ДОПОГ), Европейского соглашения о международной перевозке опасных грузов по внутренним водным путям (ВОПОГ) и Правил </w:t>
      </w:r>
      <w:r w:rsidRPr="00F44622">
        <w:lastRenderedPageBreak/>
        <w:t>международной перевозки опасных грузов по железным дорогам (МПОГ), в з</w:t>
      </w:r>
      <w:r w:rsidRPr="00F44622">
        <w:t>а</w:t>
      </w:r>
      <w:r w:rsidRPr="00F44622">
        <w:t>висимости от конкретного случая, в 2016 году и вступить в силу 1 января 2017 года.</w:t>
      </w:r>
      <w:proofErr w:type="gramEnd"/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b/>
          <w:sz w:val="10"/>
        </w:rPr>
      </w:pPr>
    </w:p>
    <w:p w:rsidR="00F44622" w:rsidRPr="007130FF" w:rsidRDefault="00F44622" w:rsidP="002979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4622">
        <w:tab/>
      </w:r>
      <w:bookmarkStart w:id="32" w:name="lt_pId106"/>
      <w:r w:rsidRPr="00F44622">
        <w:rPr>
          <w:lang w:val="en-GB"/>
        </w:rPr>
        <w:t>XI</w:t>
      </w:r>
      <w:r w:rsidRPr="007130FF">
        <w:t>.</w:t>
      </w:r>
      <w:bookmarkEnd w:id="32"/>
      <w:r w:rsidRPr="007130FF">
        <w:tab/>
      </w:r>
      <w:bookmarkStart w:id="33" w:name="lt_pId107"/>
      <w:r w:rsidRPr="00F44622">
        <w:t>Перевозка</w:t>
      </w:r>
      <w:r w:rsidRPr="007130FF">
        <w:t xml:space="preserve"> </w:t>
      </w:r>
      <w:r w:rsidRPr="00F44622">
        <w:t>скоропортящихся</w:t>
      </w:r>
      <w:r w:rsidRPr="007130FF">
        <w:t xml:space="preserve"> </w:t>
      </w:r>
      <w:r w:rsidRPr="00F44622">
        <w:t>пищевых</w:t>
      </w:r>
      <w:r w:rsidRPr="007130FF">
        <w:t xml:space="preserve"> </w:t>
      </w:r>
      <w:r w:rsidRPr="00F44622">
        <w:t>продуктов</w:t>
      </w:r>
      <w:bookmarkEnd w:id="33"/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29797A" w:rsidRPr="0029797A" w:rsidRDefault="0029797A" w:rsidP="0029797A">
      <w:pPr>
        <w:pStyle w:val="SingleTxt"/>
        <w:spacing w:after="0" w:line="120" w:lineRule="exact"/>
        <w:rPr>
          <w:sz w:val="10"/>
        </w:rPr>
      </w:pPr>
    </w:p>
    <w:p w:rsidR="00E31F04" w:rsidRPr="0029797A" w:rsidRDefault="00F44622" w:rsidP="00F44622">
      <w:pPr>
        <w:pStyle w:val="SingleTxt"/>
      </w:pPr>
      <w:r w:rsidRPr="00F44622">
        <w:t>23.</w:t>
      </w:r>
      <w:r w:rsidRPr="00F44622">
        <w:tab/>
        <w:t>В задачи, стоящие перед WP.11, входят дальнейшие обсуждения возможных поправок к процедурам принятия решений и голосования (принцип единогласия, предусмотренный в статье 18.4).</w:t>
      </w:r>
    </w:p>
    <w:p w:rsidR="00F44622" w:rsidRPr="00F44622" w:rsidRDefault="00F44622" w:rsidP="00F44622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44622" w:rsidRPr="00F44622" w:rsidSect="00E31F0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07T17:03:00Z" w:initials="Start">
    <w:p w:rsidR="00E31F04" w:rsidRPr="00F44622" w:rsidRDefault="00E31F04">
      <w:pPr>
        <w:pStyle w:val="CommentText"/>
        <w:rPr>
          <w:lang w:val="en-US"/>
        </w:rPr>
      </w:pPr>
      <w:r>
        <w:fldChar w:fldCharType="begin"/>
      </w:r>
      <w:r w:rsidRPr="00F44622">
        <w:rPr>
          <w:rStyle w:val="CommentReference"/>
          <w:lang w:val="en-US"/>
        </w:rPr>
        <w:instrText xml:space="preserve"> </w:instrText>
      </w:r>
      <w:r w:rsidRPr="00F44622">
        <w:rPr>
          <w:lang w:val="en-US"/>
        </w:rPr>
        <w:instrText>PAGE \# "'Page: '#'</w:instrText>
      </w:r>
      <w:r w:rsidRPr="00F44622">
        <w:rPr>
          <w:lang w:val="en-US"/>
        </w:rPr>
        <w:br/>
        <w:instrText>'"</w:instrText>
      </w:r>
      <w:r w:rsidRPr="00F4462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44622">
        <w:rPr>
          <w:lang w:val="en-US"/>
        </w:rPr>
        <w:t>&lt;&lt;ODS JOB NO&gt;&gt;N1528587R&lt;&lt;ODS JOB NO&gt;&gt;</w:t>
      </w:r>
    </w:p>
    <w:p w:rsidR="00E31F04" w:rsidRDefault="00E31F04">
      <w:pPr>
        <w:pStyle w:val="CommentText"/>
      </w:pPr>
      <w:r>
        <w:t>&lt;&lt;ODS DOC SYMBOL1&gt;&gt;ECE/TRANS/2016/24&lt;&lt;ODS DOC SYMBOL1&gt;&gt;</w:t>
      </w:r>
    </w:p>
    <w:p w:rsidR="00E31F04" w:rsidRDefault="00E31F0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B7" w:rsidRDefault="00A701B7" w:rsidP="008A1A7A">
      <w:pPr>
        <w:spacing w:line="240" w:lineRule="auto"/>
      </w:pPr>
      <w:r>
        <w:separator/>
      </w:r>
    </w:p>
  </w:endnote>
  <w:endnote w:type="continuationSeparator" w:id="0">
    <w:p w:rsidR="00A701B7" w:rsidRDefault="00A701B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31F04" w:rsidTr="00E31F0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31F04" w:rsidRPr="00E31F04" w:rsidRDefault="00E31F04" w:rsidP="00E31F0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0363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C80363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31F04" w:rsidRPr="00E31F04" w:rsidRDefault="00E31F04" w:rsidP="00E31F0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52D5D">
            <w:rPr>
              <w:b w:val="0"/>
              <w:color w:val="000000"/>
              <w:sz w:val="14"/>
            </w:rPr>
            <w:t>GE.15-22143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31F04" w:rsidRPr="00E31F04" w:rsidRDefault="00E31F04" w:rsidP="00E31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31F04" w:rsidTr="00E31F0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31F04" w:rsidRPr="00E31F04" w:rsidRDefault="00E31F04" w:rsidP="00E31F0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52D5D">
            <w:rPr>
              <w:b w:val="0"/>
              <w:color w:val="000000"/>
              <w:sz w:val="14"/>
            </w:rPr>
            <w:t>GE.15-22143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31F04" w:rsidRPr="00E31F04" w:rsidRDefault="00E31F04" w:rsidP="00E31F0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0363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C80363">
              <w:rPr>
                <w:noProof/>
              </w:rPr>
              <w:t>5</w:t>
            </w:r>
          </w:fldSimple>
        </w:p>
      </w:tc>
    </w:tr>
  </w:tbl>
  <w:p w:rsidR="00E31F04" w:rsidRPr="00E31F04" w:rsidRDefault="00E31F04" w:rsidP="00E31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31F04" w:rsidTr="00E31F04">
      <w:tc>
        <w:tcPr>
          <w:tcW w:w="3873" w:type="dxa"/>
        </w:tcPr>
        <w:p w:rsidR="00E31F04" w:rsidRDefault="00E31F04" w:rsidP="005E6111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3987912" wp14:editId="4B69728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2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2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GE.15-22143 (R)</w:t>
          </w:r>
          <w:r>
            <w:rPr>
              <w:color w:val="010000"/>
            </w:rPr>
            <w:t xml:space="preserve">    070116    0</w:t>
          </w:r>
          <w:r w:rsidR="005E6111">
            <w:rPr>
              <w:color w:val="010000"/>
              <w:lang w:val="en-US"/>
            </w:rPr>
            <w:t>8</w:t>
          </w:r>
          <w:r>
            <w:rPr>
              <w:color w:val="010000"/>
            </w:rPr>
            <w:t>0116</w:t>
          </w:r>
        </w:p>
        <w:p w:rsidR="00E31F04" w:rsidRPr="00E31F04" w:rsidRDefault="00E31F04" w:rsidP="00E31F0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*1522143*</w:t>
          </w:r>
        </w:p>
      </w:tc>
      <w:tc>
        <w:tcPr>
          <w:tcW w:w="5127" w:type="dxa"/>
        </w:tcPr>
        <w:p w:rsidR="00E31F04" w:rsidRDefault="00E31F04" w:rsidP="00E31F0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74F851B9" wp14:editId="75642F2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1F04" w:rsidRPr="00E31F04" w:rsidRDefault="00E31F04" w:rsidP="00E31F0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B7" w:rsidRDefault="00A701B7" w:rsidP="008A1A7A">
      <w:pPr>
        <w:spacing w:line="240" w:lineRule="auto"/>
      </w:pPr>
      <w:r>
        <w:separator/>
      </w:r>
    </w:p>
  </w:footnote>
  <w:footnote w:type="continuationSeparator" w:id="0">
    <w:p w:rsidR="00A701B7" w:rsidRDefault="00A701B7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31F04" w:rsidTr="00E31F0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31F04" w:rsidRPr="00E31F04" w:rsidRDefault="00E31F04" w:rsidP="00E31F0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52D5D">
            <w:rPr>
              <w:b/>
            </w:rPr>
            <w:t>ECE/TRANS/2016/24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31F04" w:rsidRDefault="00E31F04" w:rsidP="00E31F04">
          <w:pPr>
            <w:pStyle w:val="Header"/>
          </w:pPr>
        </w:p>
      </w:tc>
    </w:tr>
  </w:tbl>
  <w:p w:rsidR="00E31F04" w:rsidRPr="00E31F04" w:rsidRDefault="00E31F04" w:rsidP="00E31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31F04" w:rsidTr="00E31F0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31F04" w:rsidRDefault="00E31F04" w:rsidP="00E31F0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31F04" w:rsidRPr="00E31F04" w:rsidRDefault="00E31F04" w:rsidP="00E31F0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52D5D">
            <w:rPr>
              <w:b/>
            </w:rPr>
            <w:t>ECE/TRANS/2016/24</w:t>
          </w:r>
          <w:r>
            <w:rPr>
              <w:b/>
            </w:rPr>
            <w:fldChar w:fldCharType="end"/>
          </w:r>
        </w:p>
      </w:tc>
    </w:tr>
  </w:tbl>
  <w:p w:rsidR="00E31F04" w:rsidRPr="00E31F04" w:rsidRDefault="00E31F04" w:rsidP="00E31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31F04" w:rsidTr="00E31F0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31F04" w:rsidRPr="00E31F04" w:rsidRDefault="00E31F04" w:rsidP="00E31F0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31F04" w:rsidRDefault="00E31F04" w:rsidP="00E31F0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31F04" w:rsidRPr="00E31F04" w:rsidRDefault="00E31F04" w:rsidP="00E31F0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/TRANS/2016/24</w:t>
          </w:r>
        </w:p>
      </w:tc>
    </w:tr>
    <w:tr w:rsidR="00E31F04" w:rsidRPr="007130FF" w:rsidTr="00E31F0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1F04" w:rsidRPr="00E31F04" w:rsidRDefault="00E31F04" w:rsidP="00E31F0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2807C03B" wp14:editId="4C66655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1F04" w:rsidRPr="00E31F04" w:rsidRDefault="00E31F04" w:rsidP="00E31F0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1F04" w:rsidRPr="00E31F04" w:rsidRDefault="00E31F04" w:rsidP="00E31F0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1F04" w:rsidRPr="00F44622" w:rsidRDefault="00E31F04" w:rsidP="00E31F04">
          <w:pPr>
            <w:pStyle w:val="Distribution"/>
            <w:rPr>
              <w:color w:val="000000"/>
              <w:lang w:val="en-US"/>
            </w:rPr>
          </w:pPr>
          <w:r w:rsidRPr="00F44622">
            <w:rPr>
              <w:color w:val="000000"/>
              <w:lang w:val="en-US"/>
            </w:rPr>
            <w:t>Distr.: General</w:t>
          </w:r>
        </w:p>
        <w:p w:rsidR="00E31F04" w:rsidRPr="00F44622" w:rsidRDefault="00E31F04" w:rsidP="00F44622">
          <w:pPr>
            <w:pStyle w:val="Publication"/>
            <w:rPr>
              <w:color w:val="000000"/>
              <w:lang w:val="en-US"/>
            </w:rPr>
          </w:pPr>
          <w:r w:rsidRPr="00F44622">
            <w:rPr>
              <w:color w:val="000000"/>
              <w:lang w:val="en-US"/>
            </w:rPr>
            <w:t>15 December 2015</w:t>
          </w:r>
        </w:p>
        <w:p w:rsidR="00E31F04" w:rsidRPr="00F44622" w:rsidRDefault="00E31F04" w:rsidP="00E31F04">
          <w:pPr>
            <w:rPr>
              <w:color w:val="000000"/>
              <w:lang w:val="en-US"/>
            </w:rPr>
          </w:pPr>
          <w:r w:rsidRPr="00F44622">
            <w:rPr>
              <w:color w:val="000000"/>
              <w:lang w:val="en-US"/>
            </w:rPr>
            <w:t>Russian</w:t>
          </w:r>
        </w:p>
        <w:p w:rsidR="00E31F04" w:rsidRPr="00F44622" w:rsidRDefault="00E31F04" w:rsidP="00E31F04">
          <w:pPr>
            <w:pStyle w:val="Original"/>
            <w:rPr>
              <w:color w:val="000000"/>
              <w:lang w:val="en-US"/>
            </w:rPr>
          </w:pPr>
          <w:r w:rsidRPr="00F44622">
            <w:rPr>
              <w:color w:val="000000"/>
              <w:lang w:val="en-US"/>
            </w:rPr>
            <w:t>Original: English</w:t>
          </w:r>
        </w:p>
        <w:p w:rsidR="00E31F04" w:rsidRPr="00F44622" w:rsidRDefault="00E31F04" w:rsidP="00E31F04">
          <w:pPr>
            <w:rPr>
              <w:lang w:val="en-US"/>
            </w:rPr>
          </w:pPr>
        </w:p>
      </w:tc>
    </w:tr>
  </w:tbl>
  <w:p w:rsidR="00E31F04" w:rsidRPr="00F44622" w:rsidRDefault="00E31F04" w:rsidP="00E31F0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B7C47B1"/>
    <w:multiLevelType w:val="hybridMultilevel"/>
    <w:tmpl w:val="78164912"/>
    <w:lvl w:ilvl="0" w:tplc="DF92A54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143*"/>
    <w:docVar w:name="CreationDt" w:val="1/7/2016 5:03: PM"/>
    <w:docVar w:name="DocCategory" w:val="Doc"/>
    <w:docVar w:name="DocType" w:val="Final"/>
    <w:docVar w:name="DutyStation" w:val="Geneva"/>
    <w:docVar w:name="FooterJN" w:val="GE.15-22143"/>
    <w:docVar w:name="jobn" w:val="GE.15-22143 (R)"/>
    <w:docVar w:name="jobnDT" w:val="GE.15-22143 (R)   070116"/>
    <w:docVar w:name="jobnDTDT" w:val="GE.15-22143 (R)   070116   070116"/>
    <w:docVar w:name="JobNo" w:val="GE.1522143R"/>
    <w:docVar w:name="JobNo2" w:val="1528587R"/>
    <w:docVar w:name="LocalDrive" w:val="0"/>
    <w:docVar w:name="OandT" w:val=" "/>
    <w:docVar w:name="PaperSize" w:val="A4"/>
    <w:docVar w:name="sss1" w:val="ECE/TRANS/2016/24"/>
    <w:docVar w:name="sss2" w:val="-"/>
    <w:docVar w:name="Symbol1" w:val="ECE/TRANS/2016/24"/>
    <w:docVar w:name="Symbol2" w:val="-"/>
  </w:docVars>
  <w:rsids>
    <w:rsidRoot w:val="00A701B7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1D2D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2D5D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97A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6111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2AFC"/>
    <w:rsid w:val="007130FF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01B7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1DBE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5F6A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036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1F04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4622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31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F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F0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F0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31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F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F0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F0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0105-8FF1-4648-9BC0-258A4444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8699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Anastasia Barinova</cp:lastModifiedBy>
  <cp:revision>2</cp:revision>
  <cp:lastPrinted>2016-01-08T08:44:00Z</cp:lastPrinted>
  <dcterms:created xsi:type="dcterms:W3CDTF">2016-02-12T14:54:00Z</dcterms:created>
  <dcterms:modified xsi:type="dcterms:W3CDTF">2016-02-12T14:54:00Z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1522143R</vt:lpwstr>
  </property>
  <property fmtid="{D5CDD505-2E9C-101B-9397-08002B2CF9AE}" pid="3" name="ODSRefJobNo">
    <vt:lpwstr>1528587R</vt:lpwstr>
  </property>
  <property fmtid="{D5CDD505-2E9C-101B-9397-08002B2CF9AE}" pid="4" name="Symbol1">
    <vt:lpwstr>ECE/TRANS/2016/24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070116</vt:lpwstr>
  </property>
</Properties>
</file>