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D9" w:rsidRDefault="00386DD9" w:rsidP="00386DD9">
      <w:pPr>
        <w:spacing w:line="240" w:lineRule="auto"/>
        <w:rPr>
          <w:sz w:val="2"/>
        </w:rPr>
        <w:sectPr w:rsidR="00386DD9" w:rsidSect="00386DD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386DD9" w:rsidRDefault="00386DD9" w:rsidP="00386DD9">
      <w:pPr>
        <w:pStyle w:val="H1"/>
        <w:spacing w:after="120"/>
        <w:rPr>
          <w:sz w:val="28"/>
        </w:rPr>
      </w:pPr>
      <w:r>
        <w:rPr>
          <w:sz w:val="28"/>
        </w:rPr>
        <w:lastRenderedPageBreak/>
        <w:t>Commission économique pour l’Europe</w:t>
      </w:r>
    </w:p>
    <w:p w:rsidR="00386DD9" w:rsidRDefault="00386DD9" w:rsidP="0088502C">
      <w:pPr>
        <w:pStyle w:val="H1"/>
        <w:spacing w:after="120" w:line="300" w:lineRule="exact"/>
        <w:rPr>
          <w:b w:val="0"/>
          <w:sz w:val="28"/>
        </w:rPr>
      </w:pPr>
      <w:r>
        <w:rPr>
          <w:b w:val="0"/>
          <w:sz w:val="28"/>
        </w:rPr>
        <w:t>Comité des transports intérieurs</w:t>
      </w:r>
    </w:p>
    <w:p w:rsidR="0036655D" w:rsidRPr="0036655D" w:rsidRDefault="0036655D" w:rsidP="0088502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6655D">
        <w:rPr>
          <w:lang w:val="fr-FR"/>
        </w:rPr>
        <w:t>Soixante-dix-huitième session</w:t>
      </w:r>
    </w:p>
    <w:p w:rsidR="0036655D" w:rsidRPr="0036655D" w:rsidRDefault="0036655D" w:rsidP="0036655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6655D">
        <w:rPr>
          <w:lang w:val="fr-FR"/>
        </w:rPr>
        <w:t>Genève, 23-26</w:t>
      </w:r>
      <w:r>
        <w:rPr>
          <w:lang w:val="fr-FR"/>
        </w:rPr>
        <w:t> </w:t>
      </w:r>
      <w:r w:rsidRPr="0036655D">
        <w:rPr>
          <w:lang w:val="fr-FR"/>
        </w:rPr>
        <w:t>février 2016</w:t>
      </w:r>
    </w:p>
    <w:p w:rsidR="0036655D" w:rsidRPr="0036655D" w:rsidRDefault="0036655D" w:rsidP="0036655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6655D">
        <w:rPr>
          <w:lang w:val="fr-FR"/>
        </w:rPr>
        <w:t>Point 5 g) de l’</w:t>
      </w:r>
      <w:bookmarkStart w:id="2" w:name="insstart"/>
      <w:bookmarkEnd w:id="2"/>
      <w:r w:rsidRPr="0036655D">
        <w:rPr>
          <w:lang w:val="fr-FR"/>
        </w:rPr>
        <w:t>ordre du jour provisoire</w:t>
      </w:r>
    </w:p>
    <w:p w:rsidR="0036655D" w:rsidRDefault="0036655D" w:rsidP="0088502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6655D">
        <w:rPr>
          <w:lang w:val="fr-FR"/>
        </w:rPr>
        <w:t>Questions stratégiques à caractère modal et thématique :</w:t>
      </w:r>
      <w:r>
        <w:rPr>
          <w:lang w:val="fr-FR"/>
        </w:rPr>
        <w:t xml:space="preserve"> </w:t>
      </w:r>
      <w:r w:rsidRPr="0036655D">
        <w:rPr>
          <w:lang w:val="fr-FR"/>
        </w:rPr>
        <w:br/>
        <w:t>Transport par voie navigable</w:t>
      </w:r>
    </w:p>
    <w:p w:rsidR="0036655D" w:rsidRPr="0036655D" w:rsidRDefault="0036655D" w:rsidP="0036655D">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36655D" w:rsidRPr="0036655D" w:rsidRDefault="0036655D" w:rsidP="0036655D">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36655D" w:rsidRPr="0036655D" w:rsidRDefault="0036655D" w:rsidP="0036655D">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36655D" w:rsidRDefault="0036655D" w:rsidP="0036655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6655D">
        <w:rPr>
          <w:lang w:val="fr-FR"/>
        </w:rPr>
        <w:tab/>
      </w:r>
      <w:r w:rsidRPr="0036655D">
        <w:rPr>
          <w:lang w:val="fr-FR"/>
        </w:rPr>
        <w:tab/>
        <w:t xml:space="preserve">Proposition de stratégie que pourrait adopter le Comité </w:t>
      </w:r>
      <w:r>
        <w:rPr>
          <w:lang w:val="fr-FR"/>
        </w:rPr>
        <w:br/>
      </w:r>
      <w:r w:rsidRPr="0036655D">
        <w:rPr>
          <w:rFonts w:ascii="Times New Roman Bold" w:hAnsi="Times New Roman Bold"/>
          <w:spacing w:val="-4"/>
          <w:lang w:val="fr-FR"/>
        </w:rPr>
        <w:t>des transports intérieurs pour promouvoir le développement</w:t>
      </w:r>
      <w:r w:rsidRPr="0036655D">
        <w:rPr>
          <w:lang w:val="fr-FR"/>
        </w:rPr>
        <w:t xml:space="preserve"> </w:t>
      </w:r>
      <w:r>
        <w:rPr>
          <w:lang w:val="fr-FR"/>
        </w:rPr>
        <w:br/>
      </w:r>
      <w:r w:rsidRPr="0036655D">
        <w:rPr>
          <w:lang w:val="fr-FR"/>
        </w:rPr>
        <w:t>des voies navigables</w:t>
      </w:r>
    </w:p>
    <w:p w:rsidR="0036655D" w:rsidRPr="0036655D" w:rsidRDefault="0036655D" w:rsidP="0036655D">
      <w:pPr>
        <w:spacing w:line="120" w:lineRule="exact"/>
        <w:rPr>
          <w:sz w:val="10"/>
          <w:lang w:val="fr-FR"/>
        </w:rPr>
      </w:pPr>
    </w:p>
    <w:p w:rsidR="0036655D" w:rsidRPr="0036655D" w:rsidRDefault="0036655D" w:rsidP="0036655D">
      <w:pPr>
        <w:spacing w:line="120" w:lineRule="exact"/>
        <w:rPr>
          <w:sz w:val="10"/>
          <w:lang w:val="fr-FR"/>
        </w:rPr>
      </w:pPr>
    </w:p>
    <w:p w:rsidR="00386DD9" w:rsidRDefault="0036655D" w:rsidP="0036655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6655D">
        <w:rPr>
          <w:lang w:val="fr-FR"/>
        </w:rPr>
        <w:tab/>
      </w:r>
      <w:r w:rsidRPr="0036655D">
        <w:rPr>
          <w:lang w:val="fr-FR"/>
        </w:rPr>
        <w:tab/>
        <w:t>Note du secrétariat</w:t>
      </w:r>
    </w:p>
    <w:p w:rsidR="00386DD9" w:rsidRPr="00CF3C8A" w:rsidRDefault="00386DD9" w:rsidP="00CF3C8A">
      <w:pPr>
        <w:pStyle w:val="SingleTxt"/>
        <w:spacing w:after="0" w:line="120" w:lineRule="exact"/>
        <w:rPr>
          <w:sz w:val="10"/>
        </w:rPr>
      </w:pPr>
    </w:p>
    <w:p w:rsidR="00CF3C8A" w:rsidRPr="0036655D" w:rsidRDefault="00CF3C8A" w:rsidP="0036655D">
      <w:pPr>
        <w:pStyle w:val="SingleTxt"/>
        <w:spacing w:after="0" w:line="120" w:lineRule="exact"/>
        <w:rPr>
          <w:sz w:val="10"/>
        </w:rPr>
      </w:pPr>
    </w:p>
    <w:p w:rsidR="0036655D" w:rsidRPr="0036655D" w:rsidRDefault="0036655D" w:rsidP="0036655D">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6655D" w:rsidTr="0036655D">
        <w:tc>
          <w:tcPr>
            <w:tcW w:w="10051" w:type="dxa"/>
            <w:tcBorders>
              <w:top w:val="single" w:sz="2" w:space="0" w:color="auto"/>
            </w:tcBorders>
            <w:shd w:val="clear" w:color="auto" w:fill="auto"/>
          </w:tcPr>
          <w:p w:rsidR="0036655D" w:rsidRPr="0036655D" w:rsidRDefault="0036655D" w:rsidP="0036655D">
            <w:pPr>
              <w:tabs>
                <w:tab w:val="left" w:pos="240"/>
              </w:tabs>
              <w:spacing w:before="240" w:after="120"/>
              <w:rPr>
                <w:i/>
                <w:sz w:val="24"/>
              </w:rPr>
            </w:pPr>
            <w:r>
              <w:rPr>
                <w:i/>
                <w:sz w:val="24"/>
              </w:rPr>
              <w:tab/>
              <w:t>Résumé</w:t>
            </w:r>
          </w:p>
        </w:tc>
      </w:tr>
      <w:tr w:rsidR="0036655D" w:rsidTr="0036655D">
        <w:tc>
          <w:tcPr>
            <w:tcW w:w="10051" w:type="dxa"/>
            <w:shd w:val="clear" w:color="auto" w:fill="auto"/>
          </w:tcPr>
          <w:p w:rsidR="0036655D" w:rsidRPr="0036655D" w:rsidRDefault="0036655D" w:rsidP="0036655D">
            <w:pPr>
              <w:pStyle w:val="SingleTxt"/>
            </w:pPr>
            <w:r>
              <w:tab/>
            </w:r>
            <w:r w:rsidRPr="0036655D">
              <w:rPr>
                <w:lang w:val="fr-FR"/>
              </w:rPr>
              <w:t>La présente note fournit un résumé des travaux entrepris par le Groupe de travail des transports par voie navigable pour réviser et actualiser sa stratégie afin de tenir compte des évolutions récentes et d’assouplir son fonctionnement. Les orientations futures des activités proposées sont conçues pour une part comme une poursuite du rôle traditionnel du SC.3 et pour une autre comme de nouvelles entreprises.</w:t>
            </w:r>
          </w:p>
        </w:tc>
      </w:tr>
      <w:tr w:rsidR="0036655D" w:rsidTr="0036655D">
        <w:tc>
          <w:tcPr>
            <w:tcW w:w="10051" w:type="dxa"/>
            <w:shd w:val="clear" w:color="auto" w:fill="auto"/>
          </w:tcPr>
          <w:p w:rsidR="0036655D" w:rsidRPr="0036655D" w:rsidRDefault="0036655D" w:rsidP="0036655D">
            <w:pPr>
              <w:pStyle w:val="SingleTxt"/>
            </w:pPr>
            <w:r>
              <w:tab/>
            </w:r>
            <w:r w:rsidRPr="00233D50">
              <w:rPr>
                <w:lang w:val="fr-FR"/>
              </w:rPr>
              <w:t>Le Comité souhaitera peut-être prendre note de son contenu et donner des orientations au Groupe de travail afin de faciliter l</w:t>
            </w:r>
            <w:r>
              <w:rPr>
                <w:lang w:val="fr-FR"/>
              </w:rPr>
              <w:t>’</w:t>
            </w:r>
            <w:r w:rsidRPr="00233D50">
              <w:rPr>
                <w:lang w:val="fr-FR"/>
              </w:rPr>
              <w:t>accomplissement de ses tâches.</w:t>
            </w:r>
          </w:p>
        </w:tc>
      </w:tr>
      <w:tr w:rsidR="0036655D" w:rsidTr="0036655D">
        <w:tc>
          <w:tcPr>
            <w:tcW w:w="10051" w:type="dxa"/>
            <w:tcBorders>
              <w:bottom w:val="single" w:sz="2" w:space="0" w:color="auto"/>
            </w:tcBorders>
            <w:shd w:val="clear" w:color="auto" w:fill="auto"/>
          </w:tcPr>
          <w:p w:rsidR="0036655D" w:rsidRPr="0036655D" w:rsidRDefault="0036655D" w:rsidP="0036655D">
            <w:pPr>
              <w:pStyle w:val="SingleTxt"/>
            </w:pPr>
          </w:p>
        </w:tc>
      </w:tr>
    </w:tbl>
    <w:p w:rsidR="0036655D" w:rsidRPr="0036655D" w:rsidRDefault="0036655D" w:rsidP="0036655D">
      <w:pPr>
        <w:pStyle w:val="SingleTxt"/>
        <w:spacing w:after="0" w:line="120" w:lineRule="exact"/>
        <w:rPr>
          <w:sz w:val="10"/>
        </w:rPr>
      </w:pPr>
    </w:p>
    <w:p w:rsidR="0036655D" w:rsidRPr="0036655D" w:rsidRDefault="0036655D" w:rsidP="0036655D">
      <w:pPr>
        <w:pStyle w:val="SingleTxt"/>
        <w:spacing w:after="0" w:line="120" w:lineRule="exact"/>
        <w:rPr>
          <w:sz w:val="10"/>
        </w:rPr>
      </w:pPr>
    </w:p>
    <w:p w:rsidR="0036655D" w:rsidRPr="0036655D" w:rsidRDefault="0036655D" w:rsidP="0036655D">
      <w:pPr>
        <w:pStyle w:val="SingleTxt"/>
        <w:spacing w:after="0" w:line="120" w:lineRule="exact"/>
        <w:rPr>
          <w:sz w:val="10"/>
        </w:rPr>
      </w:pPr>
    </w:p>
    <w:p w:rsidR="0036655D" w:rsidRDefault="0036655D" w:rsidP="003665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36655D">
        <w:rPr>
          <w:lang w:val="fr-FR"/>
        </w:rPr>
        <w:t>I.</w:t>
      </w:r>
      <w:r w:rsidRPr="0036655D">
        <w:rPr>
          <w:lang w:val="fr-FR"/>
        </w:rPr>
        <w:tab/>
        <w:t>Introduction</w:t>
      </w:r>
    </w:p>
    <w:p w:rsidR="0036655D" w:rsidRPr="0036655D" w:rsidRDefault="0036655D" w:rsidP="0036655D">
      <w:pPr>
        <w:pStyle w:val="SingleTxt"/>
        <w:spacing w:after="0" w:line="120" w:lineRule="exact"/>
        <w:rPr>
          <w:sz w:val="10"/>
          <w:lang w:val="fr-FR"/>
        </w:rPr>
      </w:pPr>
    </w:p>
    <w:p w:rsidR="0036655D" w:rsidRPr="0036655D" w:rsidRDefault="0036655D" w:rsidP="0036655D">
      <w:pPr>
        <w:pStyle w:val="SingleTxt"/>
        <w:spacing w:after="0" w:line="120" w:lineRule="exact"/>
        <w:rPr>
          <w:sz w:val="10"/>
          <w:lang w:val="fr-FR"/>
        </w:rPr>
      </w:pPr>
    </w:p>
    <w:p w:rsidR="0036655D" w:rsidRPr="0036655D" w:rsidRDefault="0036655D" w:rsidP="007264D6">
      <w:pPr>
        <w:pStyle w:val="SingleTxt"/>
        <w:numPr>
          <w:ilvl w:val="0"/>
          <w:numId w:val="16"/>
        </w:numPr>
        <w:tabs>
          <w:tab w:val="clear" w:pos="475"/>
          <w:tab w:val="num" w:pos="1742"/>
        </w:tabs>
        <w:ind w:left="1267"/>
        <w:rPr>
          <w:lang w:val="fr-FR"/>
        </w:rPr>
      </w:pPr>
      <w:r w:rsidRPr="0036655D">
        <w:rPr>
          <w:lang w:val="fr-FR"/>
        </w:rPr>
        <w:t>Le présent document est fondé sur un document distribué par le secrétariat dans le cadre de ses travaux relatifs à une proposition de révision de la stratégie et du mandat du Groupe de travail des transports par voie navigable (ci-après Groupe de travail ou SC.3) prévue pour 2016.</w:t>
      </w:r>
    </w:p>
    <w:p w:rsidR="0036655D" w:rsidRPr="0036655D" w:rsidRDefault="0036655D" w:rsidP="007264D6">
      <w:pPr>
        <w:pStyle w:val="SingleTxt"/>
        <w:numPr>
          <w:ilvl w:val="0"/>
          <w:numId w:val="16"/>
        </w:numPr>
        <w:tabs>
          <w:tab w:val="clear" w:pos="475"/>
          <w:tab w:val="num" w:pos="1742"/>
        </w:tabs>
        <w:ind w:left="1267"/>
        <w:rPr>
          <w:lang w:val="fr-FR"/>
        </w:rPr>
      </w:pPr>
      <w:r w:rsidRPr="0036655D">
        <w:rPr>
          <w:lang w:val="fr-FR"/>
        </w:rPr>
        <w:t xml:space="preserve">À sa cinquante-neuvième session, tenue du 9 au 11 novembre 2015, le SC.3 a ouvert un débat sur la nécessité de revoir sa stratégie afin de tenir compte des faits nouveaux dans le secteur des transports par voie navigable et d’introduire davantage de souplesse dans son fonctionnement, et a demandé aux participants de fournir des commentaires sur le document daté de novembre 2015. Le Groupe de travail a demandé au secrétariat d’établir un rapport d’étape sur la révision de sa stratégie pour </w:t>
      </w:r>
      <w:r w:rsidRPr="0036655D">
        <w:rPr>
          <w:lang w:val="fr-FR"/>
        </w:rPr>
        <w:lastRenderedPageBreak/>
        <w:t>la soixante-dix-huitième session du Comité, en vue d’en arrêter la version définitive à sa soixantième session (ECE/TRANS/SC.3/201, par. 16 à 18).</w:t>
      </w:r>
    </w:p>
    <w:p w:rsidR="0036655D" w:rsidRDefault="0036655D" w:rsidP="007264D6">
      <w:pPr>
        <w:pStyle w:val="SingleTxt"/>
        <w:numPr>
          <w:ilvl w:val="0"/>
          <w:numId w:val="16"/>
        </w:numPr>
        <w:tabs>
          <w:tab w:val="clear" w:pos="475"/>
          <w:tab w:val="num" w:pos="1742"/>
        </w:tabs>
        <w:ind w:left="1267"/>
        <w:rPr>
          <w:lang w:val="fr-FR"/>
        </w:rPr>
      </w:pPr>
      <w:r w:rsidRPr="0036655D">
        <w:rPr>
          <w:lang w:val="fr-FR"/>
        </w:rPr>
        <w:t>Le présent document, qui constitue le rapport d’étape en question, reprend les sections de fond (sections II à IV), celle consacrée au rôle des transports par voie navigable dans le cadre des objectifs de développement durable (section</w:t>
      </w:r>
      <w:r>
        <w:rPr>
          <w:lang w:val="fr-FR"/>
        </w:rPr>
        <w:t> </w:t>
      </w:r>
      <w:r w:rsidRPr="0036655D">
        <w:rPr>
          <w:lang w:val="fr-FR"/>
        </w:rPr>
        <w:t>V) et celle proposant un résumé des recommandations pour une nouvelle stratégie (section</w:t>
      </w:r>
      <w:r>
        <w:rPr>
          <w:lang w:val="fr-FR"/>
        </w:rPr>
        <w:t> </w:t>
      </w:r>
      <w:r w:rsidRPr="0036655D">
        <w:rPr>
          <w:lang w:val="fr-FR"/>
        </w:rPr>
        <w:t>VI) telles qu’elles figurent dans le document daté de novembre 2015 afin que le Comité l’examine et fournisse des orientations. Étant donné que tous les commentaires n’ont pas été reçus avant l’achèvement du présent rapport, ils n’ont pas tous pu être intégrés dans une version actualisée du document daté de novembre 2015.</w:t>
      </w:r>
    </w:p>
    <w:p w:rsidR="0036655D" w:rsidRPr="0036655D" w:rsidRDefault="0036655D" w:rsidP="0036655D">
      <w:pPr>
        <w:pStyle w:val="SingleTxt"/>
        <w:spacing w:after="0" w:line="120" w:lineRule="exact"/>
        <w:rPr>
          <w:sz w:val="10"/>
          <w:lang w:val="fr-FR"/>
        </w:rPr>
      </w:pPr>
    </w:p>
    <w:p w:rsidR="0036655D" w:rsidRPr="0036655D" w:rsidRDefault="0036655D" w:rsidP="0036655D">
      <w:pPr>
        <w:pStyle w:val="SingleTxt"/>
        <w:spacing w:after="0" w:line="120" w:lineRule="exact"/>
        <w:rPr>
          <w:sz w:val="10"/>
          <w:lang w:val="fr-FR"/>
        </w:rPr>
      </w:pPr>
    </w:p>
    <w:p w:rsidR="0036655D" w:rsidRDefault="0036655D" w:rsidP="003665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655D">
        <w:rPr>
          <w:lang w:val="fr-FR"/>
        </w:rPr>
        <w:tab/>
        <w:t>II.</w:t>
      </w:r>
      <w:r w:rsidRPr="0036655D">
        <w:rPr>
          <w:lang w:val="fr-FR"/>
        </w:rPr>
        <w:tab/>
        <w:t>Résumé</w:t>
      </w:r>
    </w:p>
    <w:p w:rsidR="0036655D" w:rsidRPr="0036655D" w:rsidRDefault="0036655D" w:rsidP="0036655D">
      <w:pPr>
        <w:pStyle w:val="SingleTxt"/>
        <w:spacing w:after="0" w:line="120" w:lineRule="exact"/>
        <w:rPr>
          <w:sz w:val="10"/>
          <w:lang w:val="fr-FR"/>
        </w:rPr>
      </w:pPr>
    </w:p>
    <w:p w:rsidR="0036655D" w:rsidRPr="0036655D" w:rsidRDefault="0036655D" w:rsidP="0036655D">
      <w:pPr>
        <w:pStyle w:val="SingleTxt"/>
        <w:spacing w:after="0" w:line="120" w:lineRule="exact"/>
        <w:rPr>
          <w:sz w:val="10"/>
          <w:lang w:val="fr-FR"/>
        </w:rPr>
      </w:pPr>
    </w:p>
    <w:p w:rsidR="0036655D" w:rsidRPr="0036655D" w:rsidRDefault="0036655D" w:rsidP="007264D6">
      <w:pPr>
        <w:pStyle w:val="SingleTxt"/>
        <w:numPr>
          <w:ilvl w:val="0"/>
          <w:numId w:val="16"/>
        </w:numPr>
        <w:tabs>
          <w:tab w:val="clear" w:pos="475"/>
          <w:tab w:val="num" w:pos="1742"/>
        </w:tabs>
        <w:ind w:left="1267"/>
        <w:rPr>
          <w:lang w:val="fr-FR"/>
        </w:rPr>
      </w:pPr>
      <w:r w:rsidRPr="0036655D">
        <w:rPr>
          <w:lang w:val="fr-FR"/>
        </w:rPr>
        <w:t>La sous-estimation du transport par voie navigable et les conséquences de la crise économique en Europe ont une incidence sur les activités du SC.3 et de ses organes subsidiaires. Afin de prendre en compte les éléments nouveaux, y compris les difficultés, et d’assouplir le fonctionnement du SC.3, le secrétariat a cherché à procéder à une analyse de la situation actuelle et à assister les États membres et les autres principales parties prenantes dans leurs consultations afin de les aider à prendre une décision au sujet d’une nouvelle stratégie du SC.3 pour la période à venir.</w:t>
      </w:r>
    </w:p>
    <w:p w:rsidR="0036655D" w:rsidRPr="0036655D" w:rsidRDefault="0036655D" w:rsidP="007264D6">
      <w:pPr>
        <w:pStyle w:val="SingleTxt"/>
        <w:numPr>
          <w:ilvl w:val="0"/>
          <w:numId w:val="16"/>
        </w:numPr>
        <w:tabs>
          <w:tab w:val="clear" w:pos="475"/>
          <w:tab w:val="num" w:pos="1742"/>
        </w:tabs>
        <w:ind w:left="1267"/>
        <w:rPr>
          <w:lang w:val="fr-FR"/>
        </w:rPr>
      </w:pPr>
      <w:r w:rsidRPr="0036655D">
        <w:rPr>
          <w:lang w:val="fr-FR"/>
        </w:rPr>
        <w:t>Un bref bilan des activités du SC.3 et de ses organes subsidiaires et une analyse stratégique en termes de menaces, opportunités, forces et faiblesses (MOFF) font ressortir les points forts sur lesquels il est possible de fonder les travaux futurs et ainsi assurer la poursuite de la contribution du SC.3 à l’amélioration de la compétitivité du transport par voie navigable et ses contributions potentielles à la mise en œuvre des objectifs de développement durable récemment adoptés. Certaines orientations des activités futures proposées poursuivent le rôle traditionnel du SC.3, d’autres sont des entreprises relativement nouvelles, en particulier en ce qui concerne la concertation politique et le renforcement des capacités. Il est prévu de renforcer la coopération et les partenariats avec les principaux acteurs du secteur des transports par voie navigable.</w:t>
      </w:r>
    </w:p>
    <w:p w:rsidR="0036655D" w:rsidRPr="0036655D" w:rsidRDefault="0036655D" w:rsidP="007264D6">
      <w:pPr>
        <w:pStyle w:val="SingleTxt"/>
        <w:numPr>
          <w:ilvl w:val="0"/>
          <w:numId w:val="16"/>
        </w:numPr>
        <w:tabs>
          <w:tab w:val="clear" w:pos="475"/>
          <w:tab w:val="num" w:pos="1742"/>
        </w:tabs>
        <w:ind w:left="1267"/>
        <w:rPr>
          <w:lang w:val="fr-FR"/>
        </w:rPr>
      </w:pPr>
      <w:r w:rsidRPr="0036655D">
        <w:rPr>
          <w:lang w:val="fr-FR"/>
        </w:rPr>
        <w:t>Un examen du contexte dans lequel se trouvent les transports par voie navigable permet de mettre en évidence les problèmes et difficultés communs à ce secteur, à savoir notamment</w:t>
      </w:r>
      <w:r>
        <w:rPr>
          <w:lang w:val="fr-FR"/>
        </w:rPr>
        <w:t> </w:t>
      </w:r>
      <w:r w:rsidRPr="0036655D">
        <w:rPr>
          <w:lang w:val="fr-FR"/>
        </w:rPr>
        <w:t>:</w:t>
      </w:r>
    </w:p>
    <w:p w:rsidR="0036655D" w:rsidRPr="0036655D" w:rsidRDefault="0036655D" w:rsidP="0036655D">
      <w:pPr>
        <w:pStyle w:val="Bullet1"/>
        <w:rPr>
          <w:lang w:val="fr-FR"/>
        </w:rPr>
      </w:pPr>
      <w:r w:rsidRPr="0036655D">
        <w:rPr>
          <w:lang w:val="fr-FR"/>
        </w:rPr>
        <w:t>L’intégration du transport par voie navigable dans les couloirs intermodaux et la nécessité d’améliorer les connexions multimodales;</w:t>
      </w:r>
    </w:p>
    <w:p w:rsidR="0036655D" w:rsidRPr="0036655D" w:rsidRDefault="0036655D" w:rsidP="0036655D">
      <w:pPr>
        <w:pStyle w:val="Bullet1"/>
        <w:rPr>
          <w:lang w:val="fr-FR"/>
        </w:rPr>
      </w:pPr>
      <w:r w:rsidRPr="0036655D">
        <w:rPr>
          <w:lang w:val="fr-FR"/>
        </w:rPr>
        <w:t>L’intégration de la planification avec d’autres secteurs et d’autres modes de transport;</w:t>
      </w:r>
    </w:p>
    <w:p w:rsidR="0036655D" w:rsidRPr="0036655D" w:rsidRDefault="0036655D" w:rsidP="0036655D">
      <w:pPr>
        <w:pStyle w:val="Bullet1"/>
        <w:rPr>
          <w:lang w:val="fr-FR"/>
        </w:rPr>
      </w:pPr>
      <w:r w:rsidRPr="0036655D">
        <w:rPr>
          <w:lang w:val="fr-FR"/>
        </w:rPr>
        <w:t>Le manque de soutien politique au niveau mondial à l’égard du transport par voie navigable, en raison de la nature locale de ce mode de transport et de l’absence de mesures coordonnées;</w:t>
      </w:r>
    </w:p>
    <w:p w:rsidR="0036655D" w:rsidRPr="0036655D" w:rsidRDefault="0036655D" w:rsidP="0036655D">
      <w:pPr>
        <w:pStyle w:val="Bullet1"/>
        <w:rPr>
          <w:lang w:val="fr-FR"/>
        </w:rPr>
      </w:pPr>
      <w:r w:rsidRPr="0036655D">
        <w:rPr>
          <w:lang w:val="fr-FR"/>
        </w:rPr>
        <w:t>L’insuffisance de la représentation dans les organes promouvant le transport multimodal et le manque de prise en considération du rôle du transport par voie navigable dans les débats concernant la logistique;</w:t>
      </w:r>
    </w:p>
    <w:p w:rsidR="0036655D" w:rsidRPr="0036655D" w:rsidRDefault="0036655D" w:rsidP="0036655D">
      <w:pPr>
        <w:pStyle w:val="Bullet1"/>
        <w:rPr>
          <w:lang w:val="fr-FR"/>
        </w:rPr>
      </w:pPr>
      <w:r w:rsidRPr="0036655D">
        <w:rPr>
          <w:lang w:val="fr-FR"/>
        </w:rPr>
        <w:t>La nécessité d’harmoniser les réglementations et les normes (y compris celles ayant trait à la sécurité, à l’environnement et aux aspects techniques) afin de garantir une bonne coordination des activités de transport par voie navigable d’un pays à l’autre;</w:t>
      </w:r>
    </w:p>
    <w:p w:rsidR="0036655D" w:rsidRPr="0036655D" w:rsidRDefault="0036655D" w:rsidP="0036655D">
      <w:pPr>
        <w:pStyle w:val="Bullet1"/>
        <w:rPr>
          <w:lang w:val="fr-FR"/>
        </w:rPr>
      </w:pPr>
      <w:r w:rsidRPr="0036655D">
        <w:rPr>
          <w:lang w:val="fr-FR"/>
        </w:rPr>
        <w:lastRenderedPageBreak/>
        <w:t>L’importance de garantir la rentabilité future des investissements nécessaires pour les infrastructures de transport par voie navigable;</w:t>
      </w:r>
    </w:p>
    <w:p w:rsidR="0036655D" w:rsidRPr="0036655D" w:rsidRDefault="0036655D" w:rsidP="0036655D">
      <w:pPr>
        <w:pStyle w:val="Bullet1"/>
        <w:rPr>
          <w:lang w:val="fr-FR"/>
        </w:rPr>
      </w:pPr>
      <w:r w:rsidRPr="0036655D">
        <w:rPr>
          <w:lang w:val="fr-FR"/>
        </w:rPr>
        <w:t>L’évolution et les innovations techniques;</w:t>
      </w:r>
    </w:p>
    <w:p w:rsidR="0036655D" w:rsidRPr="0036655D" w:rsidRDefault="0036655D" w:rsidP="0036655D">
      <w:pPr>
        <w:pStyle w:val="Bullet1"/>
        <w:rPr>
          <w:lang w:val="fr-FR"/>
        </w:rPr>
      </w:pPr>
      <w:r w:rsidRPr="0036655D">
        <w:rPr>
          <w:lang w:val="fr-FR"/>
        </w:rPr>
        <w:t>La réduction des incidences négatives sur l’environnement.</w:t>
      </w:r>
    </w:p>
    <w:p w:rsidR="0036655D" w:rsidRPr="0036655D" w:rsidRDefault="0036655D" w:rsidP="007264D6">
      <w:pPr>
        <w:pStyle w:val="SingleTxt"/>
        <w:numPr>
          <w:ilvl w:val="0"/>
          <w:numId w:val="16"/>
        </w:numPr>
        <w:tabs>
          <w:tab w:val="clear" w:pos="475"/>
          <w:tab w:val="num" w:pos="1742"/>
        </w:tabs>
        <w:ind w:left="1267"/>
        <w:rPr>
          <w:lang w:val="fr-FR"/>
        </w:rPr>
      </w:pPr>
      <w:r w:rsidRPr="0036655D">
        <w:rPr>
          <w:lang w:val="fr-FR"/>
        </w:rPr>
        <w:t>Au niveau paneuropéen, les stratégies nationales des États membres de la CEE visent à intégrer le transport par voie navigable dans le système des transports internationaux, à améliorer la qualité des services de transport, à développer les infrastructures, à réduire les incidences négatives sur l’environnement, à mettre en place des politiques d’innovation et à créer un climat favorable aux investissements. Cependant, il n’existe pas de politique coordonnée au niveau paneuropéen concernant le transport par voie navigable, alors qu’il s’agit d’une condition indispensable pour assurer la viabilité du secteur.</w:t>
      </w:r>
    </w:p>
    <w:p w:rsidR="0036655D" w:rsidRPr="0088502C" w:rsidRDefault="0036655D" w:rsidP="007264D6">
      <w:pPr>
        <w:pStyle w:val="SingleTxt"/>
        <w:numPr>
          <w:ilvl w:val="0"/>
          <w:numId w:val="16"/>
        </w:numPr>
        <w:tabs>
          <w:tab w:val="clear" w:pos="475"/>
          <w:tab w:val="num" w:pos="1742"/>
        </w:tabs>
        <w:ind w:left="1267"/>
        <w:rPr>
          <w:spacing w:val="2"/>
          <w:lang w:val="fr-FR"/>
        </w:rPr>
      </w:pPr>
      <w:r w:rsidRPr="0088502C">
        <w:rPr>
          <w:spacing w:val="2"/>
          <w:lang w:val="fr-FR"/>
        </w:rPr>
        <w:t xml:space="preserve">Les principales tâches du SC.3 sont les suivantes : administrer les conventions internationales relatives aux transports par voie navigable, jouer le rôle d’instance permettant d’échanger les expériences et les bonnes pratiques dans ce secteur, promouvoir le développement coordonné de l’infrastructure des voies navigables, élaborer des recommandations stratégiques pour un régime de navigation commun au niveau paneuropéen, et renforcer le cadre institutionnel et réglementaire de ce mode de </w:t>
      </w:r>
      <w:r w:rsidRPr="0088502C">
        <w:rPr>
          <w:lang w:val="fr-FR"/>
        </w:rPr>
        <w:t>transport. Les principaux résultats qu’il a obtenus peuvent être résumés comme suit :</w:t>
      </w:r>
    </w:p>
    <w:p w:rsidR="0036655D" w:rsidRPr="0036655D" w:rsidRDefault="0036655D" w:rsidP="0036655D">
      <w:pPr>
        <w:pStyle w:val="Bullet1"/>
        <w:rPr>
          <w:lang w:val="fr-FR"/>
        </w:rPr>
      </w:pPr>
      <w:r w:rsidRPr="0036655D">
        <w:rPr>
          <w:lang w:val="fr-FR"/>
        </w:rPr>
        <w:t>Les résolutions et recommandations de la CEE sont appliquées au niveau paneuropéen et sont intégrées dans les législations nationales;</w:t>
      </w:r>
    </w:p>
    <w:p w:rsidR="0036655D" w:rsidRPr="0088502C" w:rsidRDefault="0036655D" w:rsidP="0036655D">
      <w:pPr>
        <w:pStyle w:val="Bullet1"/>
        <w:rPr>
          <w:spacing w:val="3"/>
          <w:lang w:val="fr-FR"/>
        </w:rPr>
      </w:pPr>
      <w:r w:rsidRPr="0088502C">
        <w:rPr>
          <w:spacing w:val="3"/>
          <w:lang w:val="fr-FR"/>
        </w:rPr>
        <w:t>Le SC.3 a réalisé, gère et actualise plusieurs projets et documents importants dans le secteur du transport par voie navigable, notamment le Livre blanc de la CEE sur l’efficacité et la viabilité du transport par voie navigable en Europe (le Livre blanc), l’Inventaire des normes et paramètres principaux du réseau de voies navigables E (le Livre bleu) et la base de données du Livre bleu, la Résolution n</w:t>
      </w:r>
      <w:r w:rsidRPr="0088502C">
        <w:rPr>
          <w:spacing w:val="3"/>
          <w:vertAlign w:val="superscript"/>
          <w:lang w:val="fr-FR"/>
        </w:rPr>
        <w:t>o</w:t>
      </w:r>
      <w:r w:rsidRPr="0088502C">
        <w:rPr>
          <w:spacing w:val="3"/>
          <w:lang w:val="fr-FR"/>
        </w:rPr>
        <w:t> 24 (« Code européen des voies de navigation intérieure (CEVNI) »), la Résolution n</w:t>
      </w:r>
      <w:r w:rsidRPr="0088502C">
        <w:rPr>
          <w:spacing w:val="3"/>
          <w:vertAlign w:val="superscript"/>
          <w:lang w:val="fr-FR"/>
        </w:rPr>
        <w:t>o</w:t>
      </w:r>
      <w:r w:rsidRPr="0088502C">
        <w:rPr>
          <w:spacing w:val="3"/>
          <w:lang w:val="fr-FR"/>
        </w:rPr>
        <w:t> 49 (« Inventaire des principaux goulets d’étranglement et liaisons manquantes sur le réseau des voies navigables E »), la Résolution n</w:t>
      </w:r>
      <w:r w:rsidRPr="0088502C">
        <w:rPr>
          <w:spacing w:val="3"/>
          <w:vertAlign w:val="superscript"/>
          <w:lang w:val="fr-FR"/>
        </w:rPr>
        <w:t>o</w:t>
      </w:r>
      <w:r w:rsidRPr="0088502C">
        <w:rPr>
          <w:spacing w:val="3"/>
          <w:lang w:val="fr-FR"/>
        </w:rPr>
        <w:t> 40 (</w:t>
      </w:r>
      <w:r w:rsidR="0088502C" w:rsidRPr="0088502C">
        <w:rPr>
          <w:spacing w:val="3"/>
          <w:lang w:val="fr-FR"/>
        </w:rPr>
        <w:t>« </w:t>
      </w:r>
      <w:r w:rsidRPr="0088502C">
        <w:rPr>
          <w:spacing w:val="3"/>
          <w:lang w:val="fr-FR"/>
        </w:rPr>
        <w:t>Certificat international de conducteur de bateau de plaisance »), la Résolution n</w:t>
      </w:r>
      <w:r w:rsidRPr="0088502C">
        <w:rPr>
          <w:spacing w:val="3"/>
          <w:vertAlign w:val="superscript"/>
          <w:lang w:val="fr-FR"/>
        </w:rPr>
        <w:t>o</w:t>
      </w:r>
      <w:r w:rsidRPr="0088502C">
        <w:rPr>
          <w:spacing w:val="3"/>
          <w:lang w:val="fr-FR"/>
        </w:rPr>
        <w:t xml:space="preserve"> 69 (« Directives concernant les bateaux à passagers également aptes à </w:t>
      </w:r>
      <w:r w:rsidRPr="0088502C">
        <w:rPr>
          <w:lang w:val="fr-FR"/>
        </w:rPr>
        <w:t>transporter des personnes à mobilité réduite »), et les résolutions n</w:t>
      </w:r>
      <w:r w:rsidRPr="0088502C">
        <w:rPr>
          <w:vertAlign w:val="superscript"/>
          <w:lang w:val="fr-FR"/>
        </w:rPr>
        <w:t>os</w:t>
      </w:r>
      <w:r w:rsidRPr="0088502C">
        <w:rPr>
          <w:lang w:val="fr-FR"/>
        </w:rPr>
        <w:t> 48, 57, 58, 63, 79 et 80, relatives aux systèmes d’information fluviale;</w:t>
      </w:r>
    </w:p>
    <w:p w:rsidR="0036655D" w:rsidRPr="0036655D" w:rsidRDefault="0036655D" w:rsidP="0036655D">
      <w:pPr>
        <w:pStyle w:val="Bullet1"/>
        <w:rPr>
          <w:lang w:val="fr-FR"/>
        </w:rPr>
      </w:pPr>
      <w:r w:rsidRPr="0036655D">
        <w:rPr>
          <w:lang w:val="fr-FR"/>
        </w:rPr>
        <w:t xml:space="preserve">Le certificat international de conducteur de bateau de plaisance, délivré conformément à la Résolution </w:t>
      </w:r>
      <w:r>
        <w:rPr>
          <w:lang w:val="fr-FR"/>
        </w:rPr>
        <w:t>n</w:t>
      </w:r>
      <w:r w:rsidRPr="0036655D">
        <w:rPr>
          <w:vertAlign w:val="superscript"/>
          <w:lang w:val="fr-FR"/>
        </w:rPr>
        <w:t>o</w:t>
      </w:r>
      <w:r>
        <w:rPr>
          <w:lang w:val="fr-FR"/>
        </w:rPr>
        <w:t> </w:t>
      </w:r>
      <w:r w:rsidRPr="0036655D">
        <w:rPr>
          <w:lang w:val="fr-FR"/>
        </w:rPr>
        <w:t>40, est reconnu par 20</w:t>
      </w:r>
      <w:r>
        <w:rPr>
          <w:lang w:val="fr-FR"/>
        </w:rPr>
        <w:t xml:space="preserve"> </w:t>
      </w:r>
      <w:r w:rsidRPr="0036655D">
        <w:rPr>
          <w:lang w:val="fr-FR"/>
        </w:rPr>
        <w:t>États membres.</w:t>
      </w:r>
    </w:p>
    <w:p w:rsidR="0036655D" w:rsidRPr="0036655D" w:rsidRDefault="0036655D" w:rsidP="007264D6">
      <w:pPr>
        <w:pStyle w:val="SingleTxt"/>
        <w:numPr>
          <w:ilvl w:val="0"/>
          <w:numId w:val="16"/>
        </w:numPr>
        <w:tabs>
          <w:tab w:val="clear" w:pos="475"/>
          <w:tab w:val="num" w:pos="1742"/>
        </w:tabs>
        <w:ind w:left="1267"/>
        <w:rPr>
          <w:lang w:val="fr-FR"/>
        </w:rPr>
      </w:pPr>
      <w:r w:rsidRPr="0036655D">
        <w:rPr>
          <w:lang w:val="fr-FR"/>
        </w:rPr>
        <w:t>Par ailleurs, il est important de noter que</w:t>
      </w:r>
      <w:r>
        <w:rPr>
          <w:lang w:val="fr-FR"/>
        </w:rPr>
        <w:t> </w:t>
      </w:r>
      <w:r w:rsidRPr="0036655D">
        <w:rPr>
          <w:lang w:val="fr-FR"/>
        </w:rPr>
        <w:t>:</w:t>
      </w:r>
    </w:p>
    <w:p w:rsidR="0036655D" w:rsidRPr="0036655D" w:rsidRDefault="0036655D" w:rsidP="0036655D">
      <w:pPr>
        <w:pStyle w:val="Bullet1"/>
        <w:rPr>
          <w:lang w:val="fr-FR"/>
        </w:rPr>
      </w:pPr>
      <w:r w:rsidRPr="0036655D">
        <w:rPr>
          <w:lang w:val="fr-FR"/>
        </w:rPr>
        <w:t>Les nouvelles tendances et les nouveaux défis à relever en ce qui concerne les transports par voie navigable imposent au SC.3 d’adopter de nouvelles méthodes de travail et de lancer de nouvelles initiatives;</w:t>
      </w:r>
    </w:p>
    <w:p w:rsidR="0036655D" w:rsidRPr="0036655D" w:rsidRDefault="0036655D" w:rsidP="0036655D">
      <w:pPr>
        <w:pStyle w:val="Bullet1"/>
        <w:rPr>
          <w:lang w:val="fr-FR"/>
        </w:rPr>
      </w:pPr>
      <w:r w:rsidRPr="0036655D">
        <w:rPr>
          <w:lang w:val="fr-FR"/>
        </w:rPr>
        <w:t xml:space="preserve">Certains projets ne sont pas intégralement réalisés et nécessitent de nouvelles recherches et de nouvelles activités; </w:t>
      </w:r>
    </w:p>
    <w:p w:rsidR="0036655D" w:rsidRPr="0036655D" w:rsidRDefault="0036655D" w:rsidP="0036655D">
      <w:pPr>
        <w:pStyle w:val="Bullet1"/>
        <w:rPr>
          <w:lang w:val="fr-FR"/>
        </w:rPr>
      </w:pPr>
      <w:r w:rsidRPr="0036655D">
        <w:rPr>
          <w:lang w:val="fr-FR"/>
        </w:rPr>
        <w:t>Le SC.3 doit faire appel dans ses travaux à de nouvelles méthodes et technologies;</w:t>
      </w:r>
    </w:p>
    <w:p w:rsidR="0036655D" w:rsidRPr="0036655D" w:rsidRDefault="0036655D" w:rsidP="0036655D">
      <w:pPr>
        <w:pStyle w:val="Bullet1"/>
        <w:rPr>
          <w:lang w:val="fr-FR"/>
        </w:rPr>
      </w:pPr>
      <w:r w:rsidRPr="0036655D">
        <w:rPr>
          <w:lang w:val="fr-FR"/>
        </w:rPr>
        <w:t>De nombreux États membres font partie d’organisations régionales d’intégration économique, mais seul le SC.3 couvre toute l’étendue géographique de la région de la CEE;</w:t>
      </w:r>
    </w:p>
    <w:p w:rsidR="0036655D" w:rsidRPr="0036655D" w:rsidRDefault="0036655D" w:rsidP="0036655D">
      <w:pPr>
        <w:pStyle w:val="Bullet1"/>
        <w:rPr>
          <w:lang w:val="fr-FR"/>
        </w:rPr>
      </w:pPr>
      <w:r w:rsidRPr="0036655D">
        <w:rPr>
          <w:lang w:val="fr-FR"/>
        </w:rPr>
        <w:t>Il est nécessaire de développer plus avant la coopération avec les principaux acteurs.</w:t>
      </w:r>
    </w:p>
    <w:p w:rsidR="0036655D" w:rsidRPr="0036655D" w:rsidRDefault="0036655D" w:rsidP="007264D6">
      <w:pPr>
        <w:pStyle w:val="SingleTxt"/>
        <w:numPr>
          <w:ilvl w:val="0"/>
          <w:numId w:val="16"/>
        </w:numPr>
        <w:tabs>
          <w:tab w:val="clear" w:pos="475"/>
          <w:tab w:val="num" w:pos="1742"/>
        </w:tabs>
        <w:ind w:left="1267"/>
        <w:rPr>
          <w:lang w:val="fr-FR"/>
        </w:rPr>
      </w:pPr>
      <w:r w:rsidRPr="0036655D">
        <w:rPr>
          <w:lang w:val="fr-FR"/>
        </w:rPr>
        <w:lastRenderedPageBreak/>
        <w:t>Les présentes considérations visant à établir une nouvelle stratégie en matière de transport par voie navigable s’appuient sur les quatre piliers centraux de nos activités</w:t>
      </w:r>
      <w:r w:rsidR="00C21731">
        <w:rPr>
          <w:lang w:val="fr-FR"/>
        </w:rPr>
        <w:t> </w:t>
      </w:r>
      <w:r w:rsidRPr="0036655D">
        <w:rPr>
          <w:lang w:val="fr-FR"/>
        </w:rPr>
        <w:t>: réglementation, analyse, renforcement des capacités et concertation politique.</w:t>
      </w:r>
    </w:p>
    <w:p w:rsidR="0036655D" w:rsidRDefault="0036655D" w:rsidP="007264D6">
      <w:pPr>
        <w:pStyle w:val="SingleTxt"/>
        <w:numPr>
          <w:ilvl w:val="0"/>
          <w:numId w:val="16"/>
        </w:numPr>
        <w:tabs>
          <w:tab w:val="clear" w:pos="475"/>
          <w:tab w:val="num" w:pos="1742"/>
        </w:tabs>
        <w:ind w:left="1267"/>
        <w:rPr>
          <w:lang w:val="fr-FR"/>
        </w:rPr>
      </w:pPr>
      <w:r w:rsidRPr="0036655D">
        <w:rPr>
          <w:lang w:val="fr-FR"/>
        </w:rPr>
        <w:t>En résumé, une nouvelle stratégie s’impose pour tenir compte des modifications de la situation du transport par voie navigable en Europe, dans la région de la CEE et au niveau mondial, et pour promouvoir l’intégration de ce mode de transport dans les chaînes intermodales et faciliter le développement durable du transport de fret et de passagers. Pour réaliser ces objectifs, il est indispensable de coordonner les politiques de transport, ce qu’il serait possible de faire au moyen de mécanismes paneuropéens de concertation politique, dans la mise en place desquels le SC.3 est bien placé pour jouer un rôle décisif. Par ailleurs, la promotion du transport par voie navigable peut aussi constituer un élément important de la mise en œuvre des objectifs de développement durable récemment adoptés par l’ONU.</w:t>
      </w:r>
    </w:p>
    <w:p w:rsidR="0036655D" w:rsidRPr="0036655D" w:rsidRDefault="0036655D" w:rsidP="0036655D">
      <w:pPr>
        <w:pStyle w:val="SingleTxt"/>
        <w:spacing w:after="0" w:line="120" w:lineRule="exact"/>
        <w:rPr>
          <w:sz w:val="10"/>
          <w:lang w:val="fr-FR"/>
        </w:rPr>
      </w:pPr>
    </w:p>
    <w:p w:rsidR="0036655D" w:rsidRPr="0036655D" w:rsidRDefault="0036655D" w:rsidP="0036655D">
      <w:pPr>
        <w:pStyle w:val="SingleTxt"/>
        <w:spacing w:after="0" w:line="120" w:lineRule="exact"/>
        <w:rPr>
          <w:sz w:val="10"/>
          <w:lang w:val="fr-FR"/>
        </w:rPr>
      </w:pPr>
    </w:p>
    <w:p w:rsidR="0036655D" w:rsidRDefault="0036655D" w:rsidP="003665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655D">
        <w:rPr>
          <w:lang w:val="fr-FR"/>
        </w:rPr>
        <w:tab/>
        <w:t>III.</w:t>
      </w:r>
      <w:r w:rsidRPr="0036655D">
        <w:rPr>
          <w:lang w:val="fr-FR"/>
        </w:rPr>
        <w:tab/>
        <w:t xml:space="preserve">Bilan des activités du Groupe de travail des transports </w:t>
      </w:r>
      <w:r w:rsidR="009C3337">
        <w:rPr>
          <w:lang w:val="fr-FR"/>
        </w:rPr>
        <w:br/>
      </w:r>
      <w:r w:rsidRPr="0036655D">
        <w:rPr>
          <w:lang w:val="fr-FR"/>
        </w:rPr>
        <w:t>par</w:t>
      </w:r>
      <w:r>
        <w:rPr>
          <w:lang w:val="fr-FR"/>
        </w:rPr>
        <w:t xml:space="preserve"> </w:t>
      </w:r>
      <w:r w:rsidRPr="0036655D">
        <w:rPr>
          <w:lang w:val="fr-FR"/>
        </w:rPr>
        <w:t>voie navigable et du Groupe de travail de</w:t>
      </w:r>
      <w:r>
        <w:rPr>
          <w:lang w:val="fr-FR"/>
        </w:rPr>
        <w:t xml:space="preserve"> </w:t>
      </w:r>
      <w:r w:rsidR="00EB1E7D">
        <w:rPr>
          <w:lang w:val="fr-FR"/>
        </w:rPr>
        <w:br/>
      </w:r>
      <w:r w:rsidRPr="0036655D">
        <w:rPr>
          <w:lang w:val="fr-FR"/>
        </w:rPr>
        <w:t xml:space="preserve">l’unification des prescriptions techniques </w:t>
      </w:r>
      <w:r w:rsidR="00EB1E7D">
        <w:rPr>
          <w:lang w:val="fr-FR"/>
        </w:rPr>
        <w:br/>
      </w:r>
      <w:r w:rsidRPr="0036655D">
        <w:rPr>
          <w:lang w:val="fr-FR"/>
        </w:rPr>
        <w:t>et de sécurité en</w:t>
      </w:r>
      <w:r>
        <w:rPr>
          <w:lang w:val="fr-FR"/>
        </w:rPr>
        <w:t xml:space="preserve"> </w:t>
      </w:r>
      <w:r w:rsidRPr="0036655D">
        <w:rPr>
          <w:lang w:val="fr-FR"/>
        </w:rPr>
        <w:t>navigation intérieure</w:t>
      </w:r>
    </w:p>
    <w:p w:rsidR="0036655D" w:rsidRPr="0036655D" w:rsidRDefault="0036655D" w:rsidP="0036655D">
      <w:pPr>
        <w:pStyle w:val="SingleTxt"/>
        <w:spacing w:after="0" w:line="120" w:lineRule="exact"/>
        <w:rPr>
          <w:sz w:val="10"/>
          <w:lang w:val="fr-FR"/>
        </w:rPr>
      </w:pPr>
    </w:p>
    <w:p w:rsidR="0036655D" w:rsidRPr="0036655D" w:rsidRDefault="0036655D" w:rsidP="0036655D">
      <w:pPr>
        <w:pStyle w:val="SingleTxt"/>
        <w:spacing w:after="0" w:line="120" w:lineRule="exact"/>
        <w:rPr>
          <w:sz w:val="10"/>
          <w:lang w:val="fr-FR"/>
        </w:rPr>
      </w:pPr>
    </w:p>
    <w:p w:rsidR="0036655D" w:rsidRDefault="0036655D" w:rsidP="00207F6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655D">
        <w:rPr>
          <w:lang w:val="fr-FR"/>
        </w:rPr>
        <w:tab/>
      </w:r>
      <w:r w:rsidRPr="0036655D">
        <w:rPr>
          <w:lang w:val="fr-FR"/>
        </w:rPr>
        <w:tab/>
        <w:t>Aperçu historique</w:t>
      </w:r>
    </w:p>
    <w:p w:rsidR="00207F6A" w:rsidRPr="00207F6A" w:rsidRDefault="00207F6A" w:rsidP="00207F6A">
      <w:pPr>
        <w:pStyle w:val="SingleTxt"/>
        <w:spacing w:after="0" w:line="120" w:lineRule="exact"/>
        <w:rPr>
          <w:sz w:val="10"/>
          <w:lang w:val="fr-FR"/>
        </w:rPr>
      </w:pPr>
    </w:p>
    <w:p w:rsidR="0036655D" w:rsidRDefault="0036655D" w:rsidP="00207F6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655D">
        <w:rPr>
          <w:lang w:val="fr-FR"/>
        </w:rPr>
        <w:tab/>
      </w:r>
      <w:r w:rsidRPr="0036655D">
        <w:rPr>
          <w:lang w:val="fr-FR"/>
        </w:rPr>
        <w:tab/>
        <w:t>Création du SC.3</w:t>
      </w:r>
    </w:p>
    <w:p w:rsidR="00207F6A" w:rsidRPr="00207F6A" w:rsidRDefault="00207F6A" w:rsidP="00207F6A">
      <w:pPr>
        <w:pStyle w:val="SingleTxt"/>
        <w:spacing w:after="0" w:line="120" w:lineRule="exact"/>
        <w:rPr>
          <w:sz w:val="10"/>
          <w:lang w:val="fr-FR"/>
        </w:rPr>
      </w:pPr>
    </w:p>
    <w:p w:rsidR="0036655D" w:rsidRDefault="0036655D" w:rsidP="007264D6">
      <w:pPr>
        <w:pStyle w:val="SingleTxt"/>
        <w:numPr>
          <w:ilvl w:val="0"/>
          <w:numId w:val="16"/>
        </w:numPr>
        <w:tabs>
          <w:tab w:val="clear" w:pos="475"/>
          <w:tab w:val="num" w:pos="1742"/>
        </w:tabs>
        <w:ind w:left="1267"/>
        <w:rPr>
          <w:lang w:val="fr-FR"/>
        </w:rPr>
      </w:pPr>
      <w:r w:rsidRPr="0036655D">
        <w:rPr>
          <w:lang w:val="fr-FR"/>
        </w:rPr>
        <w:t>À sa seizième session, en 1956, le Comité des transports intérieurs a créé le Sous-Comité des transports par voie navigable, qui était principalement chargé d’examiner les questions concernant les transports par voie navigable (E/ECE/TRANS/497). La tâche principale du Sous-Comité était d’élaborer le texte de trois conventions internationales relatives aux transports par voie navigable. Par la suite, il a été transformé en Groupe de travail, mais l’acronyme SC.3 a été conservé incha</w:t>
      </w:r>
      <w:r w:rsidR="009C3337">
        <w:rPr>
          <w:lang w:val="fr-FR"/>
        </w:rPr>
        <w:t>ngé [</w:t>
      </w:r>
      <w:r w:rsidRPr="0036655D">
        <w:rPr>
          <w:lang w:val="fr-FR"/>
        </w:rPr>
        <w:t xml:space="preserve">document informel ITC </w:t>
      </w:r>
      <w:r w:rsidR="009C3337">
        <w:rPr>
          <w:lang w:val="fr-FR"/>
        </w:rPr>
        <w:t>n</w:t>
      </w:r>
      <w:r w:rsidR="009C3337" w:rsidRPr="009C3337">
        <w:rPr>
          <w:vertAlign w:val="superscript"/>
          <w:lang w:val="fr-FR"/>
        </w:rPr>
        <w:t>o</w:t>
      </w:r>
      <w:r w:rsidR="009C3337">
        <w:rPr>
          <w:lang w:val="fr-FR"/>
        </w:rPr>
        <w:t> </w:t>
      </w:r>
      <w:r w:rsidRPr="0036655D">
        <w:rPr>
          <w:lang w:val="fr-FR"/>
        </w:rPr>
        <w:t>16 (2009)</w:t>
      </w:r>
      <w:r w:rsidR="009C3337">
        <w:rPr>
          <w:lang w:val="fr-FR"/>
        </w:rPr>
        <w:t>]</w:t>
      </w:r>
      <w:r w:rsidRPr="0036655D">
        <w:rPr>
          <w:lang w:val="fr-FR"/>
        </w:rPr>
        <w:t>. Le SC.3 tient une session ordinaire par an.</w:t>
      </w:r>
    </w:p>
    <w:p w:rsidR="00207F6A" w:rsidRPr="00207F6A" w:rsidRDefault="00207F6A" w:rsidP="00207F6A">
      <w:pPr>
        <w:pStyle w:val="SingleTxt"/>
        <w:spacing w:after="0" w:line="120" w:lineRule="exact"/>
        <w:rPr>
          <w:sz w:val="10"/>
          <w:lang w:val="fr-FR"/>
        </w:rPr>
      </w:pPr>
    </w:p>
    <w:p w:rsidR="0036655D" w:rsidRDefault="0036655D" w:rsidP="00207F6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655D">
        <w:rPr>
          <w:lang w:val="fr-FR"/>
        </w:rPr>
        <w:tab/>
      </w:r>
      <w:r w:rsidRPr="0036655D">
        <w:rPr>
          <w:lang w:val="fr-FR"/>
        </w:rPr>
        <w:tab/>
        <w:t>Organes subsidiaires du SC.3</w:t>
      </w:r>
    </w:p>
    <w:p w:rsidR="00207F6A" w:rsidRPr="00207F6A" w:rsidRDefault="00207F6A" w:rsidP="00207F6A">
      <w:pPr>
        <w:pStyle w:val="SingleTxt"/>
        <w:spacing w:after="0" w:line="120" w:lineRule="exact"/>
        <w:rPr>
          <w:sz w:val="10"/>
          <w:lang w:val="fr-FR"/>
        </w:rPr>
      </w:pPr>
    </w:p>
    <w:p w:rsidR="0036655D" w:rsidRPr="0036655D" w:rsidRDefault="0036655D" w:rsidP="00207762">
      <w:pPr>
        <w:pStyle w:val="SingleTxt"/>
        <w:numPr>
          <w:ilvl w:val="0"/>
          <w:numId w:val="16"/>
        </w:numPr>
        <w:tabs>
          <w:tab w:val="clear" w:pos="475"/>
          <w:tab w:val="num" w:pos="1742"/>
        </w:tabs>
        <w:ind w:left="1267"/>
        <w:rPr>
          <w:lang w:val="fr-FR"/>
        </w:rPr>
      </w:pPr>
      <w:r w:rsidRPr="0036655D">
        <w:rPr>
          <w:lang w:val="fr-FR"/>
        </w:rPr>
        <w:t>Depuis 1956, plusieurs organes subsidiaires du SC.3 ont été chargés de tâches particulières</w:t>
      </w:r>
      <w:r w:rsidR="00207F6A">
        <w:rPr>
          <w:lang w:val="fr-FR"/>
        </w:rPr>
        <w:t> </w:t>
      </w:r>
      <w:r w:rsidRPr="0036655D">
        <w:rPr>
          <w:lang w:val="fr-FR"/>
        </w:rPr>
        <w:t>:</w:t>
      </w:r>
    </w:p>
    <w:p w:rsidR="0036655D" w:rsidRPr="0036655D" w:rsidRDefault="0036655D" w:rsidP="00207F6A">
      <w:pPr>
        <w:pStyle w:val="Bullet1"/>
        <w:rPr>
          <w:lang w:val="fr-FR"/>
        </w:rPr>
      </w:pPr>
      <w:r w:rsidRPr="0036655D">
        <w:rPr>
          <w:lang w:val="fr-FR"/>
        </w:rPr>
        <w:t>Le Groupe de travail du droit fluvial (SC.3/WP.33), qui a existé de 1956 à 1974, puis a été rebaptisé Groupe d’experts du droit fluvial (SC.3/GE.33), lequel a été actif jusqu’en 1981; sa tâche principale portait sur les questions juridiques, en particulier l’élaboration de projets de conventions relatives aux transports par voie navigable;</w:t>
      </w:r>
    </w:p>
    <w:p w:rsidR="0036655D" w:rsidRPr="0036655D" w:rsidRDefault="0036655D" w:rsidP="00207F6A">
      <w:pPr>
        <w:pStyle w:val="Bullet1"/>
        <w:rPr>
          <w:lang w:val="fr-FR"/>
        </w:rPr>
      </w:pPr>
      <w:r w:rsidRPr="0036655D">
        <w:rPr>
          <w:lang w:val="fr-FR"/>
        </w:rPr>
        <w:t>Le Groupe de travail du développement des voies navigables (SC.3/WP.34) a existé de 1960 à 1981; ses activités ont abouti à l’établissement de dispositions de l’Accord européen sur les grandes voies navigables d’importance internationale (AGN);</w:t>
      </w:r>
    </w:p>
    <w:p w:rsidR="0036655D" w:rsidRPr="0036655D" w:rsidRDefault="0036655D" w:rsidP="00207F6A">
      <w:pPr>
        <w:pStyle w:val="Bullet1"/>
        <w:rPr>
          <w:lang w:val="fr-FR"/>
        </w:rPr>
      </w:pPr>
      <w:r w:rsidRPr="0036655D">
        <w:rPr>
          <w:lang w:val="fr-FR"/>
        </w:rPr>
        <w:t xml:space="preserve">Le Groupe d’experts sur l’unification des prescriptions techniques relatives aux bateaux et des documents de bord (SC.3/GE.1) a existé de 1960 à 1988, date à laquelle il a été rebaptisé Groupe de travail sur l’unification des prescriptions techniques relatives aux bateaux et aux documents de bord (SC.3/WP.1); les activités du WP.1 ont porté sur les résolutions </w:t>
      </w:r>
      <w:r w:rsidR="00207F6A">
        <w:rPr>
          <w:lang w:val="fr-FR"/>
        </w:rPr>
        <w:t>n</w:t>
      </w:r>
      <w:r w:rsidR="00207F6A" w:rsidRPr="00207F6A">
        <w:rPr>
          <w:vertAlign w:val="superscript"/>
          <w:lang w:val="fr-FR"/>
        </w:rPr>
        <w:t>os</w:t>
      </w:r>
      <w:r w:rsidR="00207F6A">
        <w:rPr>
          <w:lang w:val="fr-FR"/>
        </w:rPr>
        <w:t> </w:t>
      </w:r>
      <w:r w:rsidRPr="0036655D">
        <w:rPr>
          <w:lang w:val="fr-FR"/>
        </w:rPr>
        <w:t>17, 21 et 25 et sur des questions connexes;</w:t>
      </w:r>
    </w:p>
    <w:p w:rsidR="0036655D" w:rsidRPr="0036655D" w:rsidRDefault="0036655D" w:rsidP="00207F6A">
      <w:pPr>
        <w:pStyle w:val="Bullet1"/>
        <w:rPr>
          <w:lang w:val="fr-FR"/>
        </w:rPr>
      </w:pPr>
      <w:r w:rsidRPr="0036655D">
        <w:rPr>
          <w:lang w:val="fr-FR"/>
        </w:rPr>
        <w:t>Le Groupe d’experts pour l’unification des règles de route et de signalisation en navigation intérieure (SC.3/GE.2) a existé de 1960 à 1988, date à laquelle il a été rebaptisé Groupe de travail pour l’unification des règles de route et de signalisation en navigation intérieure (SC.3/WP.2). Les activités du SC.3/WP.2, qui portaient sur les règles de navigation et la signalisation des voies navigables, ont abouti à l’adoption du Code européen des voies de navigation intérieure (CEVNI), de la Signalisation des voies de navigation intérieure (SIGNI) et de documents connexes;</w:t>
      </w:r>
    </w:p>
    <w:p w:rsidR="0036655D" w:rsidRPr="0036655D" w:rsidRDefault="0036655D" w:rsidP="00207F6A">
      <w:pPr>
        <w:pStyle w:val="Bullet1"/>
        <w:rPr>
          <w:lang w:val="fr-FR"/>
        </w:rPr>
      </w:pPr>
      <w:r w:rsidRPr="0036655D">
        <w:rPr>
          <w:lang w:val="fr-FR"/>
        </w:rPr>
        <w:t>Le Groupe de travail de l’unification des prescriptions techniques et de sécurité en navigation intérieure (SC.3/WP.3) a été formé par la fusion du WP.1 et du WP.2 à la suite d’une décision du Comité des transports intérieurs. Ses sessions, dont la première s’est tenue en 1991, ont lieu deux fois par an;</w:t>
      </w:r>
    </w:p>
    <w:p w:rsidR="0036655D" w:rsidRPr="0036655D" w:rsidRDefault="0036655D" w:rsidP="00207F6A">
      <w:pPr>
        <w:pStyle w:val="Bullet1"/>
        <w:rPr>
          <w:lang w:val="fr-FR"/>
        </w:rPr>
      </w:pPr>
      <w:r w:rsidRPr="0036655D">
        <w:rPr>
          <w:lang w:val="fr-FR"/>
        </w:rPr>
        <w:t>Le Groupe spécial d’experts sur l’infrastructure des voies navigables intérieures (AC.1) tenait une session par an dans les années 1990.</w:t>
      </w:r>
    </w:p>
    <w:p w:rsidR="0036655D" w:rsidRPr="0036655D" w:rsidRDefault="0036655D" w:rsidP="00207762">
      <w:pPr>
        <w:pStyle w:val="SingleTxt"/>
        <w:numPr>
          <w:ilvl w:val="0"/>
          <w:numId w:val="16"/>
        </w:numPr>
        <w:tabs>
          <w:tab w:val="clear" w:pos="475"/>
          <w:tab w:val="num" w:pos="1742"/>
        </w:tabs>
        <w:ind w:left="1267"/>
        <w:rPr>
          <w:lang w:val="fr-FR"/>
        </w:rPr>
      </w:pPr>
      <w:r w:rsidRPr="0036655D">
        <w:rPr>
          <w:lang w:val="fr-FR"/>
        </w:rPr>
        <w:t>Actuellement, il existe un seul organe subsidiaire du SC.3, le SC.3/WP.3, qui se réunit deux fois par an pour débattre de sujets techniques et pour établir et approuver des projets de documents pour adoption par le SC.3. Plusieurs groupes d’experts ont été actifs entre 2000 et 2015</w:t>
      </w:r>
      <w:r w:rsidR="00207F6A">
        <w:rPr>
          <w:lang w:val="fr-FR"/>
        </w:rPr>
        <w:t> </w:t>
      </w:r>
      <w:r w:rsidRPr="0036655D">
        <w:rPr>
          <w:lang w:val="fr-FR"/>
        </w:rPr>
        <w:t>:</w:t>
      </w:r>
    </w:p>
    <w:p w:rsidR="0036655D" w:rsidRPr="0036655D" w:rsidRDefault="0036655D" w:rsidP="00207F6A">
      <w:pPr>
        <w:pStyle w:val="Bullet1"/>
        <w:rPr>
          <w:lang w:val="fr-FR"/>
        </w:rPr>
      </w:pPr>
      <w:r w:rsidRPr="0036655D">
        <w:rPr>
          <w:lang w:val="fr-FR"/>
        </w:rPr>
        <w:t xml:space="preserve">Le Groupe d’experts volontaires chargé de la Résolution </w:t>
      </w:r>
      <w:r w:rsidR="00207F6A">
        <w:rPr>
          <w:lang w:val="fr-FR"/>
        </w:rPr>
        <w:t>n</w:t>
      </w:r>
      <w:r w:rsidR="00207F6A" w:rsidRPr="00207F6A">
        <w:rPr>
          <w:vertAlign w:val="superscript"/>
          <w:lang w:val="fr-FR"/>
        </w:rPr>
        <w:t>o</w:t>
      </w:r>
      <w:r w:rsidR="00207F6A">
        <w:rPr>
          <w:lang w:val="fr-FR"/>
        </w:rPr>
        <w:t> </w:t>
      </w:r>
      <w:r w:rsidRPr="0036655D">
        <w:rPr>
          <w:lang w:val="fr-FR"/>
        </w:rPr>
        <w:t>61 de la CEE (</w:t>
      </w:r>
      <w:r w:rsidR="00207F6A">
        <w:rPr>
          <w:lang w:val="fr-FR"/>
        </w:rPr>
        <w:t>« </w:t>
      </w:r>
      <w:r w:rsidRPr="0036655D">
        <w:rPr>
          <w:lang w:val="fr-FR"/>
        </w:rPr>
        <w:t>Recommandations relatives à des prescriptions techniques harmonisées à l’échelle européenne applicables aux bateaux de navigation intérieure »), créé en 1997;</w:t>
      </w:r>
    </w:p>
    <w:p w:rsidR="0036655D" w:rsidRPr="0036655D" w:rsidRDefault="0036655D" w:rsidP="00207F6A">
      <w:pPr>
        <w:pStyle w:val="Bullet1"/>
        <w:rPr>
          <w:lang w:val="fr-FR"/>
        </w:rPr>
      </w:pPr>
      <w:r w:rsidRPr="0036655D">
        <w:rPr>
          <w:lang w:val="fr-FR"/>
        </w:rPr>
        <w:t>Le Groupe d’experts informel du CEVNI, créé au milieu des années 2000;</w:t>
      </w:r>
    </w:p>
    <w:p w:rsidR="0036655D" w:rsidRPr="0036655D" w:rsidRDefault="0036655D" w:rsidP="00207F6A">
      <w:pPr>
        <w:pStyle w:val="Bullet1"/>
        <w:rPr>
          <w:lang w:val="fr-FR"/>
        </w:rPr>
      </w:pPr>
      <w:r w:rsidRPr="0036655D">
        <w:rPr>
          <w:lang w:val="fr-FR"/>
        </w:rPr>
        <w:t>Le Groupe d’experts chargé de la reconnaissance réciproque des certificats de conducteur de bateau et de l’harmonisation des exigences en matière de qualifications professionnelles dans le domaine de la navigation intérieure, créé en 2014;</w:t>
      </w:r>
    </w:p>
    <w:p w:rsidR="0036655D" w:rsidRPr="0036655D" w:rsidRDefault="0036655D" w:rsidP="00207F6A">
      <w:pPr>
        <w:pStyle w:val="Bullet1"/>
        <w:rPr>
          <w:lang w:val="fr-FR"/>
        </w:rPr>
      </w:pPr>
      <w:r w:rsidRPr="0036655D">
        <w:rPr>
          <w:lang w:val="fr-FR"/>
        </w:rPr>
        <w:t>Le Groupe d’experts volontaires sur les obstacles législatifs, créé au milieu des années 2000;</w:t>
      </w:r>
    </w:p>
    <w:p w:rsidR="0036655D" w:rsidRPr="0036655D" w:rsidRDefault="0036655D" w:rsidP="00207F6A">
      <w:pPr>
        <w:pStyle w:val="Bullet1"/>
        <w:rPr>
          <w:lang w:val="fr-FR"/>
        </w:rPr>
      </w:pPr>
      <w:r w:rsidRPr="0036655D">
        <w:rPr>
          <w:lang w:val="fr-FR"/>
        </w:rPr>
        <w:t>Le Groupe d’experts volontaires sur les goulets d’étranglement, qui a existé entre le début et le milieu des années 2000;</w:t>
      </w:r>
    </w:p>
    <w:p w:rsidR="0036655D" w:rsidRPr="0088502C" w:rsidRDefault="0036655D" w:rsidP="00207F6A">
      <w:pPr>
        <w:pStyle w:val="Bullet1"/>
        <w:rPr>
          <w:spacing w:val="3"/>
          <w:lang w:val="fr-FR"/>
        </w:rPr>
      </w:pPr>
      <w:r w:rsidRPr="0088502C">
        <w:rPr>
          <w:spacing w:val="3"/>
          <w:lang w:val="fr-FR"/>
        </w:rPr>
        <w:t xml:space="preserve">Le Groupe d’experts volontaires sur la reconnaissance réciproque des certificats de conducteur de bateau, chargé de la révision de la Résolution </w:t>
      </w:r>
      <w:r w:rsidR="00207F6A" w:rsidRPr="0088502C">
        <w:rPr>
          <w:spacing w:val="3"/>
          <w:lang w:val="fr-FR"/>
        </w:rPr>
        <w:t>n</w:t>
      </w:r>
      <w:r w:rsidR="00207F6A" w:rsidRPr="0088502C">
        <w:rPr>
          <w:spacing w:val="3"/>
          <w:vertAlign w:val="superscript"/>
          <w:lang w:val="fr-FR"/>
        </w:rPr>
        <w:t>o</w:t>
      </w:r>
      <w:r w:rsidR="00207F6A" w:rsidRPr="0088502C">
        <w:rPr>
          <w:spacing w:val="3"/>
          <w:lang w:val="fr-FR"/>
        </w:rPr>
        <w:t> </w:t>
      </w:r>
      <w:r w:rsidRPr="0088502C">
        <w:rPr>
          <w:spacing w:val="3"/>
          <w:lang w:val="fr-FR"/>
        </w:rPr>
        <w:t>31 (</w:t>
      </w:r>
      <w:r w:rsidR="00207F6A" w:rsidRPr="0088502C">
        <w:rPr>
          <w:spacing w:val="3"/>
          <w:lang w:val="fr-FR"/>
        </w:rPr>
        <w:t>« </w:t>
      </w:r>
      <w:r w:rsidRPr="0088502C">
        <w:rPr>
          <w:spacing w:val="3"/>
          <w:lang w:val="fr-FR"/>
        </w:rPr>
        <w:t>Recommandations sur les prescriptions minimales relatives à la délivrance de certificats de conducteur de bateau de navigation intérieure en vue de leur reconnaissance réciproque dans le trafic international »), a existé de 2008 à 2009.</w:t>
      </w:r>
    </w:p>
    <w:p w:rsidR="0036655D" w:rsidRDefault="0036655D" w:rsidP="00207762">
      <w:pPr>
        <w:pStyle w:val="SingleTxt"/>
        <w:numPr>
          <w:ilvl w:val="0"/>
          <w:numId w:val="16"/>
        </w:numPr>
        <w:tabs>
          <w:tab w:val="clear" w:pos="475"/>
          <w:tab w:val="num" w:pos="1742"/>
        </w:tabs>
        <w:ind w:left="1267"/>
        <w:rPr>
          <w:lang w:val="fr-FR"/>
        </w:rPr>
      </w:pPr>
      <w:r w:rsidRPr="0036655D">
        <w:rPr>
          <w:lang w:val="fr-FR"/>
        </w:rPr>
        <w:t>Les travaux de ces groupes d’experts ont abouti à l’établissement de conventions internationales, de résolutions de la CEE et d’accords relatifs aux transports par voie navigable, qui sont énumérés en détail ci-après.</w:t>
      </w:r>
    </w:p>
    <w:p w:rsidR="00207F6A" w:rsidRPr="00207F6A" w:rsidRDefault="00207F6A" w:rsidP="00207F6A">
      <w:pPr>
        <w:pStyle w:val="SingleTxt"/>
        <w:spacing w:after="0" w:line="120" w:lineRule="exact"/>
        <w:rPr>
          <w:sz w:val="10"/>
          <w:lang w:val="fr-FR"/>
        </w:rPr>
      </w:pPr>
    </w:p>
    <w:p w:rsidR="0036655D" w:rsidRDefault="0036655D" w:rsidP="00207F6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655D">
        <w:rPr>
          <w:lang w:val="fr-FR"/>
        </w:rPr>
        <w:tab/>
      </w:r>
      <w:r w:rsidRPr="0036655D">
        <w:rPr>
          <w:lang w:val="fr-FR"/>
        </w:rPr>
        <w:tab/>
        <w:t>Principaux objectifs et mandat du SC.3</w:t>
      </w:r>
    </w:p>
    <w:p w:rsidR="00207F6A" w:rsidRPr="00207F6A" w:rsidRDefault="00207F6A" w:rsidP="00207F6A">
      <w:pPr>
        <w:pStyle w:val="SingleTxt"/>
        <w:spacing w:after="0" w:line="120" w:lineRule="exact"/>
        <w:rPr>
          <w:sz w:val="10"/>
          <w:lang w:val="fr-FR"/>
        </w:rPr>
      </w:pPr>
    </w:p>
    <w:p w:rsidR="0036655D" w:rsidRPr="0036655D" w:rsidRDefault="0036655D" w:rsidP="00207762">
      <w:pPr>
        <w:pStyle w:val="SingleTxt"/>
        <w:numPr>
          <w:ilvl w:val="0"/>
          <w:numId w:val="16"/>
        </w:numPr>
        <w:tabs>
          <w:tab w:val="clear" w:pos="475"/>
          <w:tab w:val="num" w:pos="1742"/>
        </w:tabs>
        <w:ind w:left="1267"/>
        <w:rPr>
          <w:lang w:val="fr-FR"/>
        </w:rPr>
      </w:pPr>
      <w:r w:rsidRPr="0036655D">
        <w:rPr>
          <w:lang w:val="fr-FR"/>
        </w:rPr>
        <w:t>Le principal objectif à long terme des activités du SC.3 est d’établir un régime juridique commun sur les voies navigables des États membres. Il comprend plusieurs tâches complémentaires</w:t>
      </w:r>
      <w:r w:rsidR="00C21731">
        <w:rPr>
          <w:lang w:val="fr-FR"/>
        </w:rPr>
        <w:t> </w:t>
      </w:r>
      <w:r w:rsidRPr="0036655D">
        <w:rPr>
          <w:lang w:val="fr-FR"/>
        </w:rPr>
        <w:t>: échange d’informations et établissement de rapports sur la situation du secteur; développement du réseau de voies navigables E et de ports E; élaboration et promotion de règles de navigation communes; uniformisation des prescriptions techniques applicables aux bateaux de navigation intérieure; promotion du développement et de la normalisation des services d’information fluviale (en coopération avec des groupes internationaux d’experts de ces services); promotion de la reconnaissance des certificats de conducteur de bateau délivrés par les États membres de la CEE sur l’ensemble des voies navigables européennes; mise en œuvre de normes pédagogiques communes; promotion de la navigation de plaisance et développement du réseau de voies navigables E pour les embarcations de plaisance; mise en œuvre et promotion de l’efficacité des instruments juridiques internationaux, y</w:t>
      </w:r>
      <w:r w:rsidR="00E510D2">
        <w:rPr>
          <w:lang w:val="fr-FR"/>
        </w:rPr>
        <w:t> </w:t>
      </w:r>
      <w:r w:rsidRPr="0036655D">
        <w:rPr>
          <w:lang w:val="fr-FR"/>
        </w:rPr>
        <w:t>compris les services d’appui aux conventions internationales. Ces objectifs sont dûment indiqués et détaillés dans le mandat, les plans de travail et les programmes de travail du SC.3.</w:t>
      </w:r>
    </w:p>
    <w:p w:rsidR="0036655D" w:rsidRPr="0036655D" w:rsidRDefault="0036655D" w:rsidP="00207762">
      <w:pPr>
        <w:pStyle w:val="SingleTxt"/>
        <w:numPr>
          <w:ilvl w:val="0"/>
          <w:numId w:val="16"/>
        </w:numPr>
        <w:tabs>
          <w:tab w:val="clear" w:pos="475"/>
          <w:tab w:val="num" w:pos="1742"/>
        </w:tabs>
        <w:ind w:left="1267"/>
        <w:rPr>
          <w:lang w:val="fr-FR"/>
        </w:rPr>
      </w:pPr>
      <w:r w:rsidRPr="0036655D">
        <w:rPr>
          <w:lang w:val="fr-FR"/>
        </w:rPr>
        <w:t>En vertu de son mandat, qu’il a adopté le 14 octobre 2011 et que le Comité des transports intérieurs a approuvé le 1</w:t>
      </w:r>
      <w:r w:rsidRPr="0036655D">
        <w:rPr>
          <w:vertAlign w:val="superscript"/>
          <w:lang w:val="fr-FR"/>
        </w:rPr>
        <w:t>er</w:t>
      </w:r>
      <w:r w:rsidRPr="0036655D">
        <w:rPr>
          <w:lang w:val="fr-FR"/>
        </w:rPr>
        <w:t> mars 2012, le Groupe de travail doit</w:t>
      </w:r>
      <w:r w:rsidR="00207F6A">
        <w:rPr>
          <w:lang w:val="fr-FR"/>
        </w:rPr>
        <w:t> </w:t>
      </w:r>
      <w:r w:rsidRPr="0036655D">
        <w:rPr>
          <w:lang w:val="fr-FR"/>
        </w:rPr>
        <w:t>:</w:t>
      </w:r>
    </w:p>
    <w:p w:rsidR="0036655D" w:rsidRPr="0036655D" w:rsidRDefault="00207F6A" w:rsidP="0036655D">
      <w:pPr>
        <w:pStyle w:val="SingleTxt"/>
        <w:rPr>
          <w:lang w:val="fr-FR"/>
        </w:rPr>
      </w:pPr>
      <w:r>
        <w:rPr>
          <w:lang w:val="fr-FR"/>
        </w:rPr>
        <w:tab/>
      </w:r>
      <w:r w:rsidR="0036655D" w:rsidRPr="0036655D">
        <w:rPr>
          <w:lang w:val="fr-FR"/>
        </w:rPr>
        <w:t>a)</w:t>
      </w:r>
      <w:r w:rsidR="0036655D" w:rsidRPr="0036655D">
        <w:rPr>
          <w:lang w:val="fr-FR"/>
        </w:rPr>
        <w:tab/>
        <w:t>Organiser une concertation politique paneuropéenne sur les questions relatives aux transports par voie navigable;</w:t>
      </w:r>
    </w:p>
    <w:p w:rsidR="0036655D" w:rsidRPr="0036655D" w:rsidRDefault="00207F6A" w:rsidP="0036655D">
      <w:pPr>
        <w:pStyle w:val="SingleTxt"/>
        <w:rPr>
          <w:lang w:val="fr-FR"/>
        </w:rPr>
      </w:pPr>
      <w:r>
        <w:rPr>
          <w:lang w:val="fr-FR"/>
        </w:rPr>
        <w:tab/>
      </w:r>
      <w:r w:rsidR="0036655D" w:rsidRPr="0036655D">
        <w:rPr>
          <w:lang w:val="fr-FR"/>
        </w:rPr>
        <w:t>b)</w:t>
      </w:r>
      <w:r w:rsidR="0036655D" w:rsidRPr="0036655D">
        <w:rPr>
          <w:lang w:val="fr-FR"/>
        </w:rPr>
        <w:tab/>
        <w:t>Promouvoir un développement coordonné de l’infrastructure des voies navigables;</w:t>
      </w:r>
    </w:p>
    <w:p w:rsidR="0036655D" w:rsidRPr="0036655D" w:rsidRDefault="00207F6A" w:rsidP="0036655D">
      <w:pPr>
        <w:pStyle w:val="SingleTxt"/>
        <w:rPr>
          <w:lang w:val="fr-FR"/>
        </w:rPr>
      </w:pPr>
      <w:r>
        <w:rPr>
          <w:lang w:val="fr-FR"/>
        </w:rPr>
        <w:tab/>
      </w:r>
      <w:r w:rsidR="0036655D" w:rsidRPr="0036655D">
        <w:rPr>
          <w:lang w:val="fr-FR"/>
        </w:rPr>
        <w:t>c)</w:t>
      </w:r>
      <w:r w:rsidR="0036655D" w:rsidRPr="0036655D">
        <w:rPr>
          <w:lang w:val="fr-FR"/>
        </w:rPr>
        <w:tab/>
        <w:t xml:space="preserve">Formuler des prescriptions relatives à la sécurité et aux opérations dans le domaine de la navigation intérieure; </w:t>
      </w:r>
    </w:p>
    <w:p w:rsidR="0036655D" w:rsidRPr="0036655D" w:rsidRDefault="00207F6A" w:rsidP="0036655D">
      <w:pPr>
        <w:pStyle w:val="SingleTxt"/>
        <w:rPr>
          <w:lang w:val="fr-FR"/>
        </w:rPr>
      </w:pPr>
      <w:r>
        <w:rPr>
          <w:lang w:val="fr-FR"/>
        </w:rPr>
        <w:tab/>
      </w:r>
      <w:r w:rsidR="0036655D" w:rsidRPr="0036655D">
        <w:rPr>
          <w:lang w:val="fr-FR"/>
        </w:rPr>
        <w:t>d)</w:t>
      </w:r>
      <w:r w:rsidR="0036655D" w:rsidRPr="0036655D">
        <w:rPr>
          <w:lang w:val="fr-FR"/>
        </w:rPr>
        <w:tab/>
        <w:t>Mettre en œuvre d’autres mesures visant à faciliter l’emploi du transport par voie navigable, telles qu’elles sont recommandées par la CEE dans le Livre blanc sur l’efficacité et la viabilité des transports par voie navigable en Europe;</w:t>
      </w:r>
    </w:p>
    <w:p w:rsidR="0036655D" w:rsidRPr="0036655D" w:rsidRDefault="00207F6A" w:rsidP="0036655D">
      <w:pPr>
        <w:pStyle w:val="SingleTxt"/>
        <w:rPr>
          <w:lang w:val="fr-FR"/>
        </w:rPr>
      </w:pPr>
      <w:r>
        <w:rPr>
          <w:lang w:val="fr-FR"/>
        </w:rPr>
        <w:tab/>
      </w:r>
      <w:r w:rsidR="0036655D" w:rsidRPr="0036655D">
        <w:rPr>
          <w:lang w:val="fr-FR"/>
        </w:rPr>
        <w:t>e)</w:t>
      </w:r>
      <w:r w:rsidR="0036655D" w:rsidRPr="0036655D">
        <w:rPr>
          <w:lang w:val="fr-FR"/>
        </w:rPr>
        <w:tab/>
        <w:t>Œuvrer à harmoniser le cadre juridique applicable aux transports internationaux par voie navigable;</w:t>
      </w:r>
    </w:p>
    <w:p w:rsidR="0036655D" w:rsidRPr="00E510D2" w:rsidRDefault="00207F6A" w:rsidP="0036655D">
      <w:pPr>
        <w:pStyle w:val="SingleTxt"/>
        <w:rPr>
          <w:lang w:val="fr-FR"/>
        </w:rPr>
      </w:pPr>
      <w:r w:rsidRPr="00E510D2">
        <w:rPr>
          <w:lang w:val="fr-FR"/>
        </w:rPr>
        <w:tab/>
      </w:r>
      <w:r w:rsidR="0036655D" w:rsidRPr="00E510D2">
        <w:rPr>
          <w:lang w:val="fr-FR"/>
        </w:rPr>
        <w:t>f)</w:t>
      </w:r>
      <w:r w:rsidR="0036655D" w:rsidRPr="00E510D2">
        <w:rPr>
          <w:lang w:val="fr-FR"/>
        </w:rPr>
        <w:tab/>
        <w:t>Mener d’autres activités liées à la coopération régionale et internationale ou dont la mise en œuvre est demandée par le Comité des t</w:t>
      </w:r>
      <w:r w:rsidR="00905F5B">
        <w:rPr>
          <w:lang w:val="fr-FR"/>
        </w:rPr>
        <w:t>ransports intérieurs de la </w:t>
      </w:r>
      <w:r w:rsidRPr="00E510D2">
        <w:rPr>
          <w:lang w:val="fr-FR"/>
        </w:rPr>
        <w:t>CEE.</w:t>
      </w:r>
    </w:p>
    <w:p w:rsidR="00207F6A" w:rsidRPr="00207F6A" w:rsidRDefault="00207F6A" w:rsidP="00207F6A">
      <w:pPr>
        <w:pStyle w:val="SingleTxt"/>
        <w:spacing w:after="0" w:line="120" w:lineRule="exact"/>
        <w:rPr>
          <w:sz w:val="10"/>
          <w:lang w:val="fr-FR"/>
        </w:rPr>
      </w:pPr>
    </w:p>
    <w:p w:rsidR="0036655D" w:rsidRDefault="0036655D" w:rsidP="00207F6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655D">
        <w:rPr>
          <w:lang w:val="fr-FR"/>
        </w:rPr>
        <w:tab/>
      </w:r>
      <w:r w:rsidRPr="0036655D">
        <w:rPr>
          <w:lang w:val="fr-FR"/>
        </w:rPr>
        <w:tab/>
        <w:t>Documents d’orientation</w:t>
      </w:r>
    </w:p>
    <w:p w:rsidR="00207F6A" w:rsidRPr="00207F6A" w:rsidRDefault="00207F6A" w:rsidP="00207F6A">
      <w:pPr>
        <w:pStyle w:val="SingleTxt"/>
        <w:spacing w:after="0" w:line="120" w:lineRule="exact"/>
        <w:rPr>
          <w:sz w:val="10"/>
          <w:lang w:val="fr-FR"/>
        </w:rPr>
      </w:pPr>
    </w:p>
    <w:p w:rsidR="0036655D" w:rsidRDefault="0036655D" w:rsidP="00207762">
      <w:pPr>
        <w:pStyle w:val="SingleTxt"/>
        <w:numPr>
          <w:ilvl w:val="0"/>
          <w:numId w:val="16"/>
        </w:numPr>
        <w:tabs>
          <w:tab w:val="clear" w:pos="475"/>
          <w:tab w:val="num" w:pos="1742"/>
        </w:tabs>
        <w:ind w:left="1267"/>
        <w:rPr>
          <w:lang w:val="fr-FR"/>
        </w:rPr>
      </w:pPr>
      <w:r w:rsidRPr="0036655D">
        <w:rPr>
          <w:lang w:val="fr-FR"/>
        </w:rPr>
        <w:t>Les tâches et activités assignées au SC.3 sont examinées dans le Livre blanc de 1996 sur les tendances et l’évolution de la navigation intérieure et de ses infrastructures (TRANS/SC.3/138) et dans le Livre blanc de 2011 sur l’efficacité et la viabilité des transports par voie navigable en Europe (ECE/TRANS/SC.3/189).</w:t>
      </w:r>
    </w:p>
    <w:p w:rsidR="00207F6A" w:rsidRPr="00207F6A" w:rsidRDefault="00207F6A" w:rsidP="00207F6A">
      <w:pPr>
        <w:pStyle w:val="SingleTxt"/>
        <w:spacing w:after="0" w:line="120" w:lineRule="exact"/>
        <w:rPr>
          <w:sz w:val="10"/>
          <w:lang w:val="fr-FR"/>
        </w:rPr>
      </w:pPr>
    </w:p>
    <w:p w:rsidR="0036655D" w:rsidRPr="00EB1E7D" w:rsidRDefault="0036655D" w:rsidP="00207F6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6655D">
        <w:rPr>
          <w:lang w:val="fr-FR"/>
        </w:rPr>
        <w:tab/>
      </w:r>
      <w:r w:rsidRPr="00207F6A">
        <w:rPr>
          <w:color w:val="FF0000"/>
          <w:lang w:val="fr-FR"/>
        </w:rPr>
        <w:tab/>
      </w:r>
      <w:r w:rsidRPr="00EB1E7D">
        <w:rPr>
          <w:lang w:val="fr-FR"/>
        </w:rPr>
        <w:t>Résultats des activités du SC.3 et du</w:t>
      </w:r>
      <w:r w:rsidR="00207F6A" w:rsidRPr="00EB1E7D">
        <w:rPr>
          <w:lang w:val="fr-FR"/>
        </w:rPr>
        <w:t xml:space="preserve"> SC.3/WP.3</w:t>
      </w:r>
    </w:p>
    <w:p w:rsidR="00207F6A" w:rsidRPr="00EB1E7D" w:rsidRDefault="00207F6A" w:rsidP="00207F6A">
      <w:pPr>
        <w:pStyle w:val="SingleTxt"/>
        <w:spacing w:after="0" w:line="120" w:lineRule="exact"/>
        <w:rPr>
          <w:sz w:val="10"/>
          <w:lang w:val="fr-FR"/>
        </w:rPr>
      </w:pPr>
    </w:p>
    <w:p w:rsidR="0036655D" w:rsidRPr="0036655D" w:rsidRDefault="0036655D" w:rsidP="00207762">
      <w:pPr>
        <w:pStyle w:val="SingleTxt"/>
        <w:numPr>
          <w:ilvl w:val="0"/>
          <w:numId w:val="16"/>
        </w:numPr>
        <w:tabs>
          <w:tab w:val="clear" w:pos="475"/>
          <w:tab w:val="num" w:pos="1742"/>
        </w:tabs>
        <w:ind w:left="1267"/>
        <w:rPr>
          <w:lang w:val="fr-FR"/>
        </w:rPr>
      </w:pPr>
      <w:r w:rsidRPr="00EB1E7D">
        <w:rPr>
          <w:lang w:val="fr-FR"/>
        </w:rPr>
        <w:t xml:space="preserve">Les principaux résultats des travaux du SC.3 consistent </w:t>
      </w:r>
      <w:r w:rsidRPr="0036655D">
        <w:rPr>
          <w:lang w:val="fr-FR"/>
        </w:rPr>
        <w:t>en</w:t>
      </w:r>
      <w:r w:rsidR="00207F6A">
        <w:rPr>
          <w:lang w:val="fr-FR"/>
        </w:rPr>
        <w:t> </w:t>
      </w:r>
      <w:r w:rsidRPr="0036655D">
        <w:rPr>
          <w:lang w:val="fr-FR"/>
        </w:rPr>
        <w:t>:</w:t>
      </w:r>
    </w:p>
    <w:p w:rsidR="0036655D" w:rsidRPr="0036655D" w:rsidRDefault="0036655D" w:rsidP="00EB1E7D">
      <w:pPr>
        <w:pStyle w:val="Bullet1"/>
        <w:rPr>
          <w:lang w:val="fr-FR"/>
        </w:rPr>
      </w:pPr>
      <w:r w:rsidRPr="0036655D">
        <w:rPr>
          <w:lang w:val="fr-FR"/>
        </w:rPr>
        <w:t>Cinquante-huit conventions et accords internationaux relatifs aux transports, dont 12 sont administrés par le secrétariat du SC.3;</w:t>
      </w:r>
    </w:p>
    <w:p w:rsidR="0036655D" w:rsidRPr="0036655D" w:rsidRDefault="0036655D" w:rsidP="00EB1E7D">
      <w:pPr>
        <w:pStyle w:val="Bullet1"/>
        <w:rPr>
          <w:lang w:val="fr-FR"/>
        </w:rPr>
      </w:pPr>
      <w:r w:rsidRPr="0036655D">
        <w:rPr>
          <w:lang w:val="fr-FR"/>
        </w:rPr>
        <w:t>Quatre-vingt-trois résolutions adoptées par le SC.3, y compris les documents originaux ainsi que leurs révisions et amendements. Les résolutions de la CEE, notamment les résolutions n</w:t>
      </w:r>
      <w:r w:rsidRPr="0036655D">
        <w:rPr>
          <w:vertAlign w:val="superscript"/>
          <w:lang w:val="fr-FR"/>
        </w:rPr>
        <w:t>os</w:t>
      </w:r>
      <w:r w:rsidRPr="0036655D">
        <w:rPr>
          <w:lang w:val="fr-FR"/>
        </w:rPr>
        <w:t> 24 (CEVNI), 40 et</w:t>
      </w:r>
      <w:r w:rsidR="00EB1E7D">
        <w:rPr>
          <w:lang w:val="fr-FR"/>
        </w:rPr>
        <w:t xml:space="preserve"> </w:t>
      </w:r>
      <w:r w:rsidRPr="0036655D">
        <w:rPr>
          <w:lang w:val="fr-FR"/>
        </w:rPr>
        <w:t>69 ainsi que les résolutions n</w:t>
      </w:r>
      <w:r w:rsidRPr="0036655D">
        <w:rPr>
          <w:vertAlign w:val="superscript"/>
          <w:lang w:val="fr-FR"/>
        </w:rPr>
        <w:t>os</w:t>
      </w:r>
      <w:r w:rsidRPr="0036655D">
        <w:rPr>
          <w:lang w:val="fr-FR"/>
        </w:rPr>
        <w:t> 48, 57, 58, 63, 79 et</w:t>
      </w:r>
      <w:r w:rsidR="00E510D2">
        <w:rPr>
          <w:lang w:val="fr-FR"/>
        </w:rPr>
        <w:t xml:space="preserve"> </w:t>
      </w:r>
      <w:r w:rsidRPr="0036655D">
        <w:rPr>
          <w:lang w:val="fr-FR"/>
        </w:rPr>
        <w:t>80 relatives aux services d’informations fluviales, sont appliquées par la majorité des États membres</w:t>
      </w:r>
      <w:r w:rsidR="00EB1E7D" w:rsidRPr="00EB1E7D">
        <w:rPr>
          <w:rStyle w:val="FootnoteReference"/>
          <w:lang w:val="fr-FR"/>
        </w:rPr>
        <w:footnoteReference w:id="1"/>
      </w:r>
      <w:r w:rsidRPr="0036655D">
        <w:rPr>
          <w:lang w:val="fr-FR"/>
        </w:rPr>
        <w:t xml:space="preserve"> et sont mentionnées dans les documents de l’Union européenne ainsi que dans ceux des commissions fluviales et des groupes d’experts internationaux des services d’information fluviale;</w:t>
      </w:r>
    </w:p>
    <w:p w:rsidR="0036655D" w:rsidRPr="0036655D" w:rsidRDefault="0036655D" w:rsidP="00EB1E7D">
      <w:pPr>
        <w:pStyle w:val="Bullet1"/>
        <w:rPr>
          <w:lang w:val="fr-FR"/>
        </w:rPr>
      </w:pPr>
      <w:r w:rsidRPr="0036655D">
        <w:rPr>
          <w:lang w:val="fr-FR"/>
        </w:rPr>
        <w:t xml:space="preserve">La reconnaissance du certificat international de conducteur de bateau de plaisance délivré par les États membres conformément à la Résolution </w:t>
      </w:r>
      <w:r w:rsidR="00EB1E7D">
        <w:rPr>
          <w:lang w:val="fr-FR"/>
        </w:rPr>
        <w:t>n</w:t>
      </w:r>
      <w:r w:rsidR="00EB1E7D" w:rsidRPr="00EB1E7D">
        <w:rPr>
          <w:vertAlign w:val="superscript"/>
          <w:lang w:val="fr-FR"/>
        </w:rPr>
        <w:t>o</w:t>
      </w:r>
      <w:r w:rsidR="00EB1E7D">
        <w:rPr>
          <w:lang w:val="fr-FR"/>
        </w:rPr>
        <w:t> </w:t>
      </w:r>
      <w:r w:rsidRPr="0036655D">
        <w:rPr>
          <w:lang w:val="fr-FR"/>
        </w:rPr>
        <w:t>40.</w:t>
      </w:r>
    </w:p>
    <w:p w:rsidR="0036655D" w:rsidRDefault="0036655D" w:rsidP="00207762">
      <w:pPr>
        <w:pStyle w:val="SingleTxt"/>
        <w:numPr>
          <w:ilvl w:val="0"/>
          <w:numId w:val="16"/>
        </w:numPr>
        <w:tabs>
          <w:tab w:val="clear" w:pos="475"/>
          <w:tab w:val="num" w:pos="1742"/>
        </w:tabs>
        <w:ind w:left="1267"/>
        <w:rPr>
          <w:lang w:val="fr-FR"/>
        </w:rPr>
      </w:pPr>
      <w:r w:rsidRPr="0036655D">
        <w:rPr>
          <w:lang w:val="fr-FR"/>
        </w:rPr>
        <w:t>Les activités du SC.3 et du SC.3/WP.3 pendant la période allant de 2002 à 2015 sont analysées ci-après. Au cours de cette période, le SC.3 a tenu 14</w:t>
      </w:r>
      <w:r w:rsidR="00EB1E7D">
        <w:rPr>
          <w:lang w:val="fr-FR"/>
        </w:rPr>
        <w:t xml:space="preserve"> </w:t>
      </w:r>
      <w:r w:rsidRPr="0036655D">
        <w:rPr>
          <w:lang w:val="fr-FR"/>
        </w:rPr>
        <w:t xml:space="preserve">sessions plénières et une session extraordinaire qui a été principalement consacrée à l’adoption de la Résolution </w:t>
      </w:r>
      <w:r w:rsidR="00EB1E7D">
        <w:rPr>
          <w:lang w:val="fr-FR"/>
        </w:rPr>
        <w:t>n</w:t>
      </w:r>
      <w:r w:rsidR="00EB1E7D" w:rsidRPr="00EB1E7D">
        <w:rPr>
          <w:vertAlign w:val="superscript"/>
          <w:lang w:val="fr-FR"/>
        </w:rPr>
        <w:t>o</w:t>
      </w:r>
      <w:r w:rsidR="00EB1E7D">
        <w:rPr>
          <w:lang w:val="fr-FR"/>
        </w:rPr>
        <w:t> </w:t>
      </w:r>
      <w:r w:rsidRPr="0036655D">
        <w:rPr>
          <w:lang w:val="fr-FR"/>
        </w:rPr>
        <w:t>61. Au cours de la même période, le SC.3/WP.3 a tenu 22 sessions, soit deux par an sauf lors des années 2005 et 2006 au cours de chacune desquelles n’a eu lieu qu’une seule session. Jusqu’à sa cinquante-huitième session, l</w:t>
      </w:r>
      <w:r w:rsidR="00EB1E7D">
        <w:rPr>
          <w:lang w:val="fr-FR"/>
        </w:rPr>
        <w:t>e SC.3 a adopté 83 résolutions.</w:t>
      </w:r>
    </w:p>
    <w:p w:rsidR="00EB1E7D" w:rsidRPr="00EB1E7D" w:rsidRDefault="00EB1E7D" w:rsidP="00EB1E7D">
      <w:pPr>
        <w:pStyle w:val="SingleTxt"/>
        <w:spacing w:after="0" w:line="120" w:lineRule="exact"/>
        <w:rPr>
          <w:sz w:val="10"/>
          <w:lang w:val="fr-FR"/>
        </w:rPr>
      </w:pPr>
    </w:p>
    <w:p w:rsidR="0036655D" w:rsidRDefault="00EB1E7D" w:rsidP="00EB1E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EB1E7D">
        <w:rPr>
          <w:b w:val="0"/>
          <w:lang w:val="fr-FR"/>
        </w:rPr>
        <w:tab/>
      </w:r>
      <w:r w:rsidRPr="00EB1E7D">
        <w:rPr>
          <w:b w:val="0"/>
          <w:lang w:val="fr-FR"/>
        </w:rPr>
        <w:tab/>
      </w:r>
      <w:r w:rsidR="0036655D" w:rsidRPr="00EB1E7D">
        <w:rPr>
          <w:b w:val="0"/>
          <w:lang w:val="fr-FR"/>
        </w:rPr>
        <w:t>Figure 1</w:t>
      </w:r>
      <w:r w:rsidRPr="00EB1E7D">
        <w:rPr>
          <w:b w:val="0"/>
          <w:lang w:val="fr-FR"/>
        </w:rPr>
        <w:t xml:space="preserve"> </w:t>
      </w:r>
      <w:r w:rsidRPr="00EB1E7D">
        <w:rPr>
          <w:b w:val="0"/>
          <w:lang w:val="fr-FR"/>
        </w:rPr>
        <w:br/>
      </w:r>
      <w:r w:rsidR="00F23AF4" w:rsidRPr="00F23AF4">
        <w:rPr>
          <w:lang w:val="fr-FR"/>
        </w:rPr>
        <w:t xml:space="preserve">Progrès réalisés dans la ratification des conventions administrées </w:t>
      </w:r>
      <w:r w:rsidR="00F23AF4" w:rsidRPr="00F23AF4">
        <w:rPr>
          <w:lang w:val="fr-FR"/>
        </w:rPr>
        <w:br/>
        <w:t>par le secrétariat du</w:t>
      </w:r>
      <w:r w:rsidR="00275778">
        <w:rPr>
          <w:lang w:val="fr-FR"/>
        </w:rPr>
        <w:t xml:space="preserve"> </w:t>
      </w:r>
      <w:r w:rsidR="00F23AF4" w:rsidRPr="00F23AF4">
        <w:rPr>
          <w:lang w:val="fr-FR"/>
        </w:rPr>
        <w:t>SC.3</w:t>
      </w:r>
    </w:p>
    <w:p w:rsidR="00F23AF4" w:rsidRPr="00CF3C8A" w:rsidRDefault="00F23AF4" w:rsidP="00CF3C8A">
      <w:pPr>
        <w:pStyle w:val="SingleTxt"/>
        <w:spacing w:after="0" w:line="120" w:lineRule="exact"/>
        <w:rPr>
          <w:sz w:val="10"/>
          <w:lang w:val="fr-FR"/>
        </w:rPr>
      </w:pPr>
    </w:p>
    <w:p w:rsidR="00CF3C8A" w:rsidRPr="00F23AF4" w:rsidRDefault="00CF3C8A" w:rsidP="00F23AF4">
      <w:pPr>
        <w:pStyle w:val="SingleTxt"/>
        <w:spacing w:after="0" w:line="120" w:lineRule="exact"/>
        <w:rPr>
          <w:sz w:val="10"/>
          <w:lang w:val="fr-FR"/>
        </w:rPr>
      </w:pPr>
    </w:p>
    <w:p w:rsidR="00EB1E7D" w:rsidRDefault="00FB523B" w:rsidP="00CF3C8A">
      <w:pPr>
        <w:pStyle w:val="SingleTxt"/>
        <w:spacing w:after="0" w:line="240" w:lineRule="auto"/>
      </w:pPr>
      <w:r>
        <w:rPr>
          <w:noProof/>
          <w:w w:val="100"/>
          <w:lang w:val="en-US"/>
        </w:rPr>
        <mc:AlternateContent>
          <mc:Choice Requires="wps">
            <w:drawing>
              <wp:anchor distT="0" distB="0" distL="114300" distR="114300" simplePos="0" relativeHeight="251663360" behindDoc="0" locked="0" layoutInCell="1" allowOverlap="1" wp14:anchorId="4B041382" wp14:editId="766D3A57">
                <wp:simplePos x="0" y="0"/>
                <wp:positionH relativeFrom="column">
                  <wp:posOffset>4018583</wp:posOffset>
                </wp:positionH>
                <wp:positionV relativeFrom="paragraph">
                  <wp:posOffset>28869</wp:posOffset>
                </wp:positionV>
                <wp:extent cx="1296538" cy="2381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296538" cy="2381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E7D" w:rsidRPr="00F23AF4" w:rsidRDefault="00674E7D" w:rsidP="00F23AF4">
                            <w:pPr>
                              <w:rPr>
                                <w:sz w:val="14"/>
                                <w:szCs w:val="14"/>
                                <w:lang w:val="fr-CH"/>
                              </w:rPr>
                            </w:pPr>
                            <w:r>
                              <w:rPr>
                                <w:sz w:val="14"/>
                                <w:szCs w:val="14"/>
                                <w:lang w:val="fr-CH"/>
                              </w:rPr>
                              <w:t>Parties à une c</w:t>
                            </w:r>
                            <w:r w:rsidRPr="00F23AF4">
                              <w:rPr>
                                <w:sz w:val="14"/>
                                <w:szCs w:val="14"/>
                                <w:lang w:val="fr-CH"/>
                              </w:rPr>
                              <w:t>onvention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16.4pt;margin-top:2.25pt;width:102.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" fillcolor="white [3212]" stroked="f" strokeweight=".5pt">
                <v:textbox>
                  <w:txbxContent>
                    <w:p w:rsidR="00674E7D" w:rsidRPr="00F23AF4" w:rsidRDefault="00674E7D" w:rsidP="00F23AF4">
                      <w:pPr>
                        <w:rPr>
                          <w:sz w:val="14"/>
                          <w:szCs w:val="14"/>
                          <w:lang w:val="fr-CH"/>
                        </w:rPr>
                      </w:pPr>
                      <w:r>
                        <w:rPr>
                          <w:sz w:val="14"/>
                          <w:szCs w:val="14"/>
                          <w:lang w:val="fr-CH"/>
                        </w:rPr>
                        <w:t>Parties à une c</w:t>
                      </w:r>
                      <w:r w:rsidRPr="00F23AF4">
                        <w:rPr>
                          <w:sz w:val="14"/>
                          <w:szCs w:val="14"/>
                          <w:lang w:val="fr-CH"/>
                        </w:rPr>
                        <w:t>onvention</w:t>
                      </w:r>
                    </w:p>
                  </w:txbxContent>
                </v:textbox>
              </v:shape>
            </w:pict>
          </mc:Fallback>
        </mc:AlternateContent>
      </w:r>
      <w:r>
        <w:rPr>
          <w:noProof/>
          <w:w w:val="100"/>
          <w:lang w:val="en-US"/>
        </w:rPr>
        <mc:AlternateContent>
          <mc:Choice Requires="wps">
            <w:drawing>
              <wp:anchor distT="0" distB="0" distL="114300" distR="114300" simplePos="0" relativeHeight="251667456" behindDoc="0" locked="0" layoutInCell="1" allowOverlap="1" wp14:anchorId="615CEB89" wp14:editId="44C4BFEF">
                <wp:simplePos x="0" y="0"/>
                <wp:positionH relativeFrom="column">
                  <wp:posOffset>2592544</wp:posOffset>
                </wp:positionH>
                <wp:positionV relativeFrom="paragraph">
                  <wp:posOffset>40005</wp:posOffset>
                </wp:positionV>
                <wp:extent cx="1139190" cy="238125"/>
                <wp:effectExtent l="0" t="0" r="3810" b="9525"/>
                <wp:wrapNone/>
                <wp:docPr id="11" name="Text Box 11"/>
                <wp:cNvGraphicFramePr/>
                <a:graphic xmlns:a="http://schemas.openxmlformats.org/drawingml/2006/main">
                  <a:graphicData uri="http://schemas.microsoft.com/office/word/2010/wordprocessingShape">
                    <wps:wsp>
                      <wps:cNvSpPr txBox="1"/>
                      <wps:spPr>
                        <a:xfrm>
                          <a:off x="0" y="0"/>
                          <a:ext cx="1139190" cy="2381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E7D" w:rsidRPr="00F23AF4" w:rsidRDefault="00674E7D" w:rsidP="00F23AF4">
                            <w:pPr>
                              <w:rPr>
                                <w:sz w:val="14"/>
                                <w:szCs w:val="14"/>
                                <w:lang w:val="fr-CH"/>
                              </w:rPr>
                            </w:pPr>
                            <w:r>
                              <w:rPr>
                                <w:sz w:val="14"/>
                                <w:szCs w:val="14"/>
                                <w:lang w:val="fr-CH"/>
                              </w:rPr>
                              <w:t>Conventions en vigueur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04.15pt;margin-top:3.15pt;width:89.7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" fillcolor="white [3212]" stroked="f" strokeweight=".5pt">
                <v:textbox>
                  <w:txbxContent>
                    <w:p w:rsidR="00674E7D" w:rsidRPr="00F23AF4" w:rsidRDefault="00674E7D" w:rsidP="00F23AF4">
                      <w:pPr>
                        <w:rPr>
                          <w:sz w:val="14"/>
                          <w:szCs w:val="14"/>
                          <w:lang w:val="fr-CH"/>
                        </w:rPr>
                      </w:pPr>
                      <w:r>
                        <w:rPr>
                          <w:sz w:val="14"/>
                          <w:szCs w:val="14"/>
                          <w:lang w:val="fr-CH"/>
                        </w:rPr>
                        <w:t>Conventions en vigueur</w:t>
                      </w:r>
                    </w:p>
                  </w:txbxContent>
                </v:textbox>
              </v:shape>
            </w:pict>
          </mc:Fallback>
        </mc:AlternateContent>
      </w:r>
      <w:r w:rsidR="00261B13">
        <w:rPr>
          <w:noProof/>
          <w:w w:val="100"/>
          <w:lang w:val="en-US"/>
        </w:rPr>
        <mc:AlternateContent>
          <mc:Choice Requires="wps">
            <w:drawing>
              <wp:anchor distT="0" distB="0" distL="114300" distR="114300" simplePos="0" relativeHeight="251665408" behindDoc="0" locked="0" layoutInCell="1" allowOverlap="1" wp14:anchorId="286F33A8" wp14:editId="4D1D876D">
                <wp:simplePos x="0" y="0"/>
                <wp:positionH relativeFrom="column">
                  <wp:posOffset>1452245</wp:posOffset>
                </wp:positionH>
                <wp:positionV relativeFrom="paragraph">
                  <wp:posOffset>34925</wp:posOffset>
                </wp:positionV>
                <wp:extent cx="723265" cy="238125"/>
                <wp:effectExtent l="0" t="0" r="635" b="9525"/>
                <wp:wrapNone/>
                <wp:docPr id="10" name="Text Box 10"/>
                <wp:cNvGraphicFramePr/>
                <a:graphic xmlns:a="http://schemas.openxmlformats.org/drawingml/2006/main">
                  <a:graphicData uri="http://schemas.microsoft.com/office/word/2010/wordprocessingShape">
                    <wps:wsp>
                      <wps:cNvSpPr txBox="1"/>
                      <wps:spPr>
                        <a:xfrm>
                          <a:off x="0" y="0"/>
                          <a:ext cx="723265" cy="2381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E7D" w:rsidRPr="00F23AF4" w:rsidRDefault="00674E7D" w:rsidP="00F23AF4">
                            <w:pPr>
                              <w:rPr>
                                <w:sz w:val="14"/>
                                <w:szCs w:val="14"/>
                                <w:lang w:val="fr-CH"/>
                              </w:rPr>
                            </w:pPr>
                            <w:r>
                              <w:rPr>
                                <w:sz w:val="14"/>
                                <w:szCs w:val="14"/>
                                <w:lang w:val="fr-CH"/>
                              </w:rPr>
                              <w:t>Conventions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14.35pt;margin-top:2.75pt;width:56.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" fillcolor="white [3212]" stroked="f" strokeweight=".5pt">
                <v:textbox>
                  <w:txbxContent>
                    <w:p w:rsidR="00674E7D" w:rsidRPr="00F23AF4" w:rsidRDefault="00674E7D" w:rsidP="00F23AF4">
                      <w:pPr>
                        <w:rPr>
                          <w:sz w:val="14"/>
                          <w:szCs w:val="14"/>
                          <w:lang w:val="fr-CH"/>
                        </w:rPr>
                      </w:pPr>
                      <w:r>
                        <w:rPr>
                          <w:sz w:val="14"/>
                          <w:szCs w:val="14"/>
                          <w:lang w:val="fr-CH"/>
                        </w:rPr>
                        <w:t>Conventions</w:t>
                      </w:r>
                    </w:p>
                  </w:txbxContent>
                </v:textbox>
              </v:shape>
            </w:pict>
          </mc:Fallback>
        </mc:AlternateContent>
      </w:r>
      <w:r w:rsidR="00F23AF4">
        <w:rPr>
          <w:noProof/>
          <w:lang w:val="en-US"/>
        </w:rPr>
        <w:drawing>
          <wp:inline distT="0" distB="0" distL="0" distR="0" wp14:anchorId="2676780D" wp14:editId="29E84A1D">
            <wp:extent cx="4754880" cy="2524836"/>
            <wp:effectExtent l="0" t="0" r="26670" b="27940"/>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2EBD" w:rsidRPr="00275778" w:rsidRDefault="00B92EBD" w:rsidP="00275778">
      <w:pPr>
        <w:pStyle w:val="SingleTxt"/>
        <w:spacing w:after="0" w:line="120" w:lineRule="exact"/>
        <w:rPr>
          <w:sz w:val="10"/>
        </w:rPr>
      </w:pPr>
    </w:p>
    <w:p w:rsidR="00275778" w:rsidRPr="00275778" w:rsidRDefault="00275778" w:rsidP="00275778">
      <w:pPr>
        <w:pStyle w:val="SingleTxt"/>
        <w:spacing w:after="0" w:line="120" w:lineRule="exact"/>
        <w:rPr>
          <w:sz w:val="10"/>
        </w:rPr>
      </w:pPr>
    </w:p>
    <w:p w:rsidR="00275778" w:rsidRPr="00275778" w:rsidRDefault="00275778" w:rsidP="00207762">
      <w:pPr>
        <w:pStyle w:val="SingleTxt"/>
        <w:numPr>
          <w:ilvl w:val="0"/>
          <w:numId w:val="16"/>
        </w:numPr>
        <w:tabs>
          <w:tab w:val="clear" w:pos="475"/>
          <w:tab w:val="num" w:pos="1742"/>
        </w:tabs>
        <w:ind w:left="1267"/>
        <w:rPr>
          <w:lang w:val="fr-FR"/>
        </w:rPr>
      </w:pPr>
      <w:r w:rsidRPr="00275778">
        <w:rPr>
          <w:lang w:val="fr-FR"/>
        </w:rPr>
        <w:t>Le nombre total de conventions internationales relatives à la navigation intérieure bénéficiant des services du secrétariat du SC.3 est indiqué sur la figure 1. L’Accord européen relatif au transport international des marchandises dangereuses par voies de navigation intérieures (ADN) est inclus dans le décompte, quoique ses services d’appui soient assurés par le WP.15/AC.2 (Comité de sécurité de l’ADN); la Convention de Budapest relative au contrat de transport de marchandises en navigation intérieure y est également comptée, étant donné que la CEE a été l’un des organisateurs de la conférence diplomatique au cours de laquelle cette convention a été signée et que le secrétariat appuie sa mise en œuvre. Les données sont tirées du document ECE/TRANS/SC.3/2014/11. On peut diviser le graphique de la figure 1 en trois sections</w:t>
      </w:r>
      <w:r w:rsidR="00B15E0A">
        <w:rPr>
          <w:lang w:val="fr-FR"/>
        </w:rPr>
        <w:t> </w:t>
      </w:r>
      <w:r w:rsidRPr="00275778">
        <w:rPr>
          <w:lang w:val="fr-FR"/>
        </w:rPr>
        <w:t>:</w:t>
      </w:r>
    </w:p>
    <w:p w:rsidR="00275778" w:rsidRPr="00275778" w:rsidRDefault="00275778" w:rsidP="00B15E0A">
      <w:pPr>
        <w:pStyle w:val="Bullet1"/>
        <w:rPr>
          <w:lang w:val="fr-FR"/>
        </w:rPr>
      </w:pPr>
      <w:r w:rsidRPr="00275778">
        <w:rPr>
          <w:lang w:val="fr-FR"/>
        </w:rPr>
        <w:t>La période allant de 1960 à 1975 marque le début des travaux conjoints avec plusieurs parties concernant des projets de conventions visant à remplacer les trois Conventions de 1930 (la Convention concernant l’immatriculation des bateaux de navigation intérieure, les droits réels sur ces bateaux et autres matières connexes, la Convention relative à l’unification de certaines règles en matière d’abordage en navigation intérieure et la Convention sur les mesures administratives propres à attester le droit au pavillon des bateaux de navigation intérieure), signées à la Conférence pour l’unification du droit fluvial (tenue à Genève en 1930) mais qui n’ont pas été ratifiées;</w:t>
      </w:r>
    </w:p>
    <w:p w:rsidR="00275778" w:rsidRPr="00275778" w:rsidRDefault="00275778" w:rsidP="00B15E0A">
      <w:pPr>
        <w:pStyle w:val="Bullet1"/>
        <w:rPr>
          <w:lang w:val="fr-FR"/>
        </w:rPr>
      </w:pPr>
      <w:r w:rsidRPr="00275778">
        <w:rPr>
          <w:lang w:val="fr-FR"/>
        </w:rPr>
        <w:t>La période allant de 1975 à 2000 a vu le début des travaux conjoints avec plusieurs parties concernant le nouvel ensemble d</w:t>
      </w:r>
      <w:r w:rsidR="00E510D2">
        <w:rPr>
          <w:lang w:val="fr-FR"/>
        </w:rPr>
        <w:t>e conventions et la création du </w:t>
      </w:r>
      <w:r w:rsidRPr="00275778">
        <w:rPr>
          <w:lang w:val="fr-FR"/>
        </w:rPr>
        <w:t>SC.3/WP.3;</w:t>
      </w:r>
    </w:p>
    <w:p w:rsidR="00275778" w:rsidRPr="00275778" w:rsidRDefault="00275778" w:rsidP="00B15E0A">
      <w:pPr>
        <w:pStyle w:val="Bullet1"/>
        <w:rPr>
          <w:lang w:val="fr-FR"/>
        </w:rPr>
      </w:pPr>
      <w:r w:rsidRPr="00275778">
        <w:rPr>
          <w:lang w:val="fr-FR"/>
        </w:rPr>
        <w:t>La période courant depuis 2000 a été marquée par une forte activité; des changements politiques, l’adhésion de nouveaux États européens à l’Union européenne et la réorganisation d’États existants ont abouti à de nouveaux accords et conventions et à la création de la Commission internationale du bassin de la Save en 2005.</w:t>
      </w:r>
    </w:p>
    <w:p w:rsidR="00275778" w:rsidRPr="00275778" w:rsidRDefault="00275778" w:rsidP="00207762">
      <w:pPr>
        <w:pStyle w:val="SingleTxt"/>
        <w:numPr>
          <w:ilvl w:val="0"/>
          <w:numId w:val="16"/>
        </w:numPr>
        <w:tabs>
          <w:tab w:val="clear" w:pos="475"/>
          <w:tab w:val="num" w:pos="1742"/>
        </w:tabs>
        <w:ind w:left="1267"/>
        <w:rPr>
          <w:lang w:val="fr-FR"/>
        </w:rPr>
      </w:pPr>
      <w:r w:rsidRPr="00275778">
        <w:rPr>
          <w:lang w:val="fr-FR"/>
        </w:rPr>
        <w:t>Parmi les aspects au sujet desquels il est possible d’apporter des améliorations, on peut citer les suivants</w:t>
      </w:r>
      <w:r w:rsidR="00B15E0A">
        <w:rPr>
          <w:lang w:val="fr-FR"/>
        </w:rPr>
        <w:t> </w:t>
      </w:r>
      <w:r w:rsidRPr="00275778">
        <w:rPr>
          <w:lang w:val="fr-FR"/>
        </w:rPr>
        <w:t>:</w:t>
      </w:r>
    </w:p>
    <w:p w:rsidR="00275778" w:rsidRPr="00275778" w:rsidRDefault="00275778" w:rsidP="00B15E0A">
      <w:pPr>
        <w:pStyle w:val="Bullet1"/>
        <w:rPr>
          <w:lang w:val="fr-FR"/>
        </w:rPr>
      </w:pPr>
      <w:r w:rsidRPr="00275778">
        <w:rPr>
          <w:lang w:val="fr-FR"/>
        </w:rPr>
        <w:t>L’absence de nouveaux projets;</w:t>
      </w:r>
    </w:p>
    <w:p w:rsidR="00275778" w:rsidRPr="00275778" w:rsidRDefault="00275778" w:rsidP="00B15E0A">
      <w:pPr>
        <w:pStyle w:val="Bullet1"/>
        <w:rPr>
          <w:lang w:val="fr-FR"/>
        </w:rPr>
      </w:pPr>
      <w:r w:rsidRPr="00275778">
        <w:rPr>
          <w:lang w:val="fr-FR"/>
        </w:rPr>
        <w:t>La faiblesse du taux de réponses des États membres aux questionnaires qui leur sont soumis avant les sessions;</w:t>
      </w:r>
    </w:p>
    <w:p w:rsidR="00275778" w:rsidRPr="00275778" w:rsidRDefault="00275778" w:rsidP="00B15E0A">
      <w:pPr>
        <w:pStyle w:val="Bullet1"/>
        <w:rPr>
          <w:lang w:val="fr-FR"/>
        </w:rPr>
      </w:pPr>
      <w:r w:rsidRPr="00275778">
        <w:rPr>
          <w:lang w:val="fr-FR"/>
        </w:rPr>
        <w:t>L’insuffisance des échanges avec les autres groupes de travail de la CEE;</w:t>
      </w:r>
    </w:p>
    <w:p w:rsidR="00275778" w:rsidRDefault="00275778" w:rsidP="00B15E0A">
      <w:pPr>
        <w:pStyle w:val="Bullet1"/>
        <w:rPr>
          <w:lang w:val="fr-FR"/>
        </w:rPr>
      </w:pPr>
      <w:r w:rsidRPr="00275778">
        <w:rPr>
          <w:lang w:val="fr-FR"/>
        </w:rPr>
        <w:t>La faiblesse du nombre d’autres organisations internationales participant de manière permanente et avec efficacité aux activités des groupes de travail.</w:t>
      </w:r>
    </w:p>
    <w:p w:rsidR="00B15E0A" w:rsidRPr="00B15E0A" w:rsidRDefault="00B15E0A" w:rsidP="00B15E0A">
      <w:pPr>
        <w:pStyle w:val="SingleTxt"/>
        <w:spacing w:after="0" w:line="120" w:lineRule="exact"/>
        <w:rPr>
          <w:sz w:val="10"/>
          <w:lang w:val="fr-FR"/>
        </w:rPr>
      </w:pPr>
    </w:p>
    <w:p w:rsidR="00275778" w:rsidRDefault="00275778" w:rsidP="00B15E0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778">
        <w:rPr>
          <w:lang w:val="fr-FR"/>
        </w:rPr>
        <w:tab/>
      </w:r>
      <w:r w:rsidRPr="00275778">
        <w:rPr>
          <w:lang w:val="fr-FR"/>
        </w:rPr>
        <w:tab/>
        <w:t xml:space="preserve">Administration des conventions internationales ayant trait au transport </w:t>
      </w:r>
      <w:r w:rsidR="00B15E0A">
        <w:rPr>
          <w:lang w:val="fr-FR"/>
        </w:rPr>
        <w:br/>
      </w:r>
      <w:r w:rsidRPr="00275778">
        <w:rPr>
          <w:lang w:val="fr-FR"/>
        </w:rPr>
        <w:t>par voie navigable</w:t>
      </w:r>
    </w:p>
    <w:p w:rsidR="00B15E0A" w:rsidRPr="00B15E0A" w:rsidRDefault="00B15E0A" w:rsidP="00B15E0A">
      <w:pPr>
        <w:pStyle w:val="SingleTxt"/>
        <w:spacing w:after="0" w:line="120" w:lineRule="exact"/>
        <w:rPr>
          <w:sz w:val="10"/>
          <w:lang w:val="fr-FR"/>
        </w:rPr>
      </w:pPr>
    </w:p>
    <w:p w:rsidR="00275778" w:rsidRPr="00275778" w:rsidRDefault="00275778" w:rsidP="00207762">
      <w:pPr>
        <w:pStyle w:val="SingleTxt"/>
        <w:numPr>
          <w:ilvl w:val="0"/>
          <w:numId w:val="16"/>
        </w:numPr>
        <w:tabs>
          <w:tab w:val="clear" w:pos="475"/>
          <w:tab w:val="num" w:pos="1742"/>
        </w:tabs>
        <w:ind w:left="1267"/>
        <w:rPr>
          <w:lang w:val="fr-FR"/>
        </w:rPr>
      </w:pPr>
      <w:r w:rsidRPr="00275778">
        <w:rPr>
          <w:lang w:val="fr-FR"/>
        </w:rPr>
        <w:t>Depuis la création du SC.3, cet objet a constitué une partie importante de son activité. Les conventions internationales ayant trait au transport par voie navigable sont les suivantes</w:t>
      </w:r>
      <w:r w:rsidR="00B15E0A">
        <w:rPr>
          <w:lang w:val="fr-FR"/>
        </w:rPr>
        <w:t> </w:t>
      </w:r>
      <w:r w:rsidRPr="00275778">
        <w:rPr>
          <w:lang w:val="fr-FR"/>
        </w:rPr>
        <w:t>:</w:t>
      </w:r>
    </w:p>
    <w:p w:rsidR="00275778" w:rsidRPr="00275778" w:rsidRDefault="00275778" w:rsidP="00B15E0A">
      <w:pPr>
        <w:pStyle w:val="Bullet1"/>
        <w:rPr>
          <w:lang w:val="fr-FR"/>
        </w:rPr>
      </w:pPr>
      <w:r w:rsidRPr="00275778">
        <w:rPr>
          <w:lang w:val="fr-FR"/>
        </w:rPr>
        <w:t>La Convention de 1960 relative à l’unification de certaines règles en matière d’abordage en navigation intérieure, qui compte 13</w:t>
      </w:r>
      <w:r w:rsidR="00B15E0A">
        <w:rPr>
          <w:lang w:val="fr-FR"/>
        </w:rPr>
        <w:t xml:space="preserve"> </w:t>
      </w:r>
      <w:r w:rsidRPr="00275778">
        <w:rPr>
          <w:lang w:val="fr-FR"/>
        </w:rPr>
        <w:t>Parties contractantes;</w:t>
      </w:r>
    </w:p>
    <w:p w:rsidR="00275778" w:rsidRPr="00275778" w:rsidRDefault="00275778" w:rsidP="00B15E0A">
      <w:pPr>
        <w:pStyle w:val="Bullet1"/>
        <w:rPr>
          <w:lang w:val="fr-FR"/>
        </w:rPr>
      </w:pPr>
      <w:r w:rsidRPr="00275778">
        <w:rPr>
          <w:lang w:val="fr-FR"/>
        </w:rPr>
        <w:t>La Convention de 1965 relative à l’immatriculation des bateaux de navigation intérieure, qui compte 9</w:t>
      </w:r>
      <w:r w:rsidR="00B15E0A">
        <w:rPr>
          <w:lang w:val="fr-FR"/>
        </w:rPr>
        <w:t xml:space="preserve"> </w:t>
      </w:r>
      <w:r w:rsidRPr="00275778">
        <w:rPr>
          <w:lang w:val="fr-FR"/>
        </w:rPr>
        <w:t>Parties contractantes;</w:t>
      </w:r>
    </w:p>
    <w:p w:rsidR="00275778" w:rsidRPr="00275778" w:rsidRDefault="00275778" w:rsidP="00B15E0A">
      <w:pPr>
        <w:pStyle w:val="Bullet1"/>
        <w:rPr>
          <w:lang w:val="fr-FR"/>
        </w:rPr>
      </w:pPr>
      <w:r w:rsidRPr="00275778">
        <w:rPr>
          <w:lang w:val="fr-FR"/>
        </w:rPr>
        <w:t>La Convention de 1966 relative au jaugeage des bateaux de navigation intérieure, qui compte 16</w:t>
      </w:r>
      <w:r w:rsidR="00B15E0A">
        <w:rPr>
          <w:lang w:val="fr-FR"/>
        </w:rPr>
        <w:t xml:space="preserve"> </w:t>
      </w:r>
      <w:r w:rsidRPr="00275778">
        <w:rPr>
          <w:lang w:val="fr-FR"/>
        </w:rPr>
        <w:t>Parties contractantes;</w:t>
      </w:r>
    </w:p>
    <w:p w:rsidR="00275778" w:rsidRPr="00275778" w:rsidRDefault="00275778" w:rsidP="00B15E0A">
      <w:pPr>
        <w:pStyle w:val="Bullet1"/>
        <w:rPr>
          <w:lang w:val="fr-FR"/>
        </w:rPr>
      </w:pPr>
      <w:r w:rsidRPr="00275778">
        <w:rPr>
          <w:lang w:val="fr-FR"/>
        </w:rPr>
        <w:t>La Convention de 1973 relative à la limitation de la responsabilité des propriétaires de bateaux de navigation intérieure (CLN), qui n’est pas encore en vigueur;</w:t>
      </w:r>
    </w:p>
    <w:p w:rsidR="00275778" w:rsidRPr="00275778" w:rsidRDefault="00275778" w:rsidP="00B15E0A">
      <w:pPr>
        <w:pStyle w:val="Bullet1"/>
        <w:rPr>
          <w:lang w:val="fr-FR"/>
        </w:rPr>
      </w:pPr>
      <w:r w:rsidRPr="00275778">
        <w:rPr>
          <w:lang w:val="fr-FR"/>
        </w:rPr>
        <w:t>Le Protocole de 1978 à la Convention relative à la limitation de la responsabilité des propriétaires de bateaux de navigation intérieure (CLN), qui n’est pas encore en vigueur;</w:t>
      </w:r>
    </w:p>
    <w:p w:rsidR="00275778" w:rsidRPr="00275778" w:rsidRDefault="00275778" w:rsidP="00B15E0A">
      <w:pPr>
        <w:pStyle w:val="Bullet1"/>
        <w:rPr>
          <w:lang w:val="fr-FR"/>
        </w:rPr>
      </w:pPr>
      <w:r w:rsidRPr="00275778">
        <w:rPr>
          <w:lang w:val="fr-FR"/>
        </w:rPr>
        <w:t>La Convention de 1976 relative au contrat de transport international de voyageurs et de bagages en navigation intérieure (CVN), qui n’est pas encore en vigueur;</w:t>
      </w:r>
    </w:p>
    <w:p w:rsidR="00275778" w:rsidRPr="00275778" w:rsidRDefault="00275778" w:rsidP="00B15E0A">
      <w:pPr>
        <w:pStyle w:val="Bullet1"/>
        <w:rPr>
          <w:lang w:val="fr-FR"/>
        </w:rPr>
      </w:pPr>
      <w:r w:rsidRPr="00275778">
        <w:rPr>
          <w:lang w:val="fr-FR"/>
        </w:rPr>
        <w:t>Le Protocole de 1978 à la Convention relative au contrat de transport international de voyageurs et de bagages en navigation intérieure (CVN), qui n’est pas encore en vigueur;</w:t>
      </w:r>
    </w:p>
    <w:p w:rsidR="00275778" w:rsidRPr="00275778" w:rsidRDefault="00275778" w:rsidP="00B15E0A">
      <w:pPr>
        <w:pStyle w:val="Bullet1"/>
        <w:rPr>
          <w:lang w:val="fr-FR"/>
        </w:rPr>
      </w:pPr>
      <w:r w:rsidRPr="00275778">
        <w:rPr>
          <w:lang w:val="fr-FR"/>
        </w:rPr>
        <w:t>L’Accord européen de 1996 sur les grandes voies navigables d’importance internationale (AGN), qui compte 18</w:t>
      </w:r>
      <w:r w:rsidR="00E510D2">
        <w:rPr>
          <w:lang w:val="fr-FR"/>
        </w:rPr>
        <w:t xml:space="preserve"> </w:t>
      </w:r>
      <w:r w:rsidRPr="00275778">
        <w:rPr>
          <w:lang w:val="fr-FR"/>
        </w:rPr>
        <w:t>Parties contractantes;</w:t>
      </w:r>
    </w:p>
    <w:p w:rsidR="00275778" w:rsidRPr="00275778" w:rsidRDefault="00275778" w:rsidP="00B15E0A">
      <w:pPr>
        <w:pStyle w:val="Bullet1"/>
        <w:rPr>
          <w:lang w:val="fr-FR"/>
        </w:rPr>
      </w:pPr>
      <w:r w:rsidRPr="00275778">
        <w:rPr>
          <w:lang w:val="fr-FR"/>
        </w:rPr>
        <w:t>Le Protocole de 1997 à l’Accord européen de 1991 sur les grandes lignes de transport international combiné et les installations connexes (AGTC) concernant le transport combiné par voie navigable, qui compte 9</w:t>
      </w:r>
      <w:r w:rsidR="00B15E0A">
        <w:rPr>
          <w:lang w:val="fr-FR"/>
        </w:rPr>
        <w:t xml:space="preserve"> </w:t>
      </w:r>
      <w:r w:rsidRPr="00275778">
        <w:rPr>
          <w:lang w:val="fr-FR"/>
        </w:rPr>
        <w:t>Parties contractantes;</w:t>
      </w:r>
    </w:p>
    <w:p w:rsidR="00275778" w:rsidRPr="00275778" w:rsidRDefault="00275778" w:rsidP="00B15E0A">
      <w:pPr>
        <w:pStyle w:val="Bullet1"/>
        <w:rPr>
          <w:lang w:val="fr-FR"/>
        </w:rPr>
      </w:pPr>
      <w:r w:rsidRPr="00275778">
        <w:rPr>
          <w:lang w:val="fr-FR"/>
        </w:rPr>
        <w:t>L’Accord européen de 2000 relatif au transport international des marchandises dangereuses par voies de navigation intérieures (ADN), qui compte 18 Parties contractantes; l’ADN est administré par la Réunion commune d’experts de la CEE et de la Commission centrale pour la navigation du Rhin (CCNR) sur le Règlement annexé à l’ADN (Comité de sécurité de l’ADN) et par le Comité d’administration de l’ADN, dont les services de secrétariat sont assurés par le secrétariat du Groupe de travail des transports de marchandises dangereuses (WP.15);</w:t>
      </w:r>
    </w:p>
    <w:p w:rsidR="00275778" w:rsidRPr="00275778" w:rsidRDefault="00275778" w:rsidP="00B15E0A">
      <w:pPr>
        <w:pStyle w:val="Bullet1"/>
        <w:rPr>
          <w:lang w:val="fr-FR"/>
        </w:rPr>
      </w:pPr>
      <w:r w:rsidRPr="00275778">
        <w:rPr>
          <w:lang w:val="fr-FR"/>
        </w:rPr>
        <w:t>La Convention de Budapest de 2001 relative au contrat de transport de marchandises en navigation intérieure (CMNI), qui compte 15 Parties contractantes.</w:t>
      </w:r>
    </w:p>
    <w:p w:rsidR="00275778" w:rsidRDefault="00275778" w:rsidP="00207762">
      <w:pPr>
        <w:pStyle w:val="SingleTxt"/>
        <w:numPr>
          <w:ilvl w:val="0"/>
          <w:numId w:val="16"/>
        </w:numPr>
        <w:tabs>
          <w:tab w:val="clear" w:pos="475"/>
          <w:tab w:val="num" w:pos="1742"/>
        </w:tabs>
        <w:ind w:left="1267"/>
        <w:rPr>
          <w:lang w:val="fr-FR"/>
        </w:rPr>
      </w:pPr>
      <w:r w:rsidRPr="00275778">
        <w:rPr>
          <w:lang w:val="fr-FR"/>
        </w:rPr>
        <w:t>À l’heure actuelle, l’ADN, dont les servi</w:t>
      </w:r>
      <w:r w:rsidR="00A31AA5">
        <w:rPr>
          <w:lang w:val="fr-FR"/>
        </w:rPr>
        <w:t>ces d’appui sont assurés par le </w:t>
      </w:r>
      <w:r w:rsidRPr="00275778">
        <w:rPr>
          <w:lang w:val="fr-FR"/>
        </w:rPr>
        <w:t xml:space="preserve">WP.15/AC.2 (Comité de sécurité de l’ADN) en collaboration avec le secrétariat de la CCNR, est le plus fructueux accord international dans le secteur du transport par voie navigable et un bon exemple d’une stratégie efficace, car la directive 2008/68/CE du Parlement européen et du Conseil du 24 septembre 2008 relative au transport intérieur des marchandises dangereuses rend ses dispositions également applicables aux transports intérieurs au sein de l’Union européenne et de l’Espace économique européen. Le nombre de Parties contractantes a continuellement augmenté, mais le fait que sa portée soit limitée aux États membres de la CEE dont le territoire comprend des voies navigables intérieures </w:t>
      </w:r>
      <w:r w:rsidR="00716186">
        <w:rPr>
          <w:lang w:val="fr-FR"/>
        </w:rPr>
        <w:t>[</w:t>
      </w:r>
      <w:r w:rsidRPr="00275778">
        <w:rPr>
          <w:lang w:val="fr-FR"/>
        </w:rPr>
        <w:t>autres que celles formant un parcours côtier, qui font partie du réseau des voies navigables d’importance internationale tel que défini dans l’Accord européen sur les grandes voies navigables d’importance internationale (AGN)</w:t>
      </w:r>
      <w:r w:rsidR="00716186">
        <w:rPr>
          <w:lang w:val="fr-FR"/>
        </w:rPr>
        <w:t>]</w:t>
      </w:r>
      <w:r w:rsidRPr="00275778">
        <w:rPr>
          <w:lang w:val="fr-FR"/>
        </w:rPr>
        <w:t xml:space="preserve"> rend improbable une augmentation importante du nombre de Parties contractantes dans les années à venir.</w:t>
      </w:r>
    </w:p>
    <w:p w:rsidR="00B15E0A" w:rsidRPr="00B15E0A" w:rsidRDefault="00B15E0A" w:rsidP="00B15E0A">
      <w:pPr>
        <w:pStyle w:val="SingleTxt"/>
        <w:spacing w:after="0" w:line="120" w:lineRule="exact"/>
        <w:rPr>
          <w:sz w:val="10"/>
          <w:lang w:val="fr-FR"/>
        </w:rPr>
      </w:pPr>
    </w:p>
    <w:p w:rsidR="00275778" w:rsidRDefault="00275778" w:rsidP="00B15E0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778">
        <w:rPr>
          <w:lang w:val="fr-FR"/>
        </w:rPr>
        <w:tab/>
      </w:r>
      <w:r w:rsidRPr="00275778">
        <w:rPr>
          <w:lang w:val="fr-FR"/>
        </w:rPr>
        <w:tab/>
        <w:t>Activités en cours</w:t>
      </w:r>
    </w:p>
    <w:p w:rsidR="00B15E0A" w:rsidRPr="00B15E0A" w:rsidRDefault="00B15E0A" w:rsidP="00B15E0A">
      <w:pPr>
        <w:pStyle w:val="SingleTxt"/>
        <w:spacing w:after="0" w:line="120" w:lineRule="exact"/>
        <w:rPr>
          <w:sz w:val="10"/>
          <w:lang w:val="fr-FR"/>
        </w:rPr>
      </w:pPr>
    </w:p>
    <w:p w:rsidR="00275778" w:rsidRPr="00275778" w:rsidRDefault="00275778" w:rsidP="00207762">
      <w:pPr>
        <w:pStyle w:val="SingleTxt"/>
        <w:numPr>
          <w:ilvl w:val="0"/>
          <w:numId w:val="16"/>
        </w:numPr>
        <w:tabs>
          <w:tab w:val="clear" w:pos="475"/>
          <w:tab w:val="num" w:pos="1742"/>
        </w:tabs>
        <w:ind w:left="1267"/>
        <w:rPr>
          <w:lang w:val="fr-FR"/>
        </w:rPr>
      </w:pPr>
      <w:r w:rsidRPr="00275778">
        <w:rPr>
          <w:lang w:val="fr-FR"/>
        </w:rPr>
        <w:t xml:space="preserve">Le SC.3 suit de près l’évolution de l’état des conventions et accords internationaux concernant la navigation intérieure, qui constitue un point permanent de l’ordre du jour de ses sessions au titre du point plus général intitulé </w:t>
      </w:r>
      <w:r w:rsidR="00B15E0A">
        <w:rPr>
          <w:lang w:val="fr-FR"/>
        </w:rPr>
        <w:t>« </w:t>
      </w:r>
      <w:r w:rsidRPr="00275778">
        <w:rPr>
          <w:lang w:val="fr-FR"/>
        </w:rPr>
        <w:t>Harmonisation du cadre juridique paneuropéen pour la navigation intérieure ».</w:t>
      </w:r>
    </w:p>
    <w:p w:rsidR="00275778" w:rsidRDefault="00275778" w:rsidP="00207762">
      <w:pPr>
        <w:pStyle w:val="SingleTxt"/>
        <w:numPr>
          <w:ilvl w:val="0"/>
          <w:numId w:val="16"/>
        </w:numPr>
        <w:tabs>
          <w:tab w:val="clear" w:pos="475"/>
          <w:tab w:val="num" w:pos="1742"/>
        </w:tabs>
        <w:ind w:left="1267"/>
        <w:rPr>
          <w:lang w:val="fr-FR"/>
        </w:rPr>
      </w:pPr>
      <w:r w:rsidRPr="00275778">
        <w:rPr>
          <w:lang w:val="fr-FR"/>
        </w:rPr>
        <w:t>Récemment, le SC.3 et le SC.3/WP.3 ont envisagé un projet de résolution de la CEE fondé sur les Règles paneuropéennes sur l’avarie commune en navigation intérieure. Les travaux sur ce projet sont restés en suspens depuis 2012, mais pourraient être revitalisés.</w:t>
      </w:r>
    </w:p>
    <w:p w:rsidR="00B15E0A" w:rsidRPr="00B15E0A" w:rsidRDefault="00B15E0A" w:rsidP="00B15E0A">
      <w:pPr>
        <w:pStyle w:val="SingleTxt"/>
        <w:spacing w:after="0" w:line="120" w:lineRule="exact"/>
        <w:rPr>
          <w:sz w:val="10"/>
          <w:lang w:val="fr-FR"/>
        </w:rPr>
      </w:pPr>
    </w:p>
    <w:p w:rsidR="00275778" w:rsidRDefault="00275778" w:rsidP="00B15E0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778">
        <w:rPr>
          <w:lang w:val="fr-FR"/>
        </w:rPr>
        <w:tab/>
      </w:r>
      <w:r w:rsidRPr="00275778">
        <w:rPr>
          <w:lang w:val="fr-FR"/>
        </w:rPr>
        <w:tab/>
        <w:t>Évaluation</w:t>
      </w:r>
    </w:p>
    <w:p w:rsidR="00B15E0A" w:rsidRPr="00B15E0A" w:rsidRDefault="00B15E0A" w:rsidP="00B15E0A">
      <w:pPr>
        <w:pStyle w:val="SingleTxt"/>
        <w:spacing w:after="0" w:line="120" w:lineRule="exact"/>
        <w:rPr>
          <w:sz w:val="10"/>
          <w:lang w:val="fr-FR"/>
        </w:rPr>
      </w:pPr>
    </w:p>
    <w:p w:rsidR="00275778" w:rsidRDefault="00275778" w:rsidP="00207762">
      <w:pPr>
        <w:pStyle w:val="SingleTxt"/>
        <w:numPr>
          <w:ilvl w:val="0"/>
          <w:numId w:val="16"/>
        </w:numPr>
        <w:tabs>
          <w:tab w:val="clear" w:pos="475"/>
          <w:tab w:val="num" w:pos="1742"/>
        </w:tabs>
        <w:ind w:left="1267"/>
        <w:rPr>
          <w:lang w:val="fr-FR"/>
        </w:rPr>
      </w:pPr>
      <w:r w:rsidRPr="00275778">
        <w:rPr>
          <w:lang w:val="fr-FR"/>
        </w:rPr>
        <w:t>Dans le cadre de l’examen indépendant des activités de la CEE, le Bureau des services de contrôle interne (BSCI) de l’ONU a choisi d’établir deux études de cas sur les domaines de travail de la Division des transports durables de la CEE. Les transports par voie navigable sont l’un de ces domaines. L’évaluation est actuellement en cours et les résultats sont attendus en mars 2016.</w:t>
      </w:r>
    </w:p>
    <w:p w:rsidR="00B15E0A" w:rsidRPr="00B15E0A" w:rsidRDefault="00B15E0A" w:rsidP="00B15E0A">
      <w:pPr>
        <w:pStyle w:val="SingleTxt"/>
        <w:spacing w:after="0" w:line="120" w:lineRule="exact"/>
        <w:rPr>
          <w:sz w:val="10"/>
          <w:lang w:val="fr-FR"/>
        </w:rPr>
      </w:pPr>
    </w:p>
    <w:p w:rsidR="00B15E0A" w:rsidRPr="00B15E0A" w:rsidRDefault="00B15E0A" w:rsidP="00B15E0A">
      <w:pPr>
        <w:pStyle w:val="SingleTxt"/>
        <w:spacing w:after="0" w:line="120" w:lineRule="exact"/>
        <w:rPr>
          <w:sz w:val="10"/>
          <w:lang w:val="fr-FR"/>
        </w:rPr>
      </w:pPr>
    </w:p>
    <w:p w:rsidR="00275778" w:rsidRDefault="00275778" w:rsidP="00B15E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75778">
        <w:rPr>
          <w:lang w:val="fr-FR"/>
        </w:rPr>
        <w:tab/>
        <w:t>IV.</w:t>
      </w:r>
      <w:r w:rsidRPr="00275778">
        <w:rPr>
          <w:lang w:val="fr-FR"/>
        </w:rPr>
        <w:tab/>
        <w:t>Contribution du SC.3 à la mise en œuvre des objectifs mo</w:t>
      </w:r>
      <w:r w:rsidR="00B15E0A">
        <w:rPr>
          <w:lang w:val="fr-FR"/>
        </w:rPr>
        <w:t>ndiaux de développement durable</w:t>
      </w:r>
    </w:p>
    <w:p w:rsidR="00B15E0A" w:rsidRPr="00B15E0A" w:rsidRDefault="00B15E0A" w:rsidP="00B15E0A">
      <w:pPr>
        <w:pStyle w:val="SingleTxt"/>
        <w:spacing w:after="0" w:line="120" w:lineRule="exact"/>
        <w:rPr>
          <w:sz w:val="10"/>
          <w:lang w:val="fr-FR"/>
        </w:rPr>
      </w:pPr>
    </w:p>
    <w:p w:rsidR="00B15E0A" w:rsidRPr="00B15E0A" w:rsidRDefault="00B15E0A" w:rsidP="00B15E0A">
      <w:pPr>
        <w:pStyle w:val="SingleTxt"/>
        <w:spacing w:after="0" w:line="120" w:lineRule="exact"/>
        <w:rPr>
          <w:sz w:val="10"/>
          <w:lang w:val="fr-FR"/>
        </w:rPr>
      </w:pPr>
    </w:p>
    <w:p w:rsidR="00275778" w:rsidRDefault="00275778" w:rsidP="00207762">
      <w:pPr>
        <w:pStyle w:val="SingleTxt"/>
        <w:numPr>
          <w:ilvl w:val="0"/>
          <w:numId w:val="16"/>
        </w:numPr>
        <w:tabs>
          <w:tab w:val="clear" w:pos="475"/>
          <w:tab w:val="num" w:pos="1742"/>
        </w:tabs>
        <w:ind w:left="1267"/>
        <w:rPr>
          <w:lang w:val="fr-FR"/>
        </w:rPr>
      </w:pPr>
      <w:r w:rsidRPr="00275778">
        <w:rPr>
          <w:lang w:val="fr-FR"/>
        </w:rPr>
        <w:t>Les activités du SC.3, qui font partie des activités de la CEE en faveur du développement durable en général et des transports durables en particulier, contribuent à la réalisation des objectifs de développement durable. Le tableau 1 ci-dessous détaille les activités actuelles et futures du SC.3 et du SC.3/WP.3 visant à mettre en œuvre ces objectifs ainsi que la relation entre ceux-ci et les recommandations générales figurant dans le Livre blanc de la CEE sur l’efficacité et la viabilité du transpor</w:t>
      </w:r>
      <w:r w:rsidR="00B15E0A">
        <w:rPr>
          <w:lang w:val="fr-FR"/>
        </w:rPr>
        <w:t>t par voie navigable en Europe.</w:t>
      </w:r>
    </w:p>
    <w:p w:rsidR="00B15E0A" w:rsidRPr="00B15E0A" w:rsidRDefault="00B15E0A" w:rsidP="00B15E0A">
      <w:pPr>
        <w:pStyle w:val="SingleTxt"/>
        <w:spacing w:after="0" w:line="120" w:lineRule="exact"/>
        <w:rPr>
          <w:sz w:val="10"/>
          <w:lang w:val="fr-FR"/>
        </w:rPr>
      </w:pPr>
    </w:p>
    <w:p w:rsidR="00275778" w:rsidRDefault="00B15E0A" w:rsidP="007161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sidRPr="00B15E0A">
        <w:rPr>
          <w:b w:val="0"/>
          <w:lang w:val="fr-FR"/>
        </w:rPr>
        <w:tab/>
      </w:r>
      <w:r w:rsidR="00275778" w:rsidRPr="00B15E0A">
        <w:rPr>
          <w:b w:val="0"/>
          <w:lang w:val="fr-FR"/>
        </w:rPr>
        <w:t>Tableau 1</w:t>
      </w:r>
      <w:r w:rsidRPr="00B15E0A">
        <w:rPr>
          <w:b w:val="0"/>
          <w:lang w:val="fr-FR"/>
        </w:rPr>
        <w:t xml:space="preserve"> </w:t>
      </w:r>
      <w:r w:rsidRPr="00B15E0A">
        <w:rPr>
          <w:b w:val="0"/>
          <w:lang w:val="fr-FR"/>
        </w:rPr>
        <w:br/>
      </w:r>
      <w:r w:rsidR="00275778" w:rsidRPr="00275778">
        <w:rPr>
          <w:lang w:val="fr-FR"/>
        </w:rPr>
        <w:t>Le SC.3 et les objectifs mondiaux de développement durable (ODD)</w:t>
      </w:r>
    </w:p>
    <w:p w:rsidR="00B92EBD" w:rsidRPr="00B15E0A" w:rsidRDefault="00B92EBD" w:rsidP="00716186">
      <w:pPr>
        <w:pStyle w:val="SingleTxt"/>
        <w:keepNext/>
        <w:keepLines/>
        <w:spacing w:after="0" w:line="120" w:lineRule="exact"/>
        <w:rPr>
          <w:sz w:val="10"/>
        </w:rPr>
      </w:pPr>
    </w:p>
    <w:p w:rsidR="00B15E0A" w:rsidRPr="00B15E0A" w:rsidRDefault="00B15E0A" w:rsidP="00716186">
      <w:pPr>
        <w:pStyle w:val="SingleTxt"/>
        <w:keepNext/>
        <w:keepLines/>
        <w:spacing w:after="0" w:line="120" w:lineRule="exact"/>
        <w:rPr>
          <w:sz w:val="10"/>
        </w:rPr>
      </w:pPr>
    </w:p>
    <w:tbl>
      <w:tblPr>
        <w:tblW w:w="8793"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8"/>
        <w:gridCol w:w="1944"/>
        <w:gridCol w:w="5481"/>
      </w:tblGrid>
      <w:tr w:rsidR="005A626C" w:rsidRPr="00707D7E" w:rsidTr="00A31AA5">
        <w:trPr>
          <w:tblHeader/>
        </w:trPr>
        <w:tc>
          <w:tcPr>
            <w:tcW w:w="1368" w:type="dxa"/>
            <w:shd w:val="clear" w:color="auto" w:fill="auto"/>
            <w:vAlign w:val="bottom"/>
          </w:tcPr>
          <w:p w:rsidR="00707D7E" w:rsidRPr="00707D7E" w:rsidRDefault="00707D7E" w:rsidP="00CF3C8A">
            <w:pPr>
              <w:tabs>
                <w:tab w:val="left" w:pos="288"/>
                <w:tab w:val="left" w:pos="576"/>
                <w:tab w:val="left" w:pos="864"/>
                <w:tab w:val="left" w:pos="1152"/>
              </w:tabs>
              <w:suppressAutoHyphens/>
              <w:spacing w:before="80" w:after="80" w:line="160" w:lineRule="exact"/>
              <w:ind w:left="43" w:right="43"/>
              <w:rPr>
                <w:i/>
                <w:sz w:val="14"/>
              </w:rPr>
            </w:pPr>
            <w:r>
              <w:rPr>
                <w:i/>
                <w:sz w:val="14"/>
              </w:rPr>
              <w:t>ODD</w:t>
            </w:r>
          </w:p>
        </w:tc>
        <w:tc>
          <w:tcPr>
            <w:tcW w:w="1944" w:type="dxa"/>
            <w:shd w:val="clear" w:color="auto" w:fill="auto"/>
            <w:vAlign w:val="bottom"/>
          </w:tcPr>
          <w:p w:rsidR="00707D7E" w:rsidRPr="00707D7E" w:rsidRDefault="00707D7E" w:rsidP="00CF3C8A">
            <w:pPr>
              <w:tabs>
                <w:tab w:val="left" w:pos="288"/>
                <w:tab w:val="left" w:pos="576"/>
                <w:tab w:val="left" w:pos="864"/>
                <w:tab w:val="left" w:pos="1152"/>
              </w:tabs>
              <w:suppressAutoHyphens/>
              <w:spacing w:before="80" w:after="80" w:line="160" w:lineRule="exact"/>
              <w:ind w:left="43" w:right="43"/>
              <w:rPr>
                <w:i/>
                <w:sz w:val="14"/>
              </w:rPr>
            </w:pPr>
            <w:r>
              <w:rPr>
                <w:i/>
                <w:sz w:val="14"/>
              </w:rPr>
              <w:t>Recommandations générales</w:t>
            </w:r>
          </w:p>
        </w:tc>
        <w:tc>
          <w:tcPr>
            <w:tcW w:w="5481" w:type="dxa"/>
            <w:shd w:val="clear" w:color="auto" w:fill="auto"/>
            <w:vAlign w:val="bottom"/>
          </w:tcPr>
          <w:p w:rsidR="00707D7E" w:rsidRPr="00B750D9" w:rsidRDefault="00707D7E" w:rsidP="00CF3C8A">
            <w:pPr>
              <w:tabs>
                <w:tab w:val="left" w:pos="288"/>
                <w:tab w:val="left" w:pos="576"/>
                <w:tab w:val="left" w:pos="864"/>
                <w:tab w:val="left" w:pos="1152"/>
              </w:tabs>
              <w:suppressAutoHyphens/>
              <w:spacing w:before="80" w:after="80" w:line="160" w:lineRule="exact"/>
              <w:ind w:left="43" w:right="43"/>
              <w:rPr>
                <w:i/>
                <w:spacing w:val="2"/>
                <w:sz w:val="14"/>
              </w:rPr>
            </w:pPr>
            <w:r w:rsidRPr="00B750D9">
              <w:rPr>
                <w:i/>
                <w:spacing w:val="2"/>
                <w:sz w:val="14"/>
              </w:rPr>
              <w:t>Activités du SC.3 et du SC.3/WP.3</w:t>
            </w:r>
          </w:p>
        </w:tc>
      </w:tr>
      <w:tr w:rsidR="005A626C" w:rsidRPr="00707D7E" w:rsidTr="00A31AA5">
        <w:tc>
          <w:tcPr>
            <w:tcW w:w="1368" w:type="dxa"/>
            <w:shd w:val="clear" w:color="auto" w:fill="auto"/>
          </w:tcPr>
          <w:p w:rsidR="00707D7E" w:rsidRPr="00707D7E" w:rsidRDefault="001F62BB" w:rsidP="00CF3C8A">
            <w:pPr>
              <w:tabs>
                <w:tab w:val="left" w:pos="288"/>
                <w:tab w:val="left" w:pos="576"/>
                <w:tab w:val="left" w:pos="864"/>
                <w:tab w:val="left" w:pos="1152"/>
              </w:tabs>
              <w:suppressAutoHyphens/>
              <w:spacing w:before="40" w:after="80"/>
              <w:ind w:left="43" w:right="43"/>
            </w:pPr>
            <w:r>
              <w:t>4, 8, 9 et 10</w:t>
            </w:r>
          </w:p>
        </w:tc>
        <w:tc>
          <w:tcPr>
            <w:tcW w:w="1944" w:type="dxa"/>
            <w:shd w:val="clear" w:color="auto" w:fill="auto"/>
          </w:tcPr>
          <w:p w:rsidR="00707D7E" w:rsidRPr="00707D7E" w:rsidRDefault="001F62BB" w:rsidP="00CF3C8A">
            <w:pPr>
              <w:tabs>
                <w:tab w:val="left" w:pos="288"/>
                <w:tab w:val="left" w:pos="576"/>
                <w:tab w:val="left" w:pos="864"/>
                <w:tab w:val="left" w:pos="1152"/>
              </w:tabs>
              <w:suppressAutoHyphens/>
              <w:spacing w:before="40" w:after="80"/>
              <w:ind w:left="43" w:right="43"/>
            </w:pPr>
            <w:r>
              <w:t>N</w:t>
            </w:r>
            <w:r w:rsidRPr="001F62BB">
              <w:rPr>
                <w:vertAlign w:val="superscript"/>
              </w:rPr>
              <w:t>o</w:t>
            </w:r>
            <w:r>
              <w:t> 5</w:t>
            </w:r>
          </w:p>
        </w:tc>
        <w:tc>
          <w:tcPr>
            <w:tcW w:w="5481" w:type="dxa"/>
            <w:shd w:val="clear" w:color="auto" w:fill="auto"/>
          </w:tcPr>
          <w:p w:rsidR="004E2578" w:rsidRDefault="001F62BB" w:rsidP="00CF3C8A">
            <w:pPr>
              <w:tabs>
                <w:tab w:val="left" w:pos="288"/>
                <w:tab w:val="left" w:pos="576"/>
                <w:tab w:val="left" w:pos="864"/>
                <w:tab w:val="left" w:pos="1152"/>
              </w:tabs>
              <w:suppressAutoHyphens/>
              <w:spacing w:before="40" w:after="80"/>
              <w:ind w:left="43" w:right="43"/>
              <w:rPr>
                <w:lang w:val="fr-FR"/>
              </w:rPr>
            </w:pPr>
            <w:r>
              <w:t>Élaboration de recommandations visant à établir au niveau paneuropéen des normes communes en matière de</w:t>
            </w:r>
            <w:r w:rsidR="00716186">
              <w:t xml:space="preserve"> </w:t>
            </w:r>
            <w:r>
              <w:t xml:space="preserve">formation des équipages des bateaux de navigation intérieure, ainsi qu’une méthode commune d’évaluation de leurs connaissances et de leur expérience; réalisation des conditions </w:t>
            </w:r>
            <w:r w:rsidRPr="001F62BB">
              <w:rPr>
                <w:lang w:val="fr-FR"/>
              </w:rPr>
              <w:t>d’une reconnaissance de leurs diplômes professionnels au niveau paneuropéen; actualisation des recommandations de la</w:t>
            </w:r>
            <w:r w:rsidR="00E510D2">
              <w:rPr>
                <w:lang w:val="fr-FR"/>
              </w:rPr>
              <w:t> </w:t>
            </w:r>
            <w:r w:rsidRPr="001F62BB">
              <w:rPr>
                <w:lang w:val="fr-FR"/>
              </w:rPr>
              <w:t>CEE relatives aux conditions de travail des membres d’équipage; introduction de nouvelles technologies dans le processus de formation et</w:t>
            </w:r>
            <w:r w:rsidR="00716186">
              <w:rPr>
                <w:lang w:val="fr-FR"/>
              </w:rPr>
              <w:t xml:space="preserve"> </w:t>
            </w:r>
            <w:r w:rsidRPr="001F62BB">
              <w:rPr>
                <w:lang w:val="fr-FR"/>
              </w:rPr>
              <w:t>d’évaluation; élaboration de recommandations relatives à la formation des équipages travaillant su</w:t>
            </w:r>
            <w:r w:rsidR="00196FFE">
              <w:rPr>
                <w:lang w:val="fr-FR"/>
              </w:rPr>
              <w:t>r de nouveaux types de bateaux</w:t>
            </w:r>
          </w:p>
          <w:p w:rsidR="00707D7E" w:rsidRPr="00707D7E" w:rsidRDefault="001F62BB" w:rsidP="00CF3C8A">
            <w:pPr>
              <w:tabs>
                <w:tab w:val="left" w:pos="288"/>
                <w:tab w:val="left" w:pos="576"/>
                <w:tab w:val="left" w:pos="864"/>
                <w:tab w:val="left" w:pos="1152"/>
              </w:tabs>
              <w:suppressAutoHyphens/>
              <w:spacing w:before="40" w:after="80"/>
              <w:ind w:left="43" w:right="43"/>
            </w:pPr>
            <w:r w:rsidRPr="001F62BB">
              <w:rPr>
                <w:lang w:val="fr-FR"/>
              </w:rPr>
              <w:t>La plupart de ces questions sont intégrées à l’ordre du</w:t>
            </w:r>
            <w:r w:rsidR="00662160">
              <w:rPr>
                <w:lang w:val="fr-FR"/>
              </w:rPr>
              <w:t xml:space="preserve"> </w:t>
            </w:r>
            <w:r w:rsidRPr="001F62BB">
              <w:rPr>
                <w:lang w:val="fr-FR"/>
              </w:rPr>
              <w:t>jour du</w:t>
            </w:r>
            <w:r w:rsidR="00716186">
              <w:rPr>
                <w:lang w:val="fr-FR"/>
              </w:rPr>
              <w:t> </w:t>
            </w:r>
            <w:r w:rsidRPr="006B16EE">
              <w:t>Groupe</w:t>
            </w:r>
            <w:r w:rsidRPr="001F62BB">
              <w:rPr>
                <w:lang w:val="fr-FR"/>
              </w:rPr>
              <w:t xml:space="preserve"> international d’experts chargé de la reconnaissance réciproque des certificats de conducteur de bateau et de l’harmonisation des prescriptions en matière de qualifications professionnelles dans le</w:t>
            </w:r>
            <w:r w:rsidR="00662160">
              <w:rPr>
                <w:lang w:val="fr-FR"/>
              </w:rPr>
              <w:t xml:space="preserve"> </w:t>
            </w:r>
            <w:r w:rsidRPr="001F62BB">
              <w:rPr>
                <w:lang w:val="fr-FR"/>
              </w:rPr>
              <w:t>domaine de la navigation intérieure</w:t>
            </w:r>
            <w:r w:rsidR="00196FFE">
              <w:rPr>
                <w:lang w:val="fr-FR"/>
              </w:rPr>
              <w:t>.</w:t>
            </w:r>
          </w:p>
        </w:tc>
      </w:tr>
      <w:tr w:rsidR="005A626C" w:rsidRPr="00707D7E" w:rsidTr="00A31AA5">
        <w:tc>
          <w:tcPr>
            <w:tcW w:w="1368" w:type="dxa"/>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t>7 et 9</w:t>
            </w:r>
          </w:p>
        </w:tc>
        <w:tc>
          <w:tcPr>
            <w:tcW w:w="1944" w:type="dxa"/>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t>N</w:t>
            </w:r>
            <w:r w:rsidRPr="001F62BB">
              <w:rPr>
                <w:vertAlign w:val="superscript"/>
              </w:rPr>
              <w:t>o</w:t>
            </w:r>
            <w:r>
              <w:rPr>
                <w:vertAlign w:val="superscript"/>
              </w:rPr>
              <w:t>s</w:t>
            </w:r>
            <w:r>
              <w:t> 1, 2 et 3</w:t>
            </w:r>
          </w:p>
        </w:tc>
        <w:tc>
          <w:tcPr>
            <w:tcW w:w="5481" w:type="dxa"/>
            <w:shd w:val="clear" w:color="auto" w:fill="auto"/>
          </w:tcPr>
          <w:p w:rsidR="00707D7E" w:rsidRPr="00707D7E" w:rsidRDefault="00662160" w:rsidP="00E510D2">
            <w:pPr>
              <w:tabs>
                <w:tab w:val="left" w:pos="288"/>
                <w:tab w:val="left" w:pos="576"/>
                <w:tab w:val="left" w:pos="864"/>
                <w:tab w:val="left" w:pos="1152"/>
              </w:tabs>
              <w:suppressAutoHyphens/>
              <w:spacing w:before="40" w:after="80"/>
              <w:ind w:left="43" w:right="43"/>
            </w:pPr>
            <w:r w:rsidRPr="00662160">
              <w:rPr>
                <w:lang w:val="fr-FR"/>
              </w:rPr>
              <w:t>Prescriptions techniques applicables aux bateaux</w:t>
            </w:r>
            <w:r>
              <w:rPr>
                <w:lang w:val="fr-FR"/>
              </w:rPr>
              <w:t> </w:t>
            </w:r>
            <w:r w:rsidRPr="00662160">
              <w:rPr>
                <w:lang w:val="fr-FR"/>
              </w:rPr>
              <w:t>: élaboration de prescriptions applicables à de nouveaux types de bateaux (utilisant le GNL, l’énergie solaire ou des sources d’énergie combinées); introduction de technologies innovantes dans ce</w:t>
            </w:r>
            <w:r w:rsidR="00E510D2">
              <w:rPr>
                <w:lang w:val="fr-FR"/>
              </w:rPr>
              <w:t> </w:t>
            </w:r>
            <w:r w:rsidRPr="00662160">
              <w:rPr>
                <w:lang w:val="fr-FR"/>
              </w:rPr>
              <w:t>secteur; appui à de nouveaux plans de développement des</w:t>
            </w:r>
            <w:r w:rsidR="00E510D2">
              <w:rPr>
                <w:lang w:val="fr-FR"/>
              </w:rPr>
              <w:t> </w:t>
            </w:r>
            <w:r w:rsidRPr="006B16EE">
              <w:t>infrastructures</w:t>
            </w:r>
            <w:r w:rsidRPr="00662160">
              <w:rPr>
                <w:lang w:val="fr-FR"/>
              </w:rPr>
              <w:t xml:space="preserve"> prenant en compte les nouveaux types de bateaux; promotion de la navigation fluviomaritime au moyen de l’actualisation des recommandations de la CEE pour le type de bateaux correspondant, y compris l’intégration des routes côtières dans l’Accord européen sur les grandes voies navigables d’importance internationale; promotion de la poursuite du développement des services d’information fluviale</w:t>
            </w:r>
          </w:p>
        </w:tc>
      </w:tr>
      <w:tr w:rsidR="005A626C" w:rsidRPr="00707D7E" w:rsidTr="00D84BFA">
        <w:tc>
          <w:tcPr>
            <w:tcW w:w="1368" w:type="dxa"/>
            <w:tcBorders>
              <w:bottom w:val="single" w:sz="4" w:space="0" w:color="auto"/>
            </w:tcBorders>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t>9 et</w:t>
            </w:r>
            <w:r w:rsidRPr="00196FFE">
              <w:t xml:space="preserve"> 11</w:t>
            </w:r>
          </w:p>
        </w:tc>
        <w:tc>
          <w:tcPr>
            <w:tcW w:w="1944" w:type="dxa"/>
            <w:tcBorders>
              <w:bottom w:val="single" w:sz="4" w:space="0" w:color="auto"/>
            </w:tcBorders>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t>N</w:t>
            </w:r>
            <w:r w:rsidRPr="001F62BB">
              <w:rPr>
                <w:vertAlign w:val="superscript"/>
              </w:rPr>
              <w:t>o</w:t>
            </w:r>
            <w:r>
              <w:rPr>
                <w:vertAlign w:val="superscript"/>
              </w:rPr>
              <w:t>s</w:t>
            </w:r>
            <w:r>
              <w:t> 2, 3 et 7</w:t>
            </w:r>
          </w:p>
        </w:tc>
        <w:tc>
          <w:tcPr>
            <w:tcW w:w="5481" w:type="dxa"/>
            <w:tcBorders>
              <w:bottom w:val="single" w:sz="4" w:space="0" w:color="auto"/>
            </w:tcBorders>
            <w:shd w:val="clear" w:color="auto" w:fill="auto"/>
          </w:tcPr>
          <w:p w:rsidR="00707D7E" w:rsidRPr="00707D7E" w:rsidRDefault="007D06BD" w:rsidP="00CF3C8A">
            <w:pPr>
              <w:tabs>
                <w:tab w:val="left" w:pos="288"/>
                <w:tab w:val="left" w:pos="576"/>
                <w:tab w:val="left" w:pos="864"/>
                <w:tab w:val="left" w:pos="1152"/>
              </w:tabs>
              <w:suppressAutoHyphens/>
              <w:spacing w:before="40" w:after="80"/>
              <w:ind w:left="43" w:right="43"/>
            </w:pPr>
            <w:r w:rsidRPr="007D06BD">
              <w:rPr>
                <w:lang w:val="fr-FR"/>
              </w:rPr>
              <w:t>Élaboration de recommandations de la CEE relatives aux</w:t>
            </w:r>
            <w:r w:rsidR="00716186">
              <w:rPr>
                <w:lang w:val="fr-FR"/>
              </w:rPr>
              <w:t xml:space="preserve"> </w:t>
            </w:r>
            <w:r w:rsidRPr="007D06BD">
              <w:rPr>
                <w:lang w:val="fr-FR"/>
              </w:rPr>
              <w:t>menues embarcations et bateaux de plaisance, aux bateaux utilisés dans les ports, en milieu urbain, pour les connexions intra-</w:t>
            </w:r>
            <w:r w:rsidRPr="006B16EE">
              <w:t>urbaines</w:t>
            </w:r>
            <w:r w:rsidRPr="007D06BD">
              <w:rPr>
                <w:lang w:val="fr-FR"/>
              </w:rPr>
              <w:t xml:space="preserve"> et suburbaines, et aux bateaux à passagers pour des excursions d’une journée; actualisation des prescriptions en matière de prévention de la pollution de l’environnement par les bateaux de navigation intérieure; promotion de la </w:t>
            </w:r>
            <w:r>
              <w:rPr>
                <w:lang w:val="fr-FR"/>
              </w:rPr>
              <w:t xml:space="preserve">participation des </w:t>
            </w:r>
            <w:r w:rsidRPr="007D06BD">
              <w:rPr>
                <w:lang w:val="fr-FR"/>
              </w:rPr>
              <w:t>États membres à des activités dans le cadre du projet ForFITS et de la mise en commun de leurs expériences lors des sessions du SC.3 et du SC.3/WP.3; suivi régulier de la mise en œuvre du CEVNI par les États membres</w:t>
            </w:r>
          </w:p>
        </w:tc>
      </w:tr>
      <w:tr w:rsidR="005A626C" w:rsidRPr="00707D7E" w:rsidTr="00D84BFA">
        <w:tc>
          <w:tcPr>
            <w:tcW w:w="1368" w:type="dxa"/>
            <w:tcBorders>
              <w:bottom w:val="single" w:sz="4" w:space="0" w:color="auto"/>
            </w:tcBorders>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t>8, 9, 10</w:t>
            </w:r>
            <w:r w:rsidRPr="00196FFE">
              <w:t xml:space="preserve"> et</w:t>
            </w:r>
            <w:r>
              <w:t xml:space="preserve"> 11</w:t>
            </w:r>
          </w:p>
        </w:tc>
        <w:tc>
          <w:tcPr>
            <w:tcW w:w="1944" w:type="dxa"/>
            <w:tcBorders>
              <w:bottom w:val="single" w:sz="4" w:space="0" w:color="auto"/>
            </w:tcBorders>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t>N</w:t>
            </w:r>
            <w:r w:rsidRPr="001F62BB">
              <w:rPr>
                <w:vertAlign w:val="superscript"/>
              </w:rPr>
              <w:t>o</w:t>
            </w:r>
            <w:r>
              <w:rPr>
                <w:vertAlign w:val="superscript"/>
              </w:rPr>
              <w:t>s</w:t>
            </w:r>
            <w:r>
              <w:t> 1, 2, 4 et 7</w:t>
            </w:r>
          </w:p>
        </w:tc>
        <w:tc>
          <w:tcPr>
            <w:tcW w:w="5481" w:type="dxa"/>
            <w:tcBorders>
              <w:bottom w:val="single" w:sz="4" w:space="0" w:color="auto"/>
            </w:tcBorders>
            <w:shd w:val="clear" w:color="auto" w:fill="auto"/>
          </w:tcPr>
          <w:p w:rsidR="00707D7E" w:rsidRPr="00707D7E" w:rsidRDefault="007D06BD" w:rsidP="00CF3C8A">
            <w:pPr>
              <w:tabs>
                <w:tab w:val="left" w:pos="288"/>
                <w:tab w:val="left" w:pos="576"/>
                <w:tab w:val="left" w:pos="864"/>
                <w:tab w:val="left" w:pos="1152"/>
              </w:tabs>
              <w:suppressAutoHyphens/>
              <w:spacing w:before="40" w:after="80"/>
              <w:ind w:left="43" w:right="43"/>
            </w:pPr>
            <w:r w:rsidRPr="007D06BD">
              <w:rPr>
                <w:lang w:val="fr-FR"/>
              </w:rPr>
              <w:t xml:space="preserve">Réalisation de plans proposés par l’AGN visant à la poursuite du </w:t>
            </w:r>
            <w:r w:rsidRPr="006B16EE">
              <w:t>développement</w:t>
            </w:r>
            <w:r w:rsidRPr="007D06BD">
              <w:rPr>
                <w:lang w:val="fr-FR"/>
              </w:rPr>
              <w:t xml:space="preserve"> des couloirs de transport; poursuite de l’intégration des transports par voie navigable dans des chaînes intermodales sûres afin de garantir aux États membres de la CEE des opportunités actualisées et égales pour tous</w:t>
            </w:r>
          </w:p>
        </w:tc>
      </w:tr>
      <w:tr w:rsidR="005A626C" w:rsidRPr="00707D7E" w:rsidTr="00D84BFA">
        <w:tc>
          <w:tcPr>
            <w:tcW w:w="1368" w:type="dxa"/>
            <w:tcBorders>
              <w:top w:val="single" w:sz="4" w:space="0" w:color="auto"/>
            </w:tcBorders>
            <w:shd w:val="clear" w:color="auto" w:fill="auto"/>
          </w:tcPr>
          <w:p w:rsidR="00707D7E" w:rsidRPr="00707D7E" w:rsidRDefault="008B6D9E" w:rsidP="00CF3C8A">
            <w:pPr>
              <w:keepNext/>
              <w:tabs>
                <w:tab w:val="left" w:pos="288"/>
                <w:tab w:val="left" w:pos="576"/>
                <w:tab w:val="left" w:pos="864"/>
                <w:tab w:val="left" w:pos="1152"/>
              </w:tabs>
              <w:suppressAutoHyphens/>
              <w:spacing w:before="40" w:after="80"/>
              <w:ind w:left="43" w:right="43"/>
            </w:pPr>
            <w:r>
              <w:t>13 et 14</w:t>
            </w:r>
          </w:p>
        </w:tc>
        <w:tc>
          <w:tcPr>
            <w:tcW w:w="1944" w:type="dxa"/>
            <w:tcBorders>
              <w:top w:val="single" w:sz="4" w:space="0" w:color="auto"/>
            </w:tcBorders>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t>N</w:t>
            </w:r>
            <w:r w:rsidRPr="001F62BB">
              <w:rPr>
                <w:vertAlign w:val="superscript"/>
              </w:rPr>
              <w:t>o</w:t>
            </w:r>
            <w:r>
              <w:t> 6</w:t>
            </w:r>
          </w:p>
        </w:tc>
        <w:tc>
          <w:tcPr>
            <w:tcW w:w="5481" w:type="dxa"/>
            <w:tcBorders>
              <w:top w:val="single" w:sz="4" w:space="0" w:color="auto"/>
            </w:tcBorders>
            <w:shd w:val="clear" w:color="auto" w:fill="auto"/>
          </w:tcPr>
          <w:p w:rsidR="00707D7E" w:rsidRPr="00707D7E" w:rsidRDefault="007D06BD" w:rsidP="00CF3C8A">
            <w:pPr>
              <w:tabs>
                <w:tab w:val="left" w:pos="288"/>
                <w:tab w:val="left" w:pos="576"/>
                <w:tab w:val="left" w:pos="864"/>
                <w:tab w:val="left" w:pos="1152"/>
              </w:tabs>
              <w:suppressAutoHyphens/>
              <w:spacing w:before="40" w:after="80"/>
              <w:ind w:left="43" w:right="43"/>
            </w:pPr>
            <w:r w:rsidRPr="007D06BD">
              <w:rPr>
                <w:lang w:val="fr-FR"/>
              </w:rPr>
              <w:t>Poursuite de l’élaboration et de l’actualisation de</w:t>
            </w:r>
            <w:r w:rsidR="00716186">
              <w:rPr>
                <w:lang w:val="fr-FR"/>
              </w:rPr>
              <w:t xml:space="preserve"> </w:t>
            </w:r>
            <w:r w:rsidRPr="007D06BD">
              <w:rPr>
                <w:lang w:val="fr-FR"/>
              </w:rPr>
              <w:t>dispositions visant à prévenir la pollution de l’environnement par les bateaux, notamment en matière de collecte et de traitement des eaux contenant des</w:t>
            </w:r>
            <w:r>
              <w:rPr>
                <w:lang w:val="fr-FR"/>
              </w:rPr>
              <w:t xml:space="preserve"> </w:t>
            </w:r>
            <w:r w:rsidRPr="007D06BD">
              <w:rPr>
                <w:lang w:val="fr-FR"/>
              </w:rPr>
              <w:t xml:space="preserve">hydrocarbures et de transport et de traitement des marchandises dangereuses par bateaux de navigation </w:t>
            </w:r>
            <w:r w:rsidRPr="006B16EE">
              <w:t>intérieure</w:t>
            </w:r>
            <w:r w:rsidRPr="007D06BD">
              <w:rPr>
                <w:lang w:val="fr-FR"/>
              </w:rPr>
              <w:t xml:space="preserve"> et dans les ports, ou visant à</w:t>
            </w:r>
            <w:r>
              <w:rPr>
                <w:lang w:val="fr-FR"/>
              </w:rPr>
              <w:t xml:space="preserve"> </w:t>
            </w:r>
            <w:r w:rsidRPr="007D06BD">
              <w:rPr>
                <w:lang w:val="fr-FR"/>
              </w:rPr>
              <w:t>prévenir la pollution des eaux par les eaux usées et</w:t>
            </w:r>
            <w:r>
              <w:rPr>
                <w:lang w:val="fr-FR"/>
              </w:rPr>
              <w:t xml:space="preserve"> </w:t>
            </w:r>
            <w:r w:rsidRPr="007D06BD">
              <w:rPr>
                <w:lang w:val="fr-FR"/>
              </w:rPr>
              <w:t>les</w:t>
            </w:r>
            <w:r>
              <w:rPr>
                <w:lang w:val="fr-FR"/>
              </w:rPr>
              <w:t xml:space="preserve"> </w:t>
            </w:r>
            <w:r w:rsidRPr="007D06BD">
              <w:rPr>
                <w:lang w:val="fr-FR"/>
              </w:rPr>
              <w:t>déchets provenant des bateaux, la pollution de</w:t>
            </w:r>
            <w:r>
              <w:rPr>
                <w:lang w:val="fr-FR"/>
              </w:rPr>
              <w:t xml:space="preserve"> </w:t>
            </w:r>
            <w:r w:rsidRPr="007D06BD">
              <w:rPr>
                <w:lang w:val="fr-FR"/>
              </w:rPr>
              <w:t>l’air par les</w:t>
            </w:r>
            <w:r>
              <w:rPr>
                <w:lang w:val="fr-FR"/>
              </w:rPr>
              <w:t xml:space="preserve"> </w:t>
            </w:r>
            <w:r w:rsidRPr="007D06BD">
              <w:rPr>
                <w:lang w:val="fr-FR"/>
              </w:rPr>
              <w:t>émissions des moteurs, la pollution sonore, la pollution électromagnétique, etc.; prise en considération du</w:t>
            </w:r>
            <w:r>
              <w:rPr>
                <w:lang w:val="fr-FR"/>
              </w:rPr>
              <w:t xml:space="preserve"> </w:t>
            </w:r>
            <w:r w:rsidRPr="007D06BD">
              <w:rPr>
                <w:lang w:val="fr-FR"/>
              </w:rPr>
              <w:t>changement climatique et de son incidence sur le transport par voie navigable dans le</w:t>
            </w:r>
            <w:r>
              <w:rPr>
                <w:lang w:val="fr-FR"/>
              </w:rPr>
              <w:t xml:space="preserve"> </w:t>
            </w:r>
            <w:r w:rsidRPr="007D06BD">
              <w:rPr>
                <w:lang w:val="fr-FR"/>
              </w:rPr>
              <w:t>cadre des activités futures du SC.3</w:t>
            </w:r>
          </w:p>
        </w:tc>
      </w:tr>
      <w:tr w:rsidR="005A626C" w:rsidRPr="00707D7E" w:rsidTr="00A31AA5">
        <w:tc>
          <w:tcPr>
            <w:tcW w:w="1368" w:type="dxa"/>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t>16 et 17</w:t>
            </w:r>
          </w:p>
        </w:tc>
        <w:tc>
          <w:tcPr>
            <w:tcW w:w="1944" w:type="dxa"/>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t>N</w:t>
            </w:r>
            <w:r w:rsidRPr="001F62BB">
              <w:rPr>
                <w:vertAlign w:val="superscript"/>
              </w:rPr>
              <w:t>o</w:t>
            </w:r>
            <w:r>
              <w:t> 7</w:t>
            </w:r>
          </w:p>
        </w:tc>
        <w:tc>
          <w:tcPr>
            <w:tcW w:w="5481" w:type="dxa"/>
            <w:shd w:val="clear" w:color="auto" w:fill="auto"/>
          </w:tcPr>
          <w:p w:rsidR="00707D7E" w:rsidRPr="00707D7E" w:rsidRDefault="007D06BD" w:rsidP="001D2D00">
            <w:pPr>
              <w:tabs>
                <w:tab w:val="left" w:pos="288"/>
                <w:tab w:val="left" w:pos="576"/>
                <w:tab w:val="left" w:pos="864"/>
                <w:tab w:val="left" w:pos="1152"/>
              </w:tabs>
              <w:suppressAutoHyphens/>
              <w:spacing w:before="40" w:after="80"/>
              <w:ind w:left="43" w:right="43"/>
            </w:pPr>
            <w:r w:rsidRPr="007D06BD">
              <w:rPr>
                <w:lang w:val="fr-FR"/>
              </w:rPr>
              <w:t xml:space="preserve">Poursuite des travaux visant à établir un régime juridique commun, analyse des obstacles </w:t>
            </w:r>
            <w:r w:rsidR="00E510D2">
              <w:rPr>
                <w:lang w:val="fr-FR"/>
              </w:rPr>
              <w:t>législatifs qui s’y opposent et </w:t>
            </w:r>
            <w:r w:rsidRPr="007D06BD">
              <w:rPr>
                <w:lang w:val="fr-FR"/>
              </w:rPr>
              <w:t>formulation de propositions visant à harmoniser le cadre institutionnel et réglementaire au</w:t>
            </w:r>
            <w:r w:rsidR="00E510D2">
              <w:rPr>
                <w:lang w:val="fr-FR"/>
              </w:rPr>
              <w:t xml:space="preserve"> </w:t>
            </w:r>
            <w:r w:rsidRPr="007D06BD">
              <w:rPr>
                <w:lang w:val="fr-FR"/>
              </w:rPr>
              <w:t>niveau paneuropéen; poursuite des consultations avec l’Union européenne, les commissions fluviales, les États membres et les autres acteurs du secteur; suivi des conventions internationales ayant trait au</w:t>
            </w:r>
            <w:r w:rsidR="00E510D2">
              <w:rPr>
                <w:lang w:val="fr-FR"/>
              </w:rPr>
              <w:t> </w:t>
            </w:r>
            <w:r w:rsidRPr="007D06BD">
              <w:rPr>
                <w:lang w:val="fr-FR"/>
              </w:rPr>
              <w:t>transport par voie navigable et promotion de leur mise en œuvre dans la région de la CEE et au-delà; poursuite des travaux visant à renforcer l’application des recommandations de</w:t>
            </w:r>
            <w:r w:rsidR="00E510D2">
              <w:rPr>
                <w:lang w:val="fr-FR"/>
              </w:rPr>
              <w:t xml:space="preserve"> </w:t>
            </w:r>
            <w:r w:rsidRPr="007D06BD">
              <w:rPr>
                <w:lang w:val="fr-FR"/>
              </w:rPr>
              <w:t xml:space="preserve">la CEE (CEVNI, Résolution </w:t>
            </w:r>
            <w:r>
              <w:rPr>
                <w:lang w:val="fr-FR"/>
              </w:rPr>
              <w:t>n</w:t>
            </w:r>
            <w:r w:rsidRPr="007D06BD">
              <w:rPr>
                <w:vertAlign w:val="superscript"/>
                <w:lang w:val="fr-FR"/>
              </w:rPr>
              <w:t>o</w:t>
            </w:r>
            <w:r>
              <w:rPr>
                <w:lang w:val="fr-FR"/>
              </w:rPr>
              <w:t> </w:t>
            </w:r>
            <w:r w:rsidRPr="007D06BD">
              <w:rPr>
                <w:lang w:val="fr-FR"/>
              </w:rPr>
              <w:t>61,</w:t>
            </w:r>
            <w:r w:rsidR="001D2D00">
              <w:rPr>
                <w:lang w:val="fr-FR"/>
              </w:rPr>
              <w:t xml:space="preserve"> </w:t>
            </w:r>
            <w:r w:rsidRPr="007D06BD">
              <w:rPr>
                <w:lang w:val="fr-FR"/>
              </w:rPr>
              <w:t>etc.)</w:t>
            </w:r>
          </w:p>
        </w:tc>
      </w:tr>
      <w:tr w:rsidR="005A626C" w:rsidRPr="00707D7E" w:rsidTr="00A31AA5">
        <w:tc>
          <w:tcPr>
            <w:tcW w:w="1368" w:type="dxa"/>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t>17</w:t>
            </w:r>
          </w:p>
        </w:tc>
        <w:tc>
          <w:tcPr>
            <w:tcW w:w="1944" w:type="dxa"/>
            <w:shd w:val="clear" w:color="auto" w:fill="auto"/>
          </w:tcPr>
          <w:p w:rsidR="00707D7E" w:rsidRPr="00707D7E" w:rsidRDefault="008B6D9E" w:rsidP="00CF3C8A">
            <w:pPr>
              <w:tabs>
                <w:tab w:val="left" w:pos="288"/>
                <w:tab w:val="left" w:pos="576"/>
                <w:tab w:val="left" w:pos="864"/>
                <w:tab w:val="left" w:pos="1152"/>
              </w:tabs>
              <w:suppressAutoHyphens/>
              <w:spacing w:before="40" w:after="80"/>
              <w:ind w:left="43" w:right="43"/>
            </w:pPr>
            <w:r w:rsidRPr="005A626C">
              <w:rPr>
                <w:spacing w:val="0"/>
              </w:rPr>
              <w:t xml:space="preserve">Toutes les </w:t>
            </w:r>
            <w:r w:rsidRPr="006B16EE">
              <w:t>recommandations</w:t>
            </w:r>
            <w:r>
              <w:t xml:space="preserve"> générales</w:t>
            </w:r>
          </w:p>
        </w:tc>
        <w:tc>
          <w:tcPr>
            <w:tcW w:w="5481" w:type="dxa"/>
            <w:shd w:val="clear" w:color="auto" w:fill="auto"/>
          </w:tcPr>
          <w:p w:rsidR="00707D7E" w:rsidRPr="00707D7E" w:rsidRDefault="007D06BD" w:rsidP="00CF3C8A">
            <w:pPr>
              <w:tabs>
                <w:tab w:val="left" w:pos="288"/>
                <w:tab w:val="left" w:pos="576"/>
                <w:tab w:val="left" w:pos="864"/>
                <w:tab w:val="left" w:pos="1152"/>
              </w:tabs>
              <w:suppressAutoHyphens/>
              <w:spacing w:before="40" w:after="80"/>
              <w:ind w:left="43" w:right="43"/>
            </w:pPr>
            <w:r w:rsidRPr="007D06BD">
              <w:rPr>
                <w:lang w:val="fr-FR"/>
              </w:rPr>
              <w:t>Appui à l’échange d’expériences et de bonnes pratiques en</w:t>
            </w:r>
            <w:r w:rsidR="00716186">
              <w:rPr>
                <w:lang w:val="fr-FR"/>
              </w:rPr>
              <w:t> </w:t>
            </w:r>
            <w:r w:rsidRPr="007D06BD">
              <w:rPr>
                <w:lang w:val="fr-FR"/>
              </w:rPr>
              <w:t xml:space="preserve">tenant un rôle d’instance représentative et sans exclusive; fourniture de conseils sur les moyens de relever les défis en matière de développement des transports par voie navigable; conduite et promotion d’études sur la situation et les tendances de la </w:t>
            </w:r>
            <w:r w:rsidRPr="006B16EE">
              <w:t>navigation</w:t>
            </w:r>
            <w:r w:rsidRPr="007D06BD">
              <w:rPr>
                <w:lang w:val="fr-FR"/>
              </w:rPr>
              <w:t xml:space="preserve"> intérieure en vue de fournir aux gouvernements des renseignements et données de base actualisés concernant les transports par voie navigable; poursuite des travaux sur les documents d’orientation (livres blancs, inventaires des obstacles, etc.) relatifs au transport par voie navigable en vue d’informer le public sur les avantages de ce mode de transport et les problèmes qui se posent concernant son développement; organisation d’une conférence internationale sur les questions de transport par voie navigable et exécution de son suivi afin d’impliquer de nouveaux pays, les commissions fluviales et d’autres acteurs dans la coopération sur les questions ayant trait aux transports par voie navigable</w:t>
            </w:r>
          </w:p>
        </w:tc>
      </w:tr>
    </w:tbl>
    <w:p w:rsidR="00707D7E" w:rsidRPr="00716186" w:rsidRDefault="00707D7E" w:rsidP="00716186">
      <w:pPr>
        <w:pStyle w:val="SingleTxt"/>
        <w:spacing w:after="0" w:line="120" w:lineRule="exact"/>
        <w:rPr>
          <w:sz w:val="10"/>
        </w:rPr>
      </w:pPr>
    </w:p>
    <w:p w:rsidR="00716186" w:rsidRPr="00716186" w:rsidRDefault="00716186" w:rsidP="00716186">
      <w:pPr>
        <w:pStyle w:val="SingleTxt"/>
        <w:spacing w:after="0" w:line="120" w:lineRule="exact"/>
        <w:rPr>
          <w:sz w:val="10"/>
        </w:rPr>
      </w:pPr>
    </w:p>
    <w:p w:rsidR="00716186" w:rsidRPr="00716186" w:rsidRDefault="00716186" w:rsidP="00716186">
      <w:pPr>
        <w:pStyle w:val="SingleTxt"/>
        <w:spacing w:after="0" w:line="120" w:lineRule="exact"/>
        <w:rPr>
          <w:sz w:val="10"/>
        </w:rPr>
      </w:pPr>
    </w:p>
    <w:p w:rsidR="00716186" w:rsidRDefault="00716186" w:rsidP="007161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16186">
        <w:rPr>
          <w:lang w:val="fr-FR"/>
        </w:rPr>
        <w:tab/>
        <w:t>V.</w:t>
      </w:r>
      <w:r w:rsidRPr="00716186">
        <w:rPr>
          <w:lang w:val="fr-FR"/>
        </w:rPr>
        <w:tab/>
        <w:t>Analyse MOFF des activités du SC.3 et du SC.3/WP.3</w:t>
      </w:r>
    </w:p>
    <w:p w:rsidR="00716186" w:rsidRPr="00716186" w:rsidRDefault="00716186" w:rsidP="00716186">
      <w:pPr>
        <w:pStyle w:val="SingleTxt"/>
        <w:spacing w:after="0" w:line="120" w:lineRule="exact"/>
        <w:rPr>
          <w:sz w:val="10"/>
          <w:lang w:val="fr-FR"/>
        </w:rPr>
      </w:pPr>
    </w:p>
    <w:p w:rsidR="00716186" w:rsidRPr="00716186" w:rsidRDefault="00716186" w:rsidP="00716186">
      <w:pPr>
        <w:pStyle w:val="SingleTxt"/>
        <w:spacing w:after="0" w:line="120" w:lineRule="exact"/>
        <w:rPr>
          <w:sz w:val="10"/>
          <w:lang w:val="fr-FR"/>
        </w:rPr>
      </w:pPr>
    </w:p>
    <w:p w:rsidR="00716186" w:rsidRDefault="00716186" w:rsidP="00207762">
      <w:pPr>
        <w:pStyle w:val="SingleTxt"/>
        <w:numPr>
          <w:ilvl w:val="0"/>
          <w:numId w:val="16"/>
        </w:numPr>
        <w:tabs>
          <w:tab w:val="clear" w:pos="475"/>
          <w:tab w:val="num" w:pos="1742"/>
        </w:tabs>
        <w:ind w:left="1267"/>
        <w:rPr>
          <w:lang w:val="fr-FR"/>
        </w:rPr>
      </w:pPr>
      <w:r w:rsidRPr="00716186">
        <w:rPr>
          <w:lang w:val="fr-FR"/>
        </w:rPr>
        <w:t>L’analyse en termes de menaces, d’opportunités, de forces et de faiblesses (MOFF) des activités du SC.3 et du SC.3/WP.3 figure dans le tableau 2 ci-après.</w:t>
      </w:r>
    </w:p>
    <w:p w:rsidR="00716186" w:rsidRPr="00716186" w:rsidRDefault="00716186" w:rsidP="00716186">
      <w:pPr>
        <w:pStyle w:val="SingleTxt"/>
        <w:spacing w:after="0" w:line="120" w:lineRule="exact"/>
        <w:rPr>
          <w:sz w:val="10"/>
          <w:lang w:val="fr-FR"/>
        </w:rPr>
      </w:pPr>
    </w:p>
    <w:p w:rsidR="00716186" w:rsidRDefault="00716186" w:rsidP="00A31A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16186">
        <w:rPr>
          <w:b w:val="0"/>
          <w:lang w:val="fr-FR"/>
        </w:rPr>
        <w:tab/>
        <w:t xml:space="preserve">Tableau 2 </w:t>
      </w:r>
      <w:r w:rsidRPr="00716186">
        <w:rPr>
          <w:b w:val="0"/>
          <w:lang w:val="fr-FR"/>
        </w:rPr>
        <w:br/>
      </w:r>
      <w:r w:rsidRPr="00716186">
        <w:rPr>
          <w:lang w:val="fr-FR"/>
        </w:rPr>
        <w:t>Analyse MOFF</w:t>
      </w:r>
      <w:r w:rsidRPr="00CF3C8A">
        <w:rPr>
          <w:lang w:val="fr-CH"/>
        </w:rPr>
        <w:t xml:space="preserve"> </w:t>
      </w:r>
      <w:r w:rsidRPr="00716186">
        <w:rPr>
          <w:lang w:val="fr-FR"/>
        </w:rPr>
        <w:t>des activités du SC.3 et du SC.3/WP.3</w:t>
      </w:r>
    </w:p>
    <w:p w:rsidR="00716186" w:rsidRPr="00716186" w:rsidRDefault="00716186" w:rsidP="00A31AA5">
      <w:pPr>
        <w:pStyle w:val="SingleTxt"/>
        <w:keepNext/>
        <w:keepLines/>
        <w:spacing w:after="0" w:line="120" w:lineRule="exact"/>
        <w:rPr>
          <w:sz w:val="10"/>
          <w:lang w:val="fr-FR"/>
        </w:rPr>
      </w:pPr>
    </w:p>
    <w:p w:rsidR="00716186" w:rsidRPr="00716186" w:rsidRDefault="00716186" w:rsidP="00A31AA5">
      <w:pPr>
        <w:pStyle w:val="SingleTxt"/>
        <w:keepNext/>
        <w:keepLines/>
        <w:spacing w:after="0" w:line="120" w:lineRule="exact"/>
        <w:rPr>
          <w:sz w:val="10"/>
          <w:lang w:val="fr-FR"/>
        </w:rPr>
      </w:pPr>
    </w:p>
    <w:tbl>
      <w:tblPr>
        <w:tblW w:w="87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9"/>
        <w:gridCol w:w="4399"/>
      </w:tblGrid>
      <w:tr w:rsidR="00B5714A" w:rsidRPr="00B5714A" w:rsidTr="00CF3C8A">
        <w:tc>
          <w:tcPr>
            <w:tcW w:w="4399" w:type="dxa"/>
            <w:shd w:val="clear" w:color="auto" w:fill="auto"/>
            <w:vAlign w:val="bottom"/>
          </w:tcPr>
          <w:p w:rsidR="00B5714A" w:rsidRPr="00B5714A" w:rsidRDefault="00B5714A" w:rsidP="00CF3C8A">
            <w:pPr>
              <w:tabs>
                <w:tab w:val="left" w:pos="288"/>
                <w:tab w:val="left" w:pos="576"/>
                <w:tab w:val="left" w:pos="864"/>
                <w:tab w:val="left" w:pos="1152"/>
              </w:tabs>
              <w:suppressAutoHyphens/>
              <w:spacing w:before="80" w:after="80" w:line="160" w:lineRule="exact"/>
              <w:ind w:left="43" w:right="43"/>
              <w:rPr>
                <w:i/>
                <w:sz w:val="14"/>
              </w:rPr>
            </w:pPr>
            <w:r>
              <w:rPr>
                <w:i/>
                <w:sz w:val="14"/>
              </w:rPr>
              <w:t>Forces</w:t>
            </w:r>
          </w:p>
        </w:tc>
        <w:tc>
          <w:tcPr>
            <w:tcW w:w="4399" w:type="dxa"/>
            <w:shd w:val="clear" w:color="auto" w:fill="auto"/>
            <w:vAlign w:val="bottom"/>
          </w:tcPr>
          <w:p w:rsidR="00B5714A" w:rsidRPr="00B5714A" w:rsidRDefault="00B5714A" w:rsidP="00CF3C8A">
            <w:pPr>
              <w:tabs>
                <w:tab w:val="left" w:pos="288"/>
                <w:tab w:val="left" w:pos="576"/>
                <w:tab w:val="left" w:pos="864"/>
                <w:tab w:val="left" w:pos="1152"/>
              </w:tabs>
              <w:suppressAutoHyphens/>
              <w:spacing w:before="80" w:after="80" w:line="160" w:lineRule="exact"/>
              <w:ind w:left="43" w:right="43"/>
              <w:rPr>
                <w:i/>
                <w:sz w:val="14"/>
              </w:rPr>
            </w:pPr>
            <w:r>
              <w:rPr>
                <w:i/>
                <w:sz w:val="14"/>
              </w:rPr>
              <w:t>Faiblesses</w:t>
            </w:r>
          </w:p>
        </w:tc>
      </w:tr>
      <w:tr w:rsidR="00B5714A" w:rsidRPr="00B5714A" w:rsidTr="00CF3C8A">
        <w:tc>
          <w:tcPr>
            <w:tcW w:w="4399" w:type="dxa"/>
            <w:shd w:val="clear" w:color="auto" w:fill="auto"/>
          </w:tcPr>
          <w:p w:rsidR="00B5714A" w:rsidRPr="00CF3C8A" w:rsidRDefault="00B5714A" w:rsidP="00CF3C8A">
            <w:pPr>
              <w:tabs>
                <w:tab w:val="left" w:pos="288"/>
                <w:tab w:val="left" w:pos="576"/>
                <w:tab w:val="left" w:pos="864"/>
                <w:tab w:val="left" w:pos="1152"/>
              </w:tabs>
              <w:suppressAutoHyphens/>
              <w:spacing w:before="40" w:after="80" w:line="220" w:lineRule="exact"/>
              <w:ind w:left="43" w:right="43"/>
              <w:rPr>
                <w:spacing w:val="0"/>
                <w:sz w:val="19"/>
                <w:szCs w:val="19"/>
              </w:rPr>
            </w:pPr>
            <w:r w:rsidRPr="00CF3C8A">
              <w:rPr>
                <w:spacing w:val="0"/>
                <w:sz w:val="19"/>
                <w:szCs w:val="19"/>
              </w:rPr>
              <w:t>S1</w:t>
            </w:r>
            <w:r w:rsidRPr="00CF3C8A">
              <w:rPr>
                <w:spacing w:val="0"/>
                <w:sz w:val="19"/>
                <w:szCs w:val="19"/>
              </w:rPr>
              <w:tab/>
              <w:t>Bon accès à l’information grâce à la soumission régulière par les États membres de</w:t>
            </w:r>
            <w:r w:rsidR="00C63BDC">
              <w:rPr>
                <w:spacing w:val="0"/>
                <w:sz w:val="19"/>
                <w:szCs w:val="19"/>
              </w:rPr>
              <w:t xml:space="preserve"> </w:t>
            </w:r>
            <w:r w:rsidRPr="00CF3C8A">
              <w:rPr>
                <w:spacing w:val="0"/>
                <w:sz w:val="19"/>
                <w:szCs w:val="19"/>
              </w:rPr>
              <w:t>données sur la situation courante du secteur</w:t>
            </w:r>
          </w:p>
          <w:p w:rsidR="00B5714A" w:rsidRPr="00CF3C8A" w:rsidRDefault="00B5714A" w:rsidP="00CF3C8A">
            <w:pPr>
              <w:tabs>
                <w:tab w:val="left" w:pos="288"/>
                <w:tab w:val="left" w:pos="576"/>
                <w:tab w:val="left" w:pos="864"/>
                <w:tab w:val="left" w:pos="1152"/>
              </w:tabs>
              <w:suppressAutoHyphens/>
              <w:spacing w:before="40" w:after="80" w:line="220" w:lineRule="exact"/>
              <w:ind w:left="43" w:right="43"/>
              <w:rPr>
                <w:spacing w:val="0"/>
                <w:sz w:val="19"/>
                <w:szCs w:val="19"/>
                <w:lang w:val="fr-FR"/>
              </w:rPr>
            </w:pPr>
            <w:r w:rsidRPr="00CF3C8A">
              <w:rPr>
                <w:spacing w:val="0"/>
                <w:sz w:val="19"/>
                <w:szCs w:val="19"/>
                <w:lang w:val="fr-FR"/>
              </w:rPr>
              <w:t>S2</w:t>
            </w:r>
            <w:r w:rsidRPr="00CF3C8A">
              <w:rPr>
                <w:spacing w:val="0"/>
                <w:sz w:val="19"/>
                <w:szCs w:val="19"/>
                <w:lang w:val="fr-FR"/>
              </w:rPr>
              <w:tab/>
              <w:t>Richesse de l’histoire et du contexte favorisant la</w:t>
            </w:r>
            <w:r w:rsidR="00AC12D4">
              <w:rPr>
                <w:spacing w:val="0"/>
                <w:sz w:val="19"/>
                <w:szCs w:val="19"/>
                <w:lang w:val="fr-FR"/>
              </w:rPr>
              <w:t> </w:t>
            </w:r>
            <w:r w:rsidRPr="00CF3C8A">
              <w:rPr>
                <w:spacing w:val="0"/>
                <w:sz w:val="19"/>
                <w:szCs w:val="19"/>
                <w:lang w:val="fr-FR"/>
              </w:rPr>
              <w:t>mise en œuvre des bonnes pratiques et des leçons tirées des expériences passées</w:t>
            </w:r>
          </w:p>
          <w:p w:rsidR="00B5714A" w:rsidRPr="00CF3C8A" w:rsidRDefault="00B5714A" w:rsidP="00CF3C8A">
            <w:pPr>
              <w:tabs>
                <w:tab w:val="left" w:pos="288"/>
                <w:tab w:val="left" w:pos="576"/>
                <w:tab w:val="left" w:pos="864"/>
                <w:tab w:val="left" w:pos="1152"/>
              </w:tabs>
              <w:suppressAutoHyphens/>
              <w:spacing w:before="40" w:after="80" w:line="220" w:lineRule="exact"/>
              <w:ind w:left="43" w:right="43"/>
              <w:rPr>
                <w:spacing w:val="0"/>
                <w:sz w:val="19"/>
                <w:szCs w:val="19"/>
                <w:lang w:val="fr-FR"/>
              </w:rPr>
            </w:pPr>
            <w:r w:rsidRPr="00CF3C8A">
              <w:rPr>
                <w:spacing w:val="0"/>
                <w:sz w:val="19"/>
                <w:szCs w:val="19"/>
                <w:lang w:val="fr-FR"/>
              </w:rPr>
              <w:t>S3</w:t>
            </w:r>
            <w:r w:rsidRPr="00CF3C8A">
              <w:rPr>
                <w:spacing w:val="0"/>
                <w:sz w:val="19"/>
                <w:szCs w:val="19"/>
                <w:lang w:val="fr-FR"/>
              </w:rPr>
              <w:tab/>
              <w:t>Conventions internationales dont les services d’appui sont fournis par la CEE</w:t>
            </w:r>
          </w:p>
          <w:p w:rsidR="00B5714A" w:rsidRPr="00CF3C8A" w:rsidRDefault="00B5714A" w:rsidP="00CF3C8A">
            <w:pPr>
              <w:tabs>
                <w:tab w:val="left" w:pos="288"/>
                <w:tab w:val="left" w:pos="576"/>
                <w:tab w:val="left" w:pos="864"/>
                <w:tab w:val="left" w:pos="1152"/>
              </w:tabs>
              <w:suppressAutoHyphens/>
              <w:spacing w:before="40" w:after="80" w:line="220" w:lineRule="exact"/>
              <w:ind w:left="43" w:right="43"/>
              <w:rPr>
                <w:spacing w:val="0"/>
                <w:sz w:val="19"/>
                <w:szCs w:val="19"/>
                <w:lang w:val="fr-FR"/>
              </w:rPr>
            </w:pPr>
            <w:r w:rsidRPr="00CF3C8A">
              <w:rPr>
                <w:spacing w:val="0"/>
                <w:sz w:val="19"/>
                <w:szCs w:val="19"/>
                <w:lang w:val="fr-FR"/>
              </w:rPr>
              <w:t>S4</w:t>
            </w:r>
            <w:r w:rsidRPr="00CF3C8A">
              <w:rPr>
                <w:spacing w:val="0"/>
                <w:sz w:val="19"/>
                <w:szCs w:val="19"/>
                <w:lang w:val="fr-FR"/>
              </w:rPr>
              <w:tab/>
              <w:t>Apports des partenaires stratégiques, notamment l’Union européenne (UE) et les commissions fluviales</w:t>
            </w:r>
          </w:p>
          <w:p w:rsidR="00B5714A" w:rsidRPr="00CF3C8A" w:rsidRDefault="00B5714A" w:rsidP="00C63BDC">
            <w:pPr>
              <w:tabs>
                <w:tab w:val="left" w:pos="288"/>
                <w:tab w:val="left" w:pos="576"/>
                <w:tab w:val="left" w:pos="864"/>
                <w:tab w:val="left" w:pos="1152"/>
              </w:tabs>
              <w:suppressAutoHyphens/>
              <w:spacing w:before="40" w:after="80" w:line="220" w:lineRule="exact"/>
              <w:ind w:left="43" w:right="43"/>
              <w:rPr>
                <w:sz w:val="19"/>
                <w:szCs w:val="19"/>
              </w:rPr>
            </w:pPr>
            <w:r w:rsidRPr="00CF3C8A">
              <w:rPr>
                <w:spacing w:val="0"/>
                <w:sz w:val="19"/>
                <w:szCs w:val="19"/>
                <w:lang w:val="fr-FR"/>
              </w:rPr>
              <w:t>S5</w:t>
            </w:r>
            <w:r w:rsidRPr="00CF3C8A">
              <w:rPr>
                <w:spacing w:val="0"/>
                <w:sz w:val="19"/>
                <w:szCs w:val="19"/>
                <w:lang w:val="fr-FR"/>
              </w:rPr>
              <w:tab/>
              <w:t>Diversité des États membres, qui est source</w:t>
            </w:r>
            <w:r w:rsidR="00C63BDC">
              <w:rPr>
                <w:spacing w:val="0"/>
                <w:sz w:val="19"/>
                <w:szCs w:val="19"/>
                <w:lang w:val="fr-FR"/>
              </w:rPr>
              <w:t xml:space="preserve"> </w:t>
            </w:r>
            <w:r w:rsidRPr="00CF3C8A">
              <w:rPr>
                <w:spacing w:val="0"/>
                <w:sz w:val="19"/>
                <w:szCs w:val="19"/>
                <w:lang w:val="fr-FR"/>
              </w:rPr>
              <w:t>de bonnes pratiques et rend nécessaire d’harmoniser les</w:t>
            </w:r>
            <w:r w:rsidR="00C63BDC">
              <w:rPr>
                <w:spacing w:val="0"/>
                <w:sz w:val="19"/>
                <w:szCs w:val="19"/>
                <w:lang w:val="fr-FR"/>
              </w:rPr>
              <w:t> </w:t>
            </w:r>
            <w:r w:rsidRPr="00CF3C8A">
              <w:rPr>
                <w:spacing w:val="0"/>
                <w:sz w:val="19"/>
                <w:szCs w:val="19"/>
                <w:lang w:val="fr-FR"/>
              </w:rPr>
              <w:t>prescriptions pour établir des</w:t>
            </w:r>
            <w:r w:rsidR="00C63BDC">
              <w:rPr>
                <w:spacing w:val="0"/>
                <w:sz w:val="19"/>
                <w:szCs w:val="19"/>
                <w:lang w:val="fr-FR"/>
              </w:rPr>
              <w:t xml:space="preserve"> </w:t>
            </w:r>
            <w:r w:rsidRPr="00CF3C8A">
              <w:rPr>
                <w:spacing w:val="0"/>
                <w:sz w:val="19"/>
                <w:szCs w:val="19"/>
                <w:lang w:val="fr-FR"/>
              </w:rPr>
              <w:t>normes et recommandations efficaces</w:t>
            </w:r>
          </w:p>
        </w:tc>
        <w:tc>
          <w:tcPr>
            <w:tcW w:w="4399" w:type="dxa"/>
            <w:shd w:val="clear" w:color="auto" w:fill="auto"/>
          </w:tcPr>
          <w:p w:rsidR="00B5714A" w:rsidRPr="00C63BDC" w:rsidRDefault="00B5714A" w:rsidP="00CF3C8A">
            <w:pPr>
              <w:tabs>
                <w:tab w:val="left" w:pos="288"/>
                <w:tab w:val="left" w:pos="576"/>
                <w:tab w:val="left" w:pos="864"/>
                <w:tab w:val="left" w:pos="1152"/>
              </w:tabs>
              <w:suppressAutoHyphens/>
              <w:spacing w:before="40" w:after="80" w:line="220" w:lineRule="exact"/>
              <w:ind w:left="43" w:right="43"/>
              <w:rPr>
                <w:spacing w:val="2"/>
                <w:w w:val="100"/>
                <w:sz w:val="19"/>
                <w:szCs w:val="19"/>
              </w:rPr>
            </w:pPr>
            <w:r w:rsidRPr="00C63BDC">
              <w:rPr>
                <w:spacing w:val="2"/>
                <w:w w:val="100"/>
                <w:sz w:val="19"/>
                <w:szCs w:val="19"/>
              </w:rPr>
              <w:t>W1</w:t>
            </w:r>
            <w:r w:rsidR="00CF3C8A" w:rsidRPr="00C63BDC">
              <w:rPr>
                <w:spacing w:val="2"/>
                <w:w w:val="100"/>
                <w:sz w:val="19"/>
                <w:szCs w:val="19"/>
              </w:rPr>
              <w:t xml:space="preserve"> </w:t>
            </w:r>
            <w:r w:rsidRPr="00C63BDC">
              <w:rPr>
                <w:spacing w:val="2"/>
                <w:w w:val="100"/>
                <w:sz w:val="19"/>
                <w:szCs w:val="19"/>
              </w:rPr>
              <w:t>Limitation des ressources pour réaliser des projets, rendant impossible de faire appel à des sous-traitants</w:t>
            </w:r>
          </w:p>
          <w:p w:rsidR="00B5714A" w:rsidRPr="00C63BDC" w:rsidRDefault="00B5714A" w:rsidP="00CF3C8A">
            <w:pPr>
              <w:tabs>
                <w:tab w:val="left" w:pos="288"/>
                <w:tab w:val="left" w:pos="576"/>
                <w:tab w:val="left" w:pos="864"/>
                <w:tab w:val="left" w:pos="1152"/>
              </w:tabs>
              <w:suppressAutoHyphens/>
              <w:spacing w:before="40" w:after="80" w:line="220" w:lineRule="exact"/>
              <w:ind w:left="43" w:right="43"/>
              <w:rPr>
                <w:spacing w:val="2"/>
                <w:w w:val="100"/>
                <w:sz w:val="19"/>
                <w:szCs w:val="19"/>
                <w:lang w:val="fr-FR"/>
              </w:rPr>
            </w:pPr>
            <w:r w:rsidRPr="00C63BDC">
              <w:rPr>
                <w:spacing w:val="2"/>
                <w:w w:val="100"/>
                <w:sz w:val="19"/>
                <w:szCs w:val="19"/>
                <w:lang w:val="fr-FR"/>
              </w:rPr>
              <w:t>W2</w:t>
            </w:r>
            <w:r w:rsidR="00CF3C8A" w:rsidRPr="00C63BDC">
              <w:rPr>
                <w:spacing w:val="2"/>
                <w:w w:val="100"/>
                <w:sz w:val="19"/>
                <w:szCs w:val="19"/>
                <w:lang w:val="fr-FR"/>
              </w:rPr>
              <w:t xml:space="preserve"> </w:t>
            </w:r>
            <w:r w:rsidRPr="00C63BDC">
              <w:rPr>
                <w:spacing w:val="2"/>
                <w:w w:val="100"/>
                <w:sz w:val="19"/>
                <w:szCs w:val="19"/>
                <w:lang w:val="fr-FR"/>
              </w:rPr>
              <w:t xml:space="preserve">Relative faiblesse du nombre d’États </w:t>
            </w:r>
            <w:r w:rsidRPr="00C63BDC">
              <w:rPr>
                <w:spacing w:val="2"/>
                <w:w w:val="100"/>
                <w:sz w:val="19"/>
                <w:szCs w:val="19"/>
              </w:rPr>
              <w:t>membres</w:t>
            </w:r>
            <w:r w:rsidRPr="00C63BDC">
              <w:rPr>
                <w:spacing w:val="2"/>
                <w:w w:val="100"/>
                <w:sz w:val="19"/>
                <w:szCs w:val="19"/>
                <w:lang w:val="fr-FR"/>
              </w:rPr>
              <w:t xml:space="preserve"> participant en permanence aux sessions</w:t>
            </w:r>
          </w:p>
          <w:p w:rsidR="00B5714A" w:rsidRPr="00C63BDC" w:rsidRDefault="00B5714A" w:rsidP="00CF3C8A">
            <w:pPr>
              <w:tabs>
                <w:tab w:val="left" w:pos="288"/>
                <w:tab w:val="left" w:pos="576"/>
                <w:tab w:val="left" w:pos="864"/>
                <w:tab w:val="left" w:pos="1152"/>
              </w:tabs>
              <w:suppressAutoHyphens/>
              <w:spacing w:before="40" w:after="80" w:line="220" w:lineRule="exact"/>
              <w:ind w:left="43" w:right="43"/>
              <w:rPr>
                <w:spacing w:val="2"/>
                <w:w w:val="100"/>
                <w:sz w:val="19"/>
                <w:szCs w:val="19"/>
                <w:lang w:val="fr-FR"/>
              </w:rPr>
            </w:pPr>
            <w:r w:rsidRPr="00C63BDC">
              <w:rPr>
                <w:spacing w:val="2"/>
                <w:w w:val="100"/>
                <w:sz w:val="19"/>
                <w:szCs w:val="19"/>
                <w:lang w:val="fr-FR"/>
              </w:rPr>
              <w:t>W3</w:t>
            </w:r>
            <w:r w:rsidR="00CF3C8A" w:rsidRPr="00C63BDC">
              <w:rPr>
                <w:spacing w:val="2"/>
                <w:w w:val="100"/>
                <w:sz w:val="19"/>
                <w:szCs w:val="19"/>
                <w:lang w:val="fr-FR"/>
              </w:rPr>
              <w:t xml:space="preserve"> </w:t>
            </w:r>
            <w:r w:rsidRPr="00C63BDC">
              <w:rPr>
                <w:spacing w:val="2"/>
                <w:w w:val="100"/>
                <w:sz w:val="19"/>
                <w:szCs w:val="19"/>
                <w:lang w:val="fr-FR"/>
              </w:rPr>
              <w:t xml:space="preserve">Coopération minimale avec les autres groupes de travail de la CEE créant un risque de </w:t>
            </w:r>
            <w:r w:rsidRPr="00C63BDC">
              <w:rPr>
                <w:spacing w:val="2"/>
                <w:w w:val="100"/>
                <w:sz w:val="19"/>
                <w:szCs w:val="19"/>
              </w:rPr>
              <w:t>doublonnement</w:t>
            </w:r>
            <w:r w:rsidRPr="00C63BDC">
              <w:rPr>
                <w:spacing w:val="2"/>
                <w:w w:val="100"/>
                <w:sz w:val="19"/>
                <w:szCs w:val="19"/>
                <w:lang w:val="fr-FR"/>
              </w:rPr>
              <w:t xml:space="preserve"> des travaux et rendant </w:t>
            </w:r>
            <w:r w:rsidRPr="00C63BDC">
              <w:rPr>
                <w:spacing w:val="2"/>
                <w:w w:val="100"/>
                <w:sz w:val="19"/>
                <w:szCs w:val="19"/>
              </w:rPr>
              <w:t>impossible</w:t>
            </w:r>
            <w:r w:rsidRPr="00C63BDC">
              <w:rPr>
                <w:spacing w:val="2"/>
                <w:w w:val="100"/>
                <w:sz w:val="19"/>
                <w:szCs w:val="19"/>
                <w:lang w:val="fr-FR"/>
              </w:rPr>
              <w:t xml:space="preserve"> de partager les expériences et connaissances respectives et de parvenir à une synergie</w:t>
            </w:r>
          </w:p>
          <w:p w:rsidR="00B5714A" w:rsidRPr="00C63BDC" w:rsidRDefault="00B5714A" w:rsidP="00CF3C8A">
            <w:pPr>
              <w:tabs>
                <w:tab w:val="left" w:pos="288"/>
                <w:tab w:val="left" w:pos="576"/>
                <w:tab w:val="left" w:pos="864"/>
                <w:tab w:val="left" w:pos="1152"/>
              </w:tabs>
              <w:suppressAutoHyphens/>
              <w:spacing w:before="40" w:after="80" w:line="220" w:lineRule="exact"/>
              <w:ind w:left="43" w:right="43"/>
              <w:rPr>
                <w:spacing w:val="2"/>
                <w:w w:val="100"/>
                <w:sz w:val="19"/>
                <w:szCs w:val="19"/>
                <w:lang w:val="fr-FR"/>
              </w:rPr>
            </w:pPr>
            <w:r w:rsidRPr="00C63BDC">
              <w:rPr>
                <w:spacing w:val="2"/>
                <w:w w:val="100"/>
                <w:sz w:val="19"/>
                <w:szCs w:val="19"/>
                <w:lang w:val="fr-FR"/>
              </w:rPr>
              <w:t>W4</w:t>
            </w:r>
            <w:r w:rsidR="00CF3C8A" w:rsidRPr="00C63BDC">
              <w:rPr>
                <w:spacing w:val="2"/>
                <w:w w:val="100"/>
                <w:sz w:val="19"/>
                <w:szCs w:val="19"/>
                <w:lang w:val="fr-FR"/>
              </w:rPr>
              <w:t xml:space="preserve"> </w:t>
            </w:r>
            <w:r w:rsidRPr="00C63BDC">
              <w:rPr>
                <w:spacing w:val="2"/>
                <w:w w:val="100"/>
                <w:sz w:val="19"/>
                <w:szCs w:val="19"/>
                <w:lang w:val="fr-FR"/>
              </w:rPr>
              <w:t>Faiblesse de la participation du secrétariat de</w:t>
            </w:r>
            <w:r w:rsidR="00FD08EE" w:rsidRPr="00C63BDC">
              <w:rPr>
                <w:spacing w:val="2"/>
                <w:w w:val="100"/>
                <w:sz w:val="19"/>
                <w:szCs w:val="19"/>
                <w:lang w:val="fr-FR"/>
              </w:rPr>
              <w:t xml:space="preserve"> </w:t>
            </w:r>
            <w:r w:rsidRPr="00C63BDC">
              <w:rPr>
                <w:spacing w:val="2"/>
                <w:w w:val="100"/>
                <w:sz w:val="19"/>
                <w:szCs w:val="19"/>
                <w:lang w:val="fr-FR"/>
              </w:rPr>
              <w:t xml:space="preserve">la CEE aux manifestations </w:t>
            </w:r>
            <w:r w:rsidRPr="00C63BDC">
              <w:rPr>
                <w:spacing w:val="2"/>
                <w:w w:val="100"/>
                <w:sz w:val="19"/>
                <w:szCs w:val="19"/>
              </w:rPr>
              <w:t>internationales</w:t>
            </w:r>
            <w:r w:rsidRPr="00C63BDC">
              <w:rPr>
                <w:spacing w:val="2"/>
                <w:w w:val="100"/>
                <w:sz w:val="19"/>
                <w:szCs w:val="19"/>
                <w:lang w:val="fr-FR"/>
              </w:rPr>
              <w:t xml:space="preserve"> (sessions des commissions fluviales, réunions de</w:t>
            </w:r>
            <w:r w:rsidR="00C63BDC">
              <w:rPr>
                <w:spacing w:val="2"/>
                <w:w w:val="100"/>
                <w:sz w:val="19"/>
                <w:szCs w:val="19"/>
                <w:lang w:val="fr-FR"/>
              </w:rPr>
              <w:t xml:space="preserve"> </w:t>
            </w:r>
            <w:r w:rsidRPr="00C63BDC">
              <w:rPr>
                <w:spacing w:val="2"/>
                <w:w w:val="100"/>
                <w:sz w:val="19"/>
                <w:szCs w:val="19"/>
                <w:lang w:val="fr-FR"/>
              </w:rPr>
              <w:t>groupes d’experts, colloques et conférences internationaux), en raison d’un manque de financement et de personnel</w:t>
            </w:r>
          </w:p>
          <w:p w:rsidR="00B5714A" w:rsidRPr="00CF3C8A" w:rsidRDefault="00B5714A" w:rsidP="00131F49">
            <w:pPr>
              <w:tabs>
                <w:tab w:val="left" w:pos="288"/>
                <w:tab w:val="left" w:pos="576"/>
                <w:tab w:val="left" w:pos="864"/>
                <w:tab w:val="left" w:pos="1152"/>
              </w:tabs>
              <w:suppressAutoHyphens/>
              <w:spacing w:before="40" w:after="80" w:line="220" w:lineRule="exact"/>
              <w:ind w:left="43" w:right="43"/>
              <w:rPr>
                <w:sz w:val="19"/>
                <w:szCs w:val="19"/>
              </w:rPr>
            </w:pPr>
            <w:r w:rsidRPr="00C63BDC">
              <w:rPr>
                <w:spacing w:val="2"/>
                <w:w w:val="100"/>
                <w:sz w:val="19"/>
                <w:szCs w:val="19"/>
                <w:lang w:val="fr-FR"/>
              </w:rPr>
              <w:t>W5</w:t>
            </w:r>
            <w:r w:rsidR="00CF3C8A" w:rsidRPr="00C63BDC">
              <w:rPr>
                <w:spacing w:val="2"/>
                <w:w w:val="100"/>
                <w:sz w:val="19"/>
                <w:szCs w:val="19"/>
                <w:lang w:val="fr-FR"/>
              </w:rPr>
              <w:t xml:space="preserve"> </w:t>
            </w:r>
            <w:r w:rsidRPr="00C63BDC">
              <w:rPr>
                <w:spacing w:val="2"/>
                <w:w w:val="100"/>
                <w:sz w:val="19"/>
                <w:szCs w:val="19"/>
                <w:lang w:val="fr-FR"/>
              </w:rPr>
              <w:t xml:space="preserve">Absence d’une base permanente pour la coopération avec l’Union européenne </w:t>
            </w:r>
            <w:r w:rsidRPr="00C63BDC">
              <w:rPr>
                <w:spacing w:val="2"/>
                <w:w w:val="100"/>
                <w:sz w:val="19"/>
                <w:szCs w:val="19"/>
              </w:rPr>
              <w:t>expliquant</w:t>
            </w:r>
            <w:r w:rsidRPr="00C63BDC">
              <w:rPr>
                <w:spacing w:val="2"/>
                <w:w w:val="100"/>
                <w:sz w:val="19"/>
                <w:szCs w:val="19"/>
                <w:lang w:val="fr-FR"/>
              </w:rPr>
              <w:t xml:space="preserve"> </w:t>
            </w:r>
            <w:r w:rsidRPr="00C63BDC">
              <w:rPr>
                <w:spacing w:val="2"/>
                <w:w w:val="100"/>
                <w:sz w:val="19"/>
                <w:szCs w:val="19"/>
              </w:rPr>
              <w:t>le</w:t>
            </w:r>
            <w:r w:rsidR="005F1A0B" w:rsidRPr="00C63BDC">
              <w:rPr>
                <w:spacing w:val="2"/>
                <w:w w:val="100"/>
                <w:sz w:val="19"/>
                <w:szCs w:val="19"/>
              </w:rPr>
              <w:t xml:space="preserve"> </w:t>
            </w:r>
            <w:r w:rsidRPr="00C63BDC">
              <w:rPr>
                <w:spacing w:val="2"/>
                <w:w w:val="100"/>
                <w:sz w:val="19"/>
                <w:szCs w:val="19"/>
                <w:lang w:val="fr-FR"/>
              </w:rPr>
              <w:t>doublonnement des travaux, l’absence d’une position harmonisée concernant certains aspects des travaux du</w:t>
            </w:r>
            <w:r w:rsidR="00131F49">
              <w:rPr>
                <w:spacing w:val="2"/>
                <w:w w:val="100"/>
                <w:sz w:val="19"/>
                <w:szCs w:val="19"/>
                <w:lang w:val="fr-FR"/>
              </w:rPr>
              <w:t> </w:t>
            </w:r>
            <w:r w:rsidRPr="00C63BDC">
              <w:rPr>
                <w:spacing w:val="2"/>
                <w:w w:val="100"/>
                <w:sz w:val="19"/>
                <w:szCs w:val="19"/>
                <w:lang w:val="fr-FR"/>
              </w:rPr>
              <w:t>SC.3 et l’existence de points de l’ordre du jour en</w:t>
            </w:r>
            <w:r w:rsidR="00131F49">
              <w:rPr>
                <w:spacing w:val="2"/>
                <w:w w:val="100"/>
                <w:sz w:val="19"/>
                <w:szCs w:val="19"/>
                <w:lang w:val="fr-FR"/>
              </w:rPr>
              <w:t> </w:t>
            </w:r>
            <w:r w:rsidRPr="00C63BDC">
              <w:rPr>
                <w:spacing w:val="2"/>
                <w:w w:val="100"/>
                <w:sz w:val="19"/>
                <w:szCs w:val="19"/>
                <w:lang w:val="fr-FR"/>
              </w:rPr>
              <w:t>suspens</w:t>
            </w:r>
          </w:p>
        </w:tc>
      </w:tr>
      <w:tr w:rsidR="0071462F" w:rsidRPr="0071462F" w:rsidTr="00CF3C8A">
        <w:tc>
          <w:tcPr>
            <w:tcW w:w="4399" w:type="dxa"/>
            <w:shd w:val="clear" w:color="auto" w:fill="auto"/>
            <w:vAlign w:val="bottom"/>
          </w:tcPr>
          <w:p w:rsidR="0071462F" w:rsidRPr="0071462F" w:rsidRDefault="0071462F" w:rsidP="00CF3C8A">
            <w:pPr>
              <w:tabs>
                <w:tab w:val="left" w:pos="288"/>
                <w:tab w:val="left" w:pos="576"/>
                <w:tab w:val="left" w:pos="864"/>
                <w:tab w:val="left" w:pos="1152"/>
              </w:tabs>
              <w:suppressAutoHyphens/>
              <w:spacing w:before="80" w:after="80" w:line="160" w:lineRule="exact"/>
              <w:ind w:left="43" w:right="43"/>
              <w:rPr>
                <w:i/>
                <w:sz w:val="14"/>
              </w:rPr>
            </w:pPr>
            <w:r>
              <w:rPr>
                <w:i/>
                <w:sz w:val="14"/>
              </w:rPr>
              <w:t>Opportunités</w:t>
            </w:r>
          </w:p>
        </w:tc>
        <w:tc>
          <w:tcPr>
            <w:tcW w:w="4399" w:type="dxa"/>
            <w:shd w:val="clear" w:color="auto" w:fill="auto"/>
            <w:vAlign w:val="bottom"/>
          </w:tcPr>
          <w:p w:rsidR="0071462F" w:rsidRPr="0071462F" w:rsidRDefault="0071462F" w:rsidP="00CF3C8A">
            <w:pPr>
              <w:tabs>
                <w:tab w:val="left" w:pos="288"/>
                <w:tab w:val="left" w:pos="576"/>
                <w:tab w:val="left" w:pos="864"/>
                <w:tab w:val="left" w:pos="1152"/>
              </w:tabs>
              <w:suppressAutoHyphens/>
              <w:spacing w:before="80" w:after="80" w:line="160" w:lineRule="exact"/>
              <w:ind w:left="43" w:right="43"/>
              <w:rPr>
                <w:i/>
                <w:sz w:val="14"/>
              </w:rPr>
            </w:pPr>
            <w:r>
              <w:rPr>
                <w:i/>
                <w:sz w:val="14"/>
              </w:rPr>
              <w:t>Menaces</w:t>
            </w:r>
          </w:p>
        </w:tc>
      </w:tr>
      <w:tr w:rsidR="00CF3C8A" w:rsidRPr="0071462F" w:rsidTr="00CF3C8A">
        <w:tc>
          <w:tcPr>
            <w:tcW w:w="4399" w:type="dxa"/>
            <w:shd w:val="clear" w:color="auto" w:fill="auto"/>
          </w:tcPr>
          <w:p w:rsidR="00CF3C8A" w:rsidRPr="00CF3C8A" w:rsidRDefault="00CF3C8A" w:rsidP="00CF3C8A">
            <w:pPr>
              <w:tabs>
                <w:tab w:val="left" w:pos="288"/>
                <w:tab w:val="left" w:pos="576"/>
                <w:tab w:val="left" w:pos="864"/>
                <w:tab w:val="left" w:pos="1152"/>
              </w:tabs>
              <w:suppressAutoHyphens/>
              <w:spacing w:before="40" w:after="80" w:line="220" w:lineRule="exact"/>
              <w:ind w:left="43" w:right="43"/>
              <w:rPr>
                <w:spacing w:val="2"/>
                <w:w w:val="100"/>
                <w:sz w:val="19"/>
                <w:szCs w:val="19"/>
              </w:rPr>
            </w:pPr>
            <w:r w:rsidRPr="00CF3C8A">
              <w:rPr>
                <w:spacing w:val="2"/>
                <w:w w:val="100"/>
                <w:sz w:val="19"/>
                <w:szCs w:val="19"/>
              </w:rPr>
              <w:t>O1</w:t>
            </w:r>
            <w:r>
              <w:rPr>
                <w:spacing w:val="2"/>
                <w:w w:val="100"/>
                <w:sz w:val="19"/>
                <w:szCs w:val="19"/>
              </w:rPr>
              <w:t xml:space="preserve"> </w:t>
            </w:r>
            <w:r w:rsidRPr="00CF3C8A">
              <w:rPr>
                <w:spacing w:val="2"/>
                <w:w w:val="100"/>
                <w:sz w:val="19"/>
                <w:szCs w:val="19"/>
              </w:rPr>
              <w:t xml:space="preserve">Projet de liaisons de transport entre l’Europe et l’Asie (LTEA) : analyser la composante transport par voie navigable, mettre en commun les expériences des États membres, éventuellement étendre les instruments juridiques </w:t>
            </w:r>
            <w:r w:rsidRPr="00CF3C8A">
              <w:rPr>
                <w:spacing w:val="0"/>
                <w:w w:val="100"/>
                <w:sz w:val="19"/>
                <w:szCs w:val="19"/>
              </w:rPr>
              <w:t>de la CEE aux États membres participant au projet</w:t>
            </w:r>
          </w:p>
          <w:p w:rsidR="00CF3C8A" w:rsidRPr="00CF3C8A" w:rsidRDefault="00CF3C8A" w:rsidP="00CF3C8A">
            <w:pPr>
              <w:tabs>
                <w:tab w:val="left" w:pos="288"/>
                <w:tab w:val="left" w:pos="576"/>
                <w:tab w:val="left" w:pos="864"/>
                <w:tab w:val="left" w:pos="1152"/>
              </w:tabs>
              <w:suppressAutoHyphens/>
              <w:spacing w:before="40" w:after="80" w:line="220" w:lineRule="exact"/>
              <w:ind w:left="43" w:right="43"/>
              <w:rPr>
                <w:w w:val="100"/>
                <w:sz w:val="19"/>
                <w:szCs w:val="19"/>
              </w:rPr>
            </w:pPr>
            <w:r w:rsidRPr="00CF3C8A">
              <w:rPr>
                <w:w w:val="100"/>
                <w:sz w:val="19"/>
                <w:szCs w:val="19"/>
              </w:rPr>
              <w:t>O2</w:t>
            </w:r>
            <w:r>
              <w:rPr>
                <w:w w:val="100"/>
                <w:sz w:val="19"/>
                <w:szCs w:val="19"/>
              </w:rPr>
              <w:t xml:space="preserve"> </w:t>
            </w:r>
            <w:r w:rsidRPr="00CF3C8A">
              <w:rPr>
                <w:w w:val="100"/>
                <w:sz w:val="19"/>
                <w:szCs w:val="19"/>
              </w:rPr>
              <w:t>Gérer les ressources en matière d’information sur toutes les questions relatives aux transports par voie navigable recueillies auprès des États membres et des commissions fluviales</w:t>
            </w:r>
          </w:p>
          <w:p w:rsidR="00CF3C8A" w:rsidRPr="00CF3C8A" w:rsidRDefault="00CF3C8A" w:rsidP="00CF3C8A">
            <w:pPr>
              <w:tabs>
                <w:tab w:val="left" w:pos="288"/>
                <w:tab w:val="left" w:pos="576"/>
                <w:tab w:val="left" w:pos="864"/>
                <w:tab w:val="left" w:pos="1152"/>
              </w:tabs>
              <w:suppressAutoHyphens/>
              <w:spacing w:before="40" w:after="80" w:line="220" w:lineRule="exact"/>
              <w:ind w:left="43" w:right="43"/>
              <w:rPr>
                <w:w w:val="100"/>
                <w:sz w:val="19"/>
                <w:szCs w:val="19"/>
              </w:rPr>
            </w:pPr>
            <w:r w:rsidRPr="00CF3C8A">
              <w:rPr>
                <w:w w:val="100"/>
                <w:sz w:val="19"/>
                <w:szCs w:val="19"/>
              </w:rPr>
              <w:t>O3</w:t>
            </w:r>
            <w:r w:rsidRPr="00CF3C8A">
              <w:rPr>
                <w:w w:val="100"/>
                <w:sz w:val="19"/>
                <w:szCs w:val="19"/>
              </w:rPr>
              <w:tab/>
            </w:r>
            <w:r>
              <w:rPr>
                <w:w w:val="100"/>
                <w:sz w:val="19"/>
                <w:szCs w:val="19"/>
              </w:rPr>
              <w:t xml:space="preserve"> </w:t>
            </w:r>
            <w:r w:rsidRPr="00CF3C8A">
              <w:rPr>
                <w:w w:val="100"/>
                <w:sz w:val="19"/>
                <w:szCs w:val="19"/>
              </w:rPr>
              <w:t>Mieux intégrer le potentiel des États membres</w:t>
            </w:r>
          </w:p>
          <w:p w:rsidR="00CF3C8A" w:rsidRPr="00CF3C8A" w:rsidRDefault="00CF3C8A" w:rsidP="00CF3C8A">
            <w:pPr>
              <w:tabs>
                <w:tab w:val="left" w:pos="288"/>
                <w:tab w:val="left" w:pos="576"/>
                <w:tab w:val="left" w:pos="864"/>
                <w:tab w:val="left" w:pos="1152"/>
              </w:tabs>
              <w:suppressAutoHyphens/>
              <w:spacing w:before="40" w:after="80" w:line="220" w:lineRule="exact"/>
              <w:ind w:left="43" w:right="43"/>
              <w:rPr>
                <w:w w:val="100"/>
                <w:sz w:val="19"/>
                <w:szCs w:val="19"/>
              </w:rPr>
            </w:pPr>
            <w:r w:rsidRPr="00CF3C8A">
              <w:rPr>
                <w:w w:val="100"/>
                <w:sz w:val="19"/>
                <w:szCs w:val="19"/>
              </w:rPr>
              <w:t>O4</w:t>
            </w:r>
            <w:r>
              <w:rPr>
                <w:w w:val="100"/>
                <w:sz w:val="19"/>
                <w:szCs w:val="19"/>
              </w:rPr>
              <w:t xml:space="preserve"> </w:t>
            </w:r>
            <w:r w:rsidRPr="00CF3C8A">
              <w:rPr>
                <w:w w:val="100"/>
                <w:sz w:val="19"/>
                <w:szCs w:val="19"/>
              </w:rPr>
              <w:t>Mener des activités visant à créer un marché commun entre l’UE et l’Union économique eurasienne</w:t>
            </w:r>
          </w:p>
          <w:p w:rsidR="00CF3C8A" w:rsidRPr="00CF3C8A" w:rsidRDefault="00CF3C8A" w:rsidP="00CF3C8A">
            <w:pPr>
              <w:tabs>
                <w:tab w:val="left" w:pos="288"/>
                <w:tab w:val="left" w:pos="576"/>
                <w:tab w:val="left" w:pos="864"/>
                <w:tab w:val="left" w:pos="1152"/>
              </w:tabs>
              <w:suppressAutoHyphens/>
              <w:spacing w:before="40" w:after="80" w:line="220" w:lineRule="exact"/>
              <w:ind w:left="43" w:right="43"/>
              <w:rPr>
                <w:w w:val="100"/>
                <w:sz w:val="19"/>
                <w:szCs w:val="19"/>
              </w:rPr>
            </w:pPr>
            <w:r w:rsidRPr="00CF3C8A">
              <w:rPr>
                <w:w w:val="100"/>
                <w:sz w:val="19"/>
                <w:szCs w:val="19"/>
              </w:rPr>
              <w:t>O5</w:t>
            </w:r>
            <w:r>
              <w:rPr>
                <w:w w:val="100"/>
                <w:sz w:val="19"/>
                <w:szCs w:val="19"/>
              </w:rPr>
              <w:t xml:space="preserve"> </w:t>
            </w:r>
            <w:r w:rsidRPr="00CF3C8A">
              <w:rPr>
                <w:w w:val="100"/>
                <w:sz w:val="19"/>
                <w:szCs w:val="19"/>
              </w:rPr>
              <w:t>Élaborer un plan détaillé de mise en œuvre des objectifs de développement durable et réviser le programme de travail</w:t>
            </w:r>
          </w:p>
          <w:p w:rsidR="00CF3C8A" w:rsidRPr="00CF3C8A" w:rsidRDefault="00CF3C8A" w:rsidP="00CF3C8A">
            <w:pPr>
              <w:tabs>
                <w:tab w:val="left" w:pos="288"/>
                <w:tab w:val="left" w:pos="576"/>
                <w:tab w:val="left" w:pos="864"/>
                <w:tab w:val="left" w:pos="1152"/>
              </w:tabs>
              <w:suppressAutoHyphens/>
              <w:spacing w:before="40" w:after="80" w:line="220" w:lineRule="exact"/>
              <w:ind w:left="43" w:right="43"/>
              <w:rPr>
                <w:w w:val="100"/>
                <w:sz w:val="19"/>
                <w:szCs w:val="19"/>
              </w:rPr>
            </w:pPr>
            <w:r w:rsidRPr="00CF3C8A">
              <w:rPr>
                <w:w w:val="100"/>
                <w:sz w:val="19"/>
                <w:szCs w:val="19"/>
              </w:rPr>
              <w:t>O6</w:t>
            </w:r>
            <w:r>
              <w:rPr>
                <w:w w:val="100"/>
                <w:sz w:val="19"/>
                <w:szCs w:val="19"/>
              </w:rPr>
              <w:t xml:space="preserve"> </w:t>
            </w:r>
            <w:r w:rsidRPr="00CF3C8A">
              <w:rPr>
                <w:w w:val="100"/>
                <w:sz w:val="19"/>
                <w:szCs w:val="19"/>
              </w:rPr>
              <w:t>Organiser la conférence internationale prévue qui devrait rassembler tous les États possédant des voies navigables</w:t>
            </w:r>
          </w:p>
          <w:p w:rsidR="00CF3C8A" w:rsidRPr="00CF3C8A" w:rsidRDefault="00CF3C8A" w:rsidP="00CF3C8A">
            <w:pPr>
              <w:tabs>
                <w:tab w:val="left" w:pos="288"/>
                <w:tab w:val="left" w:pos="576"/>
                <w:tab w:val="left" w:pos="864"/>
                <w:tab w:val="left" w:pos="1152"/>
              </w:tabs>
              <w:suppressAutoHyphens/>
              <w:spacing w:before="40" w:after="80" w:line="220" w:lineRule="exact"/>
              <w:ind w:left="43" w:right="43"/>
              <w:rPr>
                <w:w w:val="100"/>
                <w:sz w:val="19"/>
                <w:szCs w:val="19"/>
              </w:rPr>
            </w:pPr>
            <w:r w:rsidRPr="00CF3C8A">
              <w:rPr>
                <w:w w:val="100"/>
                <w:sz w:val="19"/>
                <w:szCs w:val="19"/>
              </w:rPr>
              <w:t>O7</w:t>
            </w:r>
            <w:r w:rsidRPr="00CF3C8A">
              <w:rPr>
                <w:w w:val="100"/>
                <w:sz w:val="19"/>
                <w:szCs w:val="19"/>
              </w:rPr>
              <w:tab/>
            </w:r>
            <w:r>
              <w:rPr>
                <w:w w:val="100"/>
                <w:sz w:val="19"/>
                <w:szCs w:val="19"/>
              </w:rPr>
              <w:t xml:space="preserve"> </w:t>
            </w:r>
            <w:r w:rsidRPr="00CF3C8A">
              <w:rPr>
                <w:w w:val="100"/>
                <w:sz w:val="19"/>
                <w:szCs w:val="19"/>
              </w:rPr>
              <w:t>Mettre en œuv</w:t>
            </w:r>
            <w:r w:rsidR="00AC12D4">
              <w:rPr>
                <w:w w:val="100"/>
                <w:sz w:val="19"/>
                <w:szCs w:val="19"/>
              </w:rPr>
              <w:t>re à l’échelle paneuropéenne la </w:t>
            </w:r>
            <w:r w:rsidRPr="00CF3C8A">
              <w:rPr>
                <w:w w:val="100"/>
                <w:sz w:val="19"/>
                <w:szCs w:val="19"/>
              </w:rPr>
              <w:t>base de données sur les bateaux et les coques</w:t>
            </w:r>
          </w:p>
          <w:p w:rsidR="00CF3C8A" w:rsidRPr="00CF3C8A" w:rsidRDefault="00CF3C8A" w:rsidP="00CF3C8A">
            <w:pPr>
              <w:tabs>
                <w:tab w:val="left" w:pos="288"/>
                <w:tab w:val="left" w:pos="576"/>
                <w:tab w:val="left" w:pos="864"/>
                <w:tab w:val="left" w:pos="1152"/>
              </w:tabs>
              <w:suppressAutoHyphens/>
              <w:spacing w:before="40" w:after="80" w:line="220" w:lineRule="exact"/>
              <w:ind w:left="43" w:right="43"/>
              <w:rPr>
                <w:w w:val="100"/>
                <w:sz w:val="19"/>
                <w:szCs w:val="19"/>
              </w:rPr>
            </w:pPr>
            <w:r w:rsidRPr="00CF3C8A">
              <w:rPr>
                <w:w w:val="100"/>
                <w:sz w:val="19"/>
                <w:szCs w:val="19"/>
              </w:rPr>
              <w:t>O8</w:t>
            </w:r>
            <w:r w:rsidRPr="00CF3C8A">
              <w:rPr>
                <w:w w:val="100"/>
                <w:sz w:val="19"/>
                <w:szCs w:val="19"/>
              </w:rPr>
              <w:tab/>
            </w:r>
            <w:r>
              <w:rPr>
                <w:w w:val="100"/>
                <w:sz w:val="19"/>
                <w:szCs w:val="19"/>
              </w:rPr>
              <w:t xml:space="preserve"> </w:t>
            </w:r>
            <w:r w:rsidRPr="00CF3C8A">
              <w:rPr>
                <w:w w:val="100"/>
                <w:sz w:val="19"/>
                <w:szCs w:val="19"/>
              </w:rPr>
              <w:t>Mise en œuvre des technologies de l’information pour les publications de la CEE</w:t>
            </w:r>
          </w:p>
        </w:tc>
        <w:tc>
          <w:tcPr>
            <w:tcW w:w="4399" w:type="dxa"/>
            <w:shd w:val="clear" w:color="auto" w:fill="auto"/>
          </w:tcPr>
          <w:p w:rsidR="00CF3C8A" w:rsidRPr="00CF3C8A" w:rsidRDefault="00CF3C8A" w:rsidP="00CF3C8A">
            <w:pPr>
              <w:tabs>
                <w:tab w:val="left" w:pos="288"/>
                <w:tab w:val="left" w:pos="576"/>
                <w:tab w:val="left" w:pos="864"/>
                <w:tab w:val="left" w:pos="1152"/>
              </w:tabs>
              <w:suppressAutoHyphens/>
              <w:spacing w:before="40" w:after="80" w:line="220" w:lineRule="exact"/>
              <w:ind w:left="43" w:right="43"/>
              <w:rPr>
                <w:sz w:val="19"/>
                <w:szCs w:val="19"/>
              </w:rPr>
            </w:pPr>
            <w:r w:rsidRPr="00CF3C8A">
              <w:rPr>
                <w:sz w:val="19"/>
                <w:szCs w:val="19"/>
              </w:rPr>
              <w:t>T1</w:t>
            </w:r>
            <w:r w:rsidRPr="00CF3C8A">
              <w:rPr>
                <w:sz w:val="19"/>
                <w:szCs w:val="19"/>
              </w:rPr>
              <w:tab/>
              <w:t>Duplication des travaux pouvant conduire à</w:t>
            </w:r>
            <w:r w:rsidR="00C63BDC">
              <w:rPr>
                <w:sz w:val="19"/>
                <w:szCs w:val="19"/>
              </w:rPr>
              <w:t xml:space="preserve"> </w:t>
            </w:r>
            <w:r w:rsidRPr="00CF3C8A">
              <w:rPr>
                <w:sz w:val="19"/>
                <w:szCs w:val="19"/>
              </w:rPr>
              <w:t>une diminution de l’importance des documents de la CEE</w:t>
            </w:r>
          </w:p>
          <w:p w:rsidR="00CF3C8A" w:rsidRPr="00CF3C8A" w:rsidRDefault="00CF3C8A" w:rsidP="00CF3C8A">
            <w:pPr>
              <w:tabs>
                <w:tab w:val="left" w:pos="288"/>
                <w:tab w:val="left" w:pos="576"/>
                <w:tab w:val="left" w:pos="864"/>
                <w:tab w:val="left" w:pos="1152"/>
              </w:tabs>
              <w:suppressAutoHyphens/>
              <w:spacing w:before="40" w:after="80" w:line="220" w:lineRule="exact"/>
              <w:ind w:left="43" w:right="43"/>
              <w:rPr>
                <w:sz w:val="19"/>
                <w:szCs w:val="19"/>
              </w:rPr>
            </w:pPr>
            <w:r w:rsidRPr="00CF3C8A">
              <w:rPr>
                <w:sz w:val="19"/>
                <w:szCs w:val="19"/>
              </w:rPr>
              <w:t>T2</w:t>
            </w:r>
            <w:r w:rsidRPr="00CF3C8A">
              <w:rPr>
                <w:sz w:val="19"/>
                <w:szCs w:val="19"/>
              </w:rPr>
              <w:tab/>
              <w:t>Manque d’intérêt des États membres pour les questions ayant trait à des fins locales ou régionales</w:t>
            </w:r>
          </w:p>
          <w:p w:rsidR="00CF3C8A" w:rsidRPr="0071462F" w:rsidRDefault="00CF3C8A" w:rsidP="00CF3C8A">
            <w:pPr>
              <w:tabs>
                <w:tab w:val="left" w:pos="288"/>
                <w:tab w:val="left" w:pos="576"/>
                <w:tab w:val="left" w:pos="864"/>
                <w:tab w:val="left" w:pos="1152"/>
              </w:tabs>
              <w:suppressAutoHyphens/>
              <w:spacing w:before="40" w:after="80" w:line="220" w:lineRule="exact"/>
              <w:ind w:left="43" w:right="43"/>
            </w:pPr>
            <w:r w:rsidRPr="00CF3C8A">
              <w:rPr>
                <w:sz w:val="19"/>
                <w:szCs w:val="19"/>
              </w:rPr>
              <w:t>T3</w:t>
            </w:r>
            <w:r w:rsidRPr="00CF3C8A">
              <w:rPr>
                <w:sz w:val="19"/>
                <w:szCs w:val="19"/>
              </w:rPr>
              <w:tab/>
              <w:t>Concurrence éventuelle avec d’autres organismes et associations du secteur des transports par voie navigable</w:t>
            </w:r>
          </w:p>
        </w:tc>
      </w:tr>
    </w:tbl>
    <w:p w:rsidR="0071462F" w:rsidRPr="0032514B" w:rsidRDefault="0071462F" w:rsidP="0032514B">
      <w:pPr>
        <w:pStyle w:val="SingleTxt"/>
        <w:spacing w:after="0" w:line="120" w:lineRule="exact"/>
        <w:rPr>
          <w:sz w:val="10"/>
        </w:rPr>
      </w:pPr>
    </w:p>
    <w:p w:rsidR="0032514B" w:rsidRPr="0032514B" w:rsidRDefault="0032514B" w:rsidP="0032514B">
      <w:pPr>
        <w:pStyle w:val="SingleTxt"/>
        <w:spacing w:after="0" w:line="120" w:lineRule="exact"/>
        <w:rPr>
          <w:sz w:val="10"/>
        </w:rPr>
      </w:pPr>
    </w:p>
    <w:p w:rsidR="0032514B" w:rsidRPr="0032514B" w:rsidRDefault="0032514B" w:rsidP="0032514B">
      <w:pPr>
        <w:pStyle w:val="SingleTxt"/>
        <w:spacing w:after="0" w:line="120" w:lineRule="exact"/>
        <w:rPr>
          <w:sz w:val="10"/>
        </w:rPr>
      </w:pPr>
    </w:p>
    <w:p w:rsidR="0032514B" w:rsidRDefault="0032514B" w:rsidP="003251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32514B">
        <w:rPr>
          <w:lang w:val="fr-FR"/>
        </w:rPr>
        <w:t>VI.</w:t>
      </w:r>
      <w:r w:rsidRPr="0032514B">
        <w:rPr>
          <w:lang w:val="fr-FR"/>
        </w:rPr>
        <w:tab/>
        <w:t>Points à examiner en vue de réviser et développer la stratégie pour les activités relatives aux</w:t>
      </w:r>
      <w:r w:rsidRPr="00CF3C8A">
        <w:rPr>
          <w:lang w:val="fr-CH"/>
        </w:rPr>
        <w:t xml:space="preserve"> </w:t>
      </w:r>
      <w:r w:rsidRPr="0032514B">
        <w:rPr>
          <w:lang w:val="fr-FR"/>
        </w:rPr>
        <w:t>transports par voie navigable</w:t>
      </w:r>
    </w:p>
    <w:p w:rsidR="0032514B" w:rsidRPr="0032514B" w:rsidRDefault="0032514B" w:rsidP="0032514B">
      <w:pPr>
        <w:pStyle w:val="SingleTxt"/>
        <w:spacing w:after="0" w:line="120" w:lineRule="exact"/>
        <w:rPr>
          <w:sz w:val="10"/>
          <w:lang w:val="fr-FR"/>
        </w:rPr>
      </w:pPr>
    </w:p>
    <w:p w:rsidR="0032514B" w:rsidRPr="0032514B" w:rsidRDefault="0032514B" w:rsidP="0032514B">
      <w:pPr>
        <w:pStyle w:val="SingleTxt"/>
        <w:spacing w:after="0" w:line="120" w:lineRule="exact"/>
        <w:rPr>
          <w:sz w:val="10"/>
          <w:lang w:val="fr-FR"/>
        </w:rPr>
      </w:pPr>
    </w:p>
    <w:p w:rsidR="0032514B" w:rsidRPr="0032514B" w:rsidRDefault="0032514B" w:rsidP="00207762">
      <w:pPr>
        <w:pStyle w:val="SingleTxt"/>
        <w:numPr>
          <w:ilvl w:val="0"/>
          <w:numId w:val="16"/>
        </w:numPr>
        <w:tabs>
          <w:tab w:val="clear" w:pos="475"/>
          <w:tab w:val="num" w:pos="1742"/>
        </w:tabs>
        <w:ind w:left="1267"/>
        <w:rPr>
          <w:lang w:val="fr-FR"/>
        </w:rPr>
      </w:pPr>
      <w:r w:rsidRPr="0032514B">
        <w:rPr>
          <w:lang w:val="fr-FR"/>
        </w:rPr>
        <w:t>L’examen des activités passées du SC.3 confirme que celui-ci a</w:t>
      </w:r>
      <w:r>
        <w:rPr>
          <w:lang w:val="fr-FR"/>
        </w:rPr>
        <w:t> </w:t>
      </w:r>
      <w:r w:rsidRPr="0032514B">
        <w:rPr>
          <w:lang w:val="fr-FR"/>
        </w:rPr>
        <w:t>:</w:t>
      </w:r>
    </w:p>
    <w:p w:rsidR="0032514B" w:rsidRPr="0032514B" w:rsidRDefault="0032514B" w:rsidP="0032514B">
      <w:pPr>
        <w:pStyle w:val="Bullet1"/>
        <w:rPr>
          <w:lang w:val="fr-FR"/>
        </w:rPr>
      </w:pPr>
      <w:r w:rsidRPr="0032514B">
        <w:rPr>
          <w:lang w:val="fr-FR"/>
        </w:rPr>
        <w:t>Contribué au développement des transports par voie navigable au niveau paneuropéen et, à l’occasion, jusqu’en Asie centrale et en Amérique du Nord;</w:t>
      </w:r>
    </w:p>
    <w:p w:rsidR="0032514B" w:rsidRPr="0032514B" w:rsidRDefault="0032514B" w:rsidP="0032514B">
      <w:pPr>
        <w:pStyle w:val="Bullet1"/>
        <w:rPr>
          <w:lang w:val="fr-FR"/>
        </w:rPr>
      </w:pPr>
      <w:r w:rsidRPr="0032514B">
        <w:rPr>
          <w:lang w:val="fr-FR"/>
        </w:rPr>
        <w:t>Joué un rôle fédérateur et intégrateur entre les différents bassins fluviaux;</w:t>
      </w:r>
    </w:p>
    <w:p w:rsidR="0032514B" w:rsidRPr="0032514B" w:rsidRDefault="0032514B" w:rsidP="0032514B">
      <w:pPr>
        <w:pStyle w:val="Bullet1"/>
        <w:rPr>
          <w:lang w:val="fr-FR"/>
        </w:rPr>
      </w:pPr>
      <w:r w:rsidRPr="0032514B">
        <w:rPr>
          <w:lang w:val="fr-FR"/>
        </w:rPr>
        <w:t>Contribué à élaborer et développé une architecture réglementaire et institutionnelle paneuropéenne applicable à la navigation intérieure;</w:t>
      </w:r>
    </w:p>
    <w:p w:rsidR="0032514B" w:rsidRPr="0032514B" w:rsidRDefault="0032514B" w:rsidP="0032514B">
      <w:pPr>
        <w:pStyle w:val="Bullet1"/>
        <w:rPr>
          <w:lang w:val="fr-FR"/>
        </w:rPr>
      </w:pPr>
      <w:r w:rsidRPr="0032514B">
        <w:rPr>
          <w:lang w:val="fr-FR"/>
        </w:rPr>
        <w:t>Produit des résultat</w:t>
      </w:r>
      <w:r>
        <w:rPr>
          <w:lang w:val="fr-FR"/>
        </w:rPr>
        <w:t>s tangibles depuis sa création.</w:t>
      </w:r>
    </w:p>
    <w:p w:rsidR="0032514B" w:rsidRPr="0032514B" w:rsidRDefault="0032514B" w:rsidP="00207762">
      <w:pPr>
        <w:pStyle w:val="SingleTxt"/>
        <w:numPr>
          <w:ilvl w:val="0"/>
          <w:numId w:val="16"/>
        </w:numPr>
        <w:tabs>
          <w:tab w:val="clear" w:pos="475"/>
          <w:tab w:val="num" w:pos="1742"/>
        </w:tabs>
        <w:ind w:left="1267"/>
        <w:rPr>
          <w:lang w:val="fr-FR"/>
        </w:rPr>
      </w:pPr>
      <w:r w:rsidRPr="0032514B">
        <w:rPr>
          <w:lang w:val="fr-FR"/>
        </w:rPr>
        <w:t>Toutefois, l’examen a aussi montré que l’évolution récente de la situation nécessitait d’évaluer le rôle du Groupe de travail. Une division du travail plus structurée, d’un commun accord, entre les différents acteurs de la navigation intérieure peut également être nécessaire afin de gérer des ressources peu abondantes et de garantir les effets de synergie de la collaboration interinstitutions. Une autre aspiration bien connue de la CEE est celle de devenir le centre d’une base de données paneuropéenne sur les bateaux et les coques, à condition que soit trouvé un financement extrabudgétaire. Les attentes des gouvernements et des autres acteurs majeurs concernant le rôle futur du SC.3 doivent être précisées. D’éventuelles nouvelles orientations des activités du SC.3 pourraient même justifier une réforme complète de son mode de fonctionnement et une révision de son plan de travail. Des changements à moyen et long termes nécessiteraient un examen minutieux et des débats approfondis.</w:t>
      </w:r>
    </w:p>
    <w:p w:rsidR="0032514B" w:rsidRPr="0032514B" w:rsidRDefault="0032514B" w:rsidP="00207762">
      <w:pPr>
        <w:pStyle w:val="SingleTxt"/>
        <w:numPr>
          <w:ilvl w:val="0"/>
          <w:numId w:val="16"/>
        </w:numPr>
        <w:tabs>
          <w:tab w:val="clear" w:pos="475"/>
          <w:tab w:val="num" w:pos="1742"/>
        </w:tabs>
        <w:ind w:left="1267"/>
        <w:rPr>
          <w:lang w:val="fr-FR"/>
        </w:rPr>
      </w:pPr>
      <w:r w:rsidRPr="0032514B">
        <w:rPr>
          <w:lang w:val="fr-FR"/>
        </w:rPr>
        <w:t>Dans le même temps, en se fondant sur son mandat, le SC.3 pourrait, dans les années à venir, poursuivre ses activités en cours en leur accordant plus d’attention et entreprendre des activ</w:t>
      </w:r>
      <w:r>
        <w:rPr>
          <w:lang w:val="fr-FR"/>
        </w:rPr>
        <w:t>ités nouvelles déjà planifiées.</w:t>
      </w:r>
    </w:p>
    <w:p w:rsidR="0032514B" w:rsidRDefault="0032514B" w:rsidP="00207762">
      <w:pPr>
        <w:pStyle w:val="SingleTxt"/>
        <w:numPr>
          <w:ilvl w:val="0"/>
          <w:numId w:val="16"/>
        </w:numPr>
        <w:tabs>
          <w:tab w:val="clear" w:pos="475"/>
          <w:tab w:val="num" w:pos="1742"/>
        </w:tabs>
        <w:ind w:left="1267"/>
        <w:rPr>
          <w:lang w:val="fr-FR"/>
        </w:rPr>
      </w:pPr>
      <w:r w:rsidRPr="0032514B">
        <w:rPr>
          <w:lang w:val="fr-FR"/>
        </w:rPr>
        <w:t>Le tableau ci-dessous présente les recommandations relatives à une nouvelle stratégie du Groupe</w:t>
      </w:r>
      <w:r>
        <w:rPr>
          <w:lang w:val="fr-FR"/>
        </w:rPr>
        <w:t xml:space="preserve"> de travail.</w:t>
      </w:r>
    </w:p>
    <w:p w:rsidR="0032514B" w:rsidRPr="0032514B" w:rsidRDefault="0032514B" w:rsidP="0032514B">
      <w:pPr>
        <w:pStyle w:val="SingleTxt"/>
        <w:spacing w:after="0" w:line="120" w:lineRule="exact"/>
        <w:rPr>
          <w:sz w:val="10"/>
          <w:lang w:val="fr-FR"/>
        </w:rPr>
      </w:pPr>
    </w:p>
    <w:p w:rsidR="0032514B" w:rsidRDefault="0032514B" w:rsidP="003251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2514B">
        <w:rPr>
          <w:b w:val="0"/>
          <w:lang w:val="fr-FR"/>
        </w:rPr>
        <w:t xml:space="preserve">Tableau 3 </w:t>
      </w:r>
      <w:r w:rsidRPr="0032514B">
        <w:rPr>
          <w:b w:val="0"/>
          <w:lang w:val="fr-FR"/>
        </w:rPr>
        <w:br/>
      </w:r>
      <w:r w:rsidRPr="0032514B">
        <w:rPr>
          <w:lang w:val="fr-FR"/>
        </w:rPr>
        <w:t>Recommandations relatives à une nouvelle stratégie du SC.3</w:t>
      </w:r>
    </w:p>
    <w:p w:rsidR="0032514B" w:rsidRPr="0032514B" w:rsidRDefault="0032514B" w:rsidP="0032514B">
      <w:pPr>
        <w:pStyle w:val="SingleTxt"/>
        <w:spacing w:after="0" w:line="120" w:lineRule="exact"/>
        <w:rPr>
          <w:sz w:val="10"/>
          <w:lang w:val="fr-FR"/>
        </w:rPr>
      </w:pPr>
    </w:p>
    <w:p w:rsidR="0032514B" w:rsidRPr="0032514B" w:rsidRDefault="0032514B" w:rsidP="0032514B">
      <w:pPr>
        <w:pStyle w:val="SingleTxt"/>
        <w:spacing w:after="0" w:line="120" w:lineRule="exact"/>
        <w:rPr>
          <w:sz w:val="10"/>
          <w:lang w:val="fr-FR"/>
        </w:rPr>
      </w:pPr>
    </w:p>
    <w:tbl>
      <w:tblPr>
        <w:tblW w:w="8798" w:type="dxa"/>
        <w:tblInd w:w="12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5"/>
        <w:gridCol w:w="5913"/>
      </w:tblGrid>
      <w:tr w:rsidR="007640B1" w:rsidRPr="007640B1" w:rsidTr="00D4209E">
        <w:trPr>
          <w:tblHeader/>
        </w:trPr>
        <w:tc>
          <w:tcPr>
            <w:tcW w:w="2885" w:type="dxa"/>
            <w:tcBorders>
              <w:top w:val="single" w:sz="4" w:space="0" w:color="auto"/>
              <w:bottom w:val="single" w:sz="4" w:space="0" w:color="auto"/>
            </w:tcBorders>
            <w:shd w:val="clear" w:color="auto" w:fill="auto"/>
            <w:vAlign w:val="bottom"/>
          </w:tcPr>
          <w:p w:rsidR="007640B1" w:rsidRPr="007640B1" w:rsidRDefault="007640B1" w:rsidP="00CF3C8A">
            <w:pPr>
              <w:tabs>
                <w:tab w:val="left" w:pos="288"/>
                <w:tab w:val="left" w:pos="576"/>
                <w:tab w:val="left" w:pos="864"/>
                <w:tab w:val="left" w:pos="1152"/>
              </w:tabs>
              <w:suppressAutoHyphens/>
              <w:spacing w:before="80" w:after="80" w:line="160" w:lineRule="exact"/>
              <w:ind w:left="43" w:right="43"/>
              <w:rPr>
                <w:i/>
                <w:sz w:val="14"/>
                <w:lang w:val="fr-FR"/>
              </w:rPr>
            </w:pPr>
            <w:r>
              <w:rPr>
                <w:i/>
                <w:sz w:val="14"/>
                <w:lang w:val="fr-FR"/>
              </w:rPr>
              <w:t>Activité</w:t>
            </w:r>
          </w:p>
        </w:tc>
        <w:tc>
          <w:tcPr>
            <w:tcW w:w="5913" w:type="dxa"/>
            <w:tcBorders>
              <w:top w:val="single" w:sz="4" w:space="0" w:color="auto"/>
              <w:bottom w:val="single" w:sz="4" w:space="0" w:color="auto"/>
            </w:tcBorders>
            <w:shd w:val="clear" w:color="auto" w:fill="auto"/>
            <w:vAlign w:val="bottom"/>
          </w:tcPr>
          <w:p w:rsidR="007640B1" w:rsidRPr="007640B1" w:rsidRDefault="007640B1" w:rsidP="00CF3C8A">
            <w:pPr>
              <w:tabs>
                <w:tab w:val="left" w:pos="288"/>
                <w:tab w:val="left" w:pos="576"/>
                <w:tab w:val="left" w:pos="864"/>
                <w:tab w:val="left" w:pos="1152"/>
              </w:tabs>
              <w:suppressAutoHyphens/>
              <w:spacing w:before="80" w:after="80" w:line="160" w:lineRule="exact"/>
              <w:ind w:left="43" w:right="43"/>
              <w:rPr>
                <w:i/>
                <w:sz w:val="14"/>
                <w:lang w:val="fr-FR"/>
              </w:rPr>
            </w:pPr>
            <w:r>
              <w:rPr>
                <w:i/>
                <w:sz w:val="14"/>
                <w:lang w:val="fr-FR"/>
              </w:rPr>
              <w:t>Contenu</w:t>
            </w:r>
          </w:p>
        </w:tc>
      </w:tr>
      <w:tr w:rsidR="007640B1" w:rsidRPr="007640B1" w:rsidTr="00D4209E">
        <w:tc>
          <w:tcPr>
            <w:tcW w:w="2885" w:type="dxa"/>
            <w:tcBorders>
              <w:top w:val="single" w:sz="4" w:space="0" w:color="auto"/>
            </w:tcBorders>
            <w:shd w:val="clear" w:color="auto" w:fill="auto"/>
          </w:tcPr>
          <w:p w:rsidR="002A7EB8" w:rsidRPr="007640B1" w:rsidRDefault="002A7EB8" w:rsidP="00CF3C8A">
            <w:pPr>
              <w:tabs>
                <w:tab w:val="left" w:pos="288"/>
                <w:tab w:val="left" w:pos="576"/>
                <w:tab w:val="left" w:pos="864"/>
                <w:tab w:val="left" w:pos="1152"/>
              </w:tabs>
              <w:suppressAutoHyphens/>
              <w:spacing w:before="40" w:after="80"/>
              <w:ind w:left="43" w:right="43"/>
              <w:rPr>
                <w:lang w:val="fr-FR"/>
              </w:rPr>
            </w:pPr>
            <w:r>
              <w:rPr>
                <w:lang w:val="fr-FR"/>
              </w:rPr>
              <w:t>Activi</w:t>
            </w:r>
            <w:r w:rsidR="00FD08EE">
              <w:rPr>
                <w:lang w:val="fr-FR"/>
              </w:rPr>
              <w:t>t</w:t>
            </w:r>
            <w:r>
              <w:rPr>
                <w:lang w:val="fr-FR"/>
              </w:rPr>
              <w:t xml:space="preserve">é 1. </w:t>
            </w:r>
            <w:r>
              <w:rPr>
                <w:lang w:val="fr-FR"/>
              </w:rPr>
              <w:br/>
              <w:t>Poursuite des travaux relatifs à</w:t>
            </w:r>
            <w:r w:rsidR="000F4E65">
              <w:rPr>
                <w:lang w:val="fr-FR"/>
              </w:rPr>
              <w:t> </w:t>
            </w:r>
            <w:r>
              <w:rPr>
                <w:lang w:val="fr-FR"/>
              </w:rPr>
              <w:t>une concertation poli</w:t>
            </w:r>
            <w:r w:rsidR="000F4E65">
              <w:rPr>
                <w:lang w:val="fr-FR"/>
              </w:rPr>
              <w:t>t</w:t>
            </w:r>
            <w:r>
              <w:rPr>
                <w:lang w:val="fr-FR"/>
              </w:rPr>
              <w:t>ique paneuropéenne sur les questions liées aux transports par voie navigable (domaines : concertation poli</w:t>
            </w:r>
            <w:r w:rsidR="00C63BDC">
              <w:rPr>
                <w:lang w:val="fr-FR"/>
              </w:rPr>
              <w:t>t</w:t>
            </w:r>
            <w:r>
              <w:rPr>
                <w:lang w:val="fr-FR"/>
              </w:rPr>
              <w:t xml:space="preserve">ique, analyse et renforcement des capacités) </w:t>
            </w:r>
            <w:r>
              <w:rPr>
                <w:lang w:val="fr-FR"/>
              </w:rPr>
              <w:br/>
              <w:t>Activité permanente</w:t>
            </w:r>
          </w:p>
        </w:tc>
        <w:tc>
          <w:tcPr>
            <w:tcW w:w="5913" w:type="dxa"/>
            <w:tcBorders>
              <w:top w:val="single" w:sz="4" w:space="0" w:color="auto"/>
            </w:tcBorders>
            <w:shd w:val="clear" w:color="auto" w:fill="auto"/>
          </w:tcPr>
          <w:p w:rsidR="007640B1" w:rsidRDefault="00892FDB" w:rsidP="00CF3C8A">
            <w:pPr>
              <w:tabs>
                <w:tab w:val="left" w:pos="288"/>
                <w:tab w:val="left" w:pos="576"/>
                <w:tab w:val="left" w:pos="864"/>
                <w:tab w:val="left" w:pos="1152"/>
              </w:tabs>
              <w:suppressAutoHyphens/>
              <w:spacing w:before="40" w:after="80"/>
              <w:ind w:left="43" w:right="43"/>
              <w:rPr>
                <w:lang w:val="fr-FR"/>
              </w:rPr>
            </w:pPr>
            <w:r>
              <w:rPr>
                <w:lang w:val="fr-FR"/>
              </w:rPr>
              <w:t>1.1</w:t>
            </w:r>
            <w:r>
              <w:rPr>
                <w:lang w:val="fr-FR"/>
              </w:rPr>
              <w:tab/>
              <w:t>Poursuite des travaux relatifs aux recommandations stratégiques du Livre blanc sur l’efficacité et la viabilité du transport par voie navigable en Europe :</w:t>
            </w:r>
          </w:p>
          <w:p w:rsidR="00892FDB" w:rsidRPr="00892FDB" w:rsidRDefault="000F4E65" w:rsidP="00CF3C8A">
            <w:pPr>
              <w:tabs>
                <w:tab w:val="left" w:pos="288"/>
                <w:tab w:val="left" w:pos="576"/>
                <w:tab w:val="left" w:pos="864"/>
                <w:tab w:val="left" w:pos="1152"/>
              </w:tabs>
              <w:suppressAutoHyphens/>
              <w:spacing w:before="40" w:after="80"/>
              <w:ind w:left="43" w:right="43"/>
              <w:rPr>
                <w:lang w:val="fr-FR"/>
              </w:rPr>
            </w:pPr>
            <w:r>
              <w:rPr>
                <w:lang w:val="fr-FR"/>
              </w:rPr>
              <w:tab/>
            </w:r>
            <w:r w:rsidR="00892FDB" w:rsidRPr="00C63BDC">
              <w:rPr>
                <w:spacing w:val="0"/>
                <w:lang w:val="fr-FR"/>
              </w:rPr>
              <w:t>a)</w:t>
            </w:r>
            <w:r w:rsidR="00892FDB" w:rsidRPr="00C63BDC">
              <w:rPr>
                <w:spacing w:val="0"/>
                <w:lang w:val="fr-FR"/>
              </w:rPr>
              <w:tab/>
              <w:t>Établissement d’un rapport sur l’état de la mise en œuvre des</w:t>
            </w:r>
            <w:r w:rsidR="00C63BDC">
              <w:rPr>
                <w:lang w:val="fr-FR"/>
              </w:rPr>
              <w:t xml:space="preserve"> </w:t>
            </w:r>
            <w:r w:rsidR="00892FDB" w:rsidRPr="00892FDB">
              <w:rPr>
                <w:lang w:val="fr-FR"/>
              </w:rPr>
              <w:t>recommandations du Livre blanc (pour la soixante-dix-huitième session du Comité des transports intérieurs);</w:t>
            </w:r>
          </w:p>
          <w:p w:rsidR="00892FDB" w:rsidRPr="007640B1" w:rsidRDefault="00892FDB" w:rsidP="00D4209E">
            <w:pPr>
              <w:tabs>
                <w:tab w:val="left" w:pos="288"/>
                <w:tab w:val="left" w:pos="576"/>
                <w:tab w:val="left" w:pos="864"/>
                <w:tab w:val="left" w:pos="1152"/>
              </w:tabs>
              <w:suppressAutoHyphens/>
              <w:spacing w:before="40" w:after="80"/>
              <w:ind w:left="43" w:right="43"/>
              <w:rPr>
                <w:lang w:val="fr-FR"/>
              </w:rPr>
            </w:pPr>
            <w:r w:rsidRPr="00892FDB">
              <w:rPr>
                <w:lang w:val="fr-FR"/>
              </w:rPr>
              <w:t>Un aperçu fourni dans le document ECE/TRANS/SC.3/2015/1 a</w:t>
            </w:r>
            <w:r w:rsidR="00D4209E">
              <w:rPr>
                <w:lang w:val="fr-FR"/>
              </w:rPr>
              <w:t> </w:t>
            </w:r>
            <w:r w:rsidRPr="00892FDB">
              <w:rPr>
                <w:lang w:val="fr-FR"/>
              </w:rPr>
              <w:t>été approuvé par le SC.3 à sa cinquante-neuvième session;</w:t>
            </w:r>
          </w:p>
        </w:tc>
      </w:tr>
      <w:tr w:rsidR="00C63BDC" w:rsidRPr="007640B1" w:rsidTr="00D32316">
        <w:tc>
          <w:tcPr>
            <w:tcW w:w="2885" w:type="dxa"/>
            <w:tcBorders>
              <w:bottom w:val="nil"/>
            </w:tcBorders>
            <w:shd w:val="clear" w:color="auto" w:fill="auto"/>
          </w:tcPr>
          <w:p w:rsidR="00C63BDC" w:rsidRDefault="00C63BDC" w:rsidP="00CF3C8A">
            <w:pPr>
              <w:tabs>
                <w:tab w:val="left" w:pos="288"/>
                <w:tab w:val="left" w:pos="576"/>
                <w:tab w:val="left" w:pos="864"/>
                <w:tab w:val="left" w:pos="1152"/>
              </w:tabs>
              <w:suppressAutoHyphens/>
              <w:spacing w:before="40" w:after="80"/>
              <w:ind w:left="43" w:right="43"/>
              <w:rPr>
                <w:lang w:val="fr-FR"/>
              </w:rPr>
            </w:pPr>
          </w:p>
        </w:tc>
        <w:tc>
          <w:tcPr>
            <w:tcW w:w="5913" w:type="dxa"/>
            <w:tcBorders>
              <w:bottom w:val="nil"/>
            </w:tcBorders>
            <w:shd w:val="clear" w:color="auto" w:fill="auto"/>
          </w:tcPr>
          <w:p w:rsidR="00C63BDC" w:rsidRDefault="00C63BDC" w:rsidP="00C63BDC">
            <w:pPr>
              <w:tabs>
                <w:tab w:val="left" w:pos="288"/>
                <w:tab w:val="left" w:pos="576"/>
                <w:tab w:val="left" w:pos="864"/>
                <w:tab w:val="left" w:pos="1152"/>
              </w:tabs>
              <w:suppressAutoHyphens/>
              <w:spacing w:before="40" w:after="80"/>
              <w:ind w:left="43" w:right="43"/>
              <w:rPr>
                <w:lang w:val="fr-FR"/>
              </w:rPr>
            </w:pPr>
            <w:r w:rsidRPr="00892FDB">
              <w:rPr>
                <w:lang w:val="fr-FR"/>
              </w:rPr>
              <w:tab/>
              <w:t>b)</w:t>
            </w:r>
            <w:r w:rsidRPr="00892FDB">
              <w:rPr>
                <w:lang w:val="fr-FR"/>
              </w:rPr>
              <w:tab/>
              <w:t>Recensement des tâches non encore effectuées et intégration de celles-ci dans un programme de travail actualisé pour le prochain exercice biennal;</w:t>
            </w:r>
          </w:p>
        </w:tc>
      </w:tr>
      <w:tr w:rsidR="00C63BDC" w:rsidRPr="007640B1" w:rsidTr="00D32316">
        <w:tc>
          <w:tcPr>
            <w:tcW w:w="2885" w:type="dxa"/>
            <w:tcBorders>
              <w:top w:val="nil"/>
              <w:bottom w:val="nil"/>
            </w:tcBorders>
            <w:shd w:val="clear" w:color="auto" w:fill="auto"/>
          </w:tcPr>
          <w:p w:rsidR="00C63BDC" w:rsidRDefault="00C63BDC" w:rsidP="00CF3C8A">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nil"/>
            </w:tcBorders>
            <w:shd w:val="clear" w:color="auto" w:fill="auto"/>
          </w:tcPr>
          <w:p w:rsidR="00C63BDC" w:rsidRPr="00892FDB" w:rsidRDefault="00C63BDC" w:rsidP="00D4209E">
            <w:pPr>
              <w:tabs>
                <w:tab w:val="left" w:pos="288"/>
                <w:tab w:val="left" w:pos="576"/>
                <w:tab w:val="left" w:pos="864"/>
                <w:tab w:val="left" w:pos="1152"/>
              </w:tabs>
              <w:suppressAutoHyphens/>
              <w:spacing w:before="40" w:after="80"/>
              <w:ind w:left="43" w:right="43"/>
              <w:rPr>
                <w:lang w:val="fr-FR"/>
              </w:rPr>
            </w:pPr>
            <w:r>
              <w:rPr>
                <w:lang w:val="fr-FR"/>
              </w:rPr>
              <w:t>En se fondant sur l’alinéa </w:t>
            </w:r>
            <w:r w:rsidRPr="00892FDB">
              <w:rPr>
                <w:lang w:val="fr-FR"/>
              </w:rPr>
              <w:t>a) ci-dessus, actualiser régulièrement le</w:t>
            </w:r>
            <w:r w:rsidR="00D4209E">
              <w:rPr>
                <w:lang w:val="fr-FR"/>
              </w:rPr>
              <w:t> </w:t>
            </w:r>
            <w:r w:rsidRPr="00892FDB">
              <w:rPr>
                <w:lang w:val="fr-FR"/>
              </w:rPr>
              <w:t>programme de travail du SC.3 et les critères de l’évaluation biennale;</w:t>
            </w:r>
          </w:p>
        </w:tc>
      </w:tr>
      <w:tr w:rsidR="00C63BDC" w:rsidRPr="007640B1" w:rsidTr="00D32316">
        <w:tc>
          <w:tcPr>
            <w:tcW w:w="2885" w:type="dxa"/>
            <w:tcBorders>
              <w:top w:val="nil"/>
            </w:tcBorders>
            <w:shd w:val="clear" w:color="auto" w:fill="auto"/>
          </w:tcPr>
          <w:p w:rsidR="00C63BDC" w:rsidRDefault="00C63BDC" w:rsidP="00CF3C8A">
            <w:pPr>
              <w:tabs>
                <w:tab w:val="left" w:pos="288"/>
                <w:tab w:val="left" w:pos="576"/>
                <w:tab w:val="left" w:pos="864"/>
                <w:tab w:val="left" w:pos="1152"/>
              </w:tabs>
              <w:suppressAutoHyphens/>
              <w:spacing w:before="40" w:after="80"/>
              <w:ind w:left="43" w:right="43"/>
              <w:rPr>
                <w:lang w:val="fr-FR"/>
              </w:rPr>
            </w:pPr>
          </w:p>
        </w:tc>
        <w:tc>
          <w:tcPr>
            <w:tcW w:w="5913" w:type="dxa"/>
            <w:tcBorders>
              <w:top w:val="nil"/>
            </w:tcBorders>
            <w:shd w:val="clear" w:color="auto" w:fill="auto"/>
          </w:tcPr>
          <w:p w:rsidR="00C63BDC" w:rsidRDefault="00C63BDC" w:rsidP="00C63BDC">
            <w:pPr>
              <w:tabs>
                <w:tab w:val="left" w:pos="288"/>
                <w:tab w:val="left" w:pos="576"/>
                <w:tab w:val="left" w:pos="864"/>
                <w:tab w:val="left" w:pos="1152"/>
              </w:tabs>
              <w:suppressAutoHyphens/>
              <w:spacing w:before="40" w:after="80"/>
              <w:ind w:left="43" w:right="43"/>
              <w:rPr>
                <w:lang w:val="fr-FR"/>
              </w:rPr>
            </w:pPr>
            <w:r w:rsidRPr="00892FDB">
              <w:rPr>
                <w:lang w:val="fr-FR"/>
              </w:rPr>
              <w:tab/>
              <w:t>c)</w:t>
            </w:r>
            <w:r w:rsidRPr="00892FDB">
              <w:rPr>
                <w:lang w:val="fr-FR"/>
              </w:rPr>
              <w:tab/>
              <w:t>Établissement de projets de nouvelles recommandations stratégiques pour la prochaine édition du Livre blanc en se fondant sur une analyse de la mise en œuvre des recommandations des</w:t>
            </w:r>
            <w:r>
              <w:rPr>
                <w:lang w:val="fr-FR"/>
              </w:rPr>
              <w:t xml:space="preserve"> </w:t>
            </w:r>
            <w:r w:rsidRPr="00892FDB">
              <w:rPr>
                <w:lang w:val="fr-FR"/>
              </w:rPr>
              <w:t>deux éditions précédentes et sur les commentaires des États membres, des commissions fluviales et des autres acteurs concernés.</w:t>
            </w:r>
          </w:p>
        </w:tc>
      </w:tr>
      <w:tr w:rsidR="00C63BDC" w:rsidRPr="007640B1" w:rsidTr="00C63BDC">
        <w:tc>
          <w:tcPr>
            <w:tcW w:w="2885" w:type="dxa"/>
            <w:shd w:val="clear" w:color="auto" w:fill="auto"/>
          </w:tcPr>
          <w:p w:rsidR="00C63BDC" w:rsidRDefault="00C63BDC"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C63BDC" w:rsidRPr="00892FDB" w:rsidRDefault="00C63BDC" w:rsidP="00C63BDC">
            <w:pPr>
              <w:tabs>
                <w:tab w:val="left" w:pos="288"/>
                <w:tab w:val="left" w:pos="576"/>
                <w:tab w:val="left" w:pos="864"/>
                <w:tab w:val="left" w:pos="1152"/>
              </w:tabs>
              <w:suppressAutoHyphens/>
              <w:spacing w:before="40" w:after="80"/>
              <w:ind w:left="43" w:right="43"/>
              <w:rPr>
                <w:lang w:val="fr-FR"/>
              </w:rPr>
            </w:pPr>
            <w:r w:rsidRPr="00892FDB">
              <w:rPr>
                <w:lang w:val="fr-FR"/>
              </w:rPr>
              <w:t>La prochaine édition du Livre blanc devrait être publiée en 2022 ou 2023, mais une actualisation de la présente édition pourrait être publiée en 2016 ainsi qu’un examen analytique des transports par voie navigable dans la région de la CEE réalisé en collaboration avec les commissions fluviales.</w:t>
            </w:r>
          </w:p>
        </w:tc>
      </w:tr>
      <w:tr w:rsidR="00C63BDC" w:rsidRPr="007640B1" w:rsidTr="00C63BDC">
        <w:tc>
          <w:tcPr>
            <w:tcW w:w="2885" w:type="dxa"/>
            <w:shd w:val="clear" w:color="auto" w:fill="auto"/>
          </w:tcPr>
          <w:p w:rsidR="00C63BDC" w:rsidRDefault="00C63BDC"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C63BDC" w:rsidRPr="00892FDB" w:rsidRDefault="00C63BDC" w:rsidP="00C63BDC">
            <w:pPr>
              <w:tabs>
                <w:tab w:val="left" w:pos="288"/>
                <w:tab w:val="left" w:pos="576"/>
                <w:tab w:val="left" w:pos="864"/>
                <w:tab w:val="left" w:pos="1152"/>
              </w:tabs>
              <w:suppressAutoHyphens/>
              <w:spacing w:before="40" w:after="80"/>
              <w:ind w:left="43" w:right="43"/>
              <w:rPr>
                <w:lang w:val="fr-FR"/>
              </w:rPr>
            </w:pPr>
            <w:r w:rsidRPr="00892FDB">
              <w:rPr>
                <w:lang w:val="fr-FR"/>
              </w:rPr>
              <w:t>1.2</w:t>
            </w:r>
            <w:r w:rsidRPr="00892FDB">
              <w:rPr>
                <w:lang w:val="fr-FR"/>
              </w:rPr>
              <w:tab/>
              <w:t>Fourniture d’informations sur les questions relatives aux transports par voie navigable</w:t>
            </w:r>
            <w:r>
              <w:rPr>
                <w:lang w:val="fr-FR"/>
              </w:rPr>
              <w:t> </w:t>
            </w:r>
            <w:r w:rsidRPr="00892FDB">
              <w:rPr>
                <w:lang w:val="fr-FR"/>
              </w:rPr>
              <w:t>:</w:t>
            </w:r>
          </w:p>
        </w:tc>
      </w:tr>
      <w:tr w:rsidR="00C63BDC" w:rsidRPr="007640B1" w:rsidTr="00D4209E">
        <w:tc>
          <w:tcPr>
            <w:tcW w:w="2885" w:type="dxa"/>
            <w:tcBorders>
              <w:bottom w:val="nil"/>
            </w:tcBorders>
            <w:shd w:val="clear" w:color="auto" w:fill="auto"/>
          </w:tcPr>
          <w:p w:rsidR="00C63BDC" w:rsidRDefault="00C63BDC" w:rsidP="00CF3C8A">
            <w:pPr>
              <w:tabs>
                <w:tab w:val="left" w:pos="288"/>
                <w:tab w:val="left" w:pos="576"/>
                <w:tab w:val="left" w:pos="864"/>
                <w:tab w:val="left" w:pos="1152"/>
              </w:tabs>
              <w:suppressAutoHyphens/>
              <w:spacing w:before="40" w:after="80"/>
              <w:ind w:left="43" w:right="43"/>
              <w:rPr>
                <w:lang w:val="fr-FR"/>
              </w:rPr>
            </w:pPr>
          </w:p>
        </w:tc>
        <w:tc>
          <w:tcPr>
            <w:tcW w:w="5913" w:type="dxa"/>
            <w:tcBorders>
              <w:bottom w:val="nil"/>
            </w:tcBorders>
            <w:shd w:val="clear" w:color="auto" w:fill="auto"/>
          </w:tcPr>
          <w:p w:rsidR="00C63BDC" w:rsidRPr="00892FDB" w:rsidRDefault="00C63BDC" w:rsidP="00646D59">
            <w:pPr>
              <w:tabs>
                <w:tab w:val="left" w:pos="288"/>
                <w:tab w:val="left" w:pos="576"/>
                <w:tab w:val="left" w:pos="864"/>
                <w:tab w:val="left" w:pos="1152"/>
              </w:tabs>
              <w:suppressAutoHyphens/>
              <w:spacing w:before="40" w:after="80"/>
              <w:ind w:left="43" w:right="43"/>
              <w:rPr>
                <w:lang w:val="fr-FR"/>
              </w:rPr>
            </w:pPr>
            <w:r w:rsidRPr="00892FDB">
              <w:rPr>
                <w:lang w:val="fr-FR"/>
              </w:rPr>
              <w:tab/>
              <w:t>a)</w:t>
            </w:r>
            <w:r w:rsidRPr="00892FDB">
              <w:rPr>
                <w:lang w:val="fr-FR"/>
              </w:rPr>
              <w:tab/>
              <w:t>Collecte régulière, auprès des États membres et</w:t>
            </w:r>
            <w:r w:rsidR="00646D59">
              <w:rPr>
                <w:lang w:val="fr-FR"/>
              </w:rPr>
              <w:t xml:space="preserve"> </w:t>
            </w:r>
            <w:r w:rsidRPr="00892FDB">
              <w:rPr>
                <w:lang w:val="fr-FR"/>
              </w:rPr>
              <w:t>des commissions fluviales, d’informations sur toutes les questions en matière de transport par voie navigable intéressant les</w:t>
            </w:r>
            <w:r w:rsidR="00646D59">
              <w:rPr>
                <w:lang w:val="fr-FR"/>
              </w:rPr>
              <w:t xml:space="preserve"> </w:t>
            </w:r>
            <w:r w:rsidRPr="00892FDB">
              <w:rPr>
                <w:lang w:val="fr-FR"/>
              </w:rPr>
              <w:t>acteurs concernés.</w:t>
            </w:r>
          </w:p>
        </w:tc>
      </w:tr>
      <w:tr w:rsidR="00C63BDC" w:rsidRPr="007640B1" w:rsidTr="00D4209E">
        <w:tc>
          <w:tcPr>
            <w:tcW w:w="2885" w:type="dxa"/>
            <w:tcBorders>
              <w:top w:val="nil"/>
              <w:bottom w:val="single" w:sz="4" w:space="0" w:color="auto"/>
            </w:tcBorders>
            <w:shd w:val="clear" w:color="auto" w:fill="auto"/>
          </w:tcPr>
          <w:p w:rsidR="00C63BDC" w:rsidRDefault="00C63BDC" w:rsidP="00CF3C8A">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single" w:sz="4" w:space="0" w:color="auto"/>
            </w:tcBorders>
            <w:shd w:val="clear" w:color="auto" w:fill="auto"/>
          </w:tcPr>
          <w:p w:rsidR="00C63BDC" w:rsidRPr="00892FDB" w:rsidRDefault="00C63BDC" w:rsidP="00C63BDC">
            <w:pPr>
              <w:tabs>
                <w:tab w:val="left" w:pos="288"/>
                <w:tab w:val="left" w:pos="576"/>
                <w:tab w:val="left" w:pos="864"/>
                <w:tab w:val="left" w:pos="1152"/>
              </w:tabs>
              <w:suppressAutoHyphens/>
              <w:spacing w:before="40" w:after="80"/>
              <w:ind w:left="43" w:right="43"/>
              <w:rPr>
                <w:lang w:val="fr-FR"/>
              </w:rPr>
            </w:pPr>
            <w:r w:rsidRPr="00892FDB">
              <w:rPr>
                <w:lang w:val="fr-FR"/>
              </w:rPr>
              <w:t>1.3</w:t>
            </w:r>
            <w:r w:rsidRPr="00892FDB">
              <w:rPr>
                <w:lang w:val="fr-FR"/>
              </w:rPr>
              <w:tab/>
              <w:t>Organisation, lors des sessions du SC.3, d’ateliers sur des questions importantes, notamment les projets de développement des infrastructures, les</w:t>
            </w:r>
            <w:r>
              <w:rPr>
                <w:lang w:val="fr-FR"/>
              </w:rPr>
              <w:t xml:space="preserve"> </w:t>
            </w:r>
            <w:r w:rsidRPr="00892FDB">
              <w:rPr>
                <w:lang w:val="fr-FR"/>
              </w:rPr>
              <w:t>nouvelles tendances et les réalisations dans le secteur des</w:t>
            </w:r>
            <w:r>
              <w:rPr>
                <w:lang w:val="fr-FR"/>
              </w:rPr>
              <w:t xml:space="preserve"> </w:t>
            </w:r>
            <w:r w:rsidRPr="00892FDB">
              <w:rPr>
                <w:lang w:val="fr-FR"/>
              </w:rPr>
              <w:t>transports par voie navigable.</w:t>
            </w:r>
          </w:p>
        </w:tc>
      </w:tr>
      <w:tr w:rsidR="007640B1" w:rsidRPr="007640B1" w:rsidTr="00D4209E">
        <w:tc>
          <w:tcPr>
            <w:tcW w:w="2885" w:type="dxa"/>
            <w:tcBorders>
              <w:top w:val="single" w:sz="4" w:space="0" w:color="auto"/>
            </w:tcBorders>
            <w:shd w:val="clear" w:color="auto" w:fill="auto"/>
          </w:tcPr>
          <w:p w:rsidR="007640B1" w:rsidRPr="007640B1" w:rsidRDefault="000F4E65" w:rsidP="00646D59">
            <w:pPr>
              <w:tabs>
                <w:tab w:val="left" w:pos="288"/>
                <w:tab w:val="left" w:pos="576"/>
                <w:tab w:val="left" w:pos="864"/>
                <w:tab w:val="left" w:pos="1152"/>
              </w:tabs>
              <w:suppressAutoHyphens/>
              <w:spacing w:before="40" w:after="80"/>
              <w:ind w:left="43" w:right="43"/>
              <w:rPr>
                <w:lang w:val="fr-FR"/>
              </w:rPr>
            </w:pPr>
            <w:r w:rsidRPr="000F4E65">
              <w:rPr>
                <w:lang w:val="fr-FR"/>
              </w:rPr>
              <w:t>Activité 2.</w:t>
            </w:r>
            <w:r>
              <w:rPr>
                <w:lang w:val="fr-FR"/>
              </w:rPr>
              <w:t xml:space="preserve"> </w:t>
            </w:r>
            <w:r w:rsidRPr="000F4E65">
              <w:rPr>
                <w:lang w:val="fr-FR"/>
              </w:rPr>
              <w:br/>
              <w:t>Promotion d’un développement coordonné de l’infrastructure des</w:t>
            </w:r>
            <w:r>
              <w:rPr>
                <w:lang w:val="fr-FR"/>
              </w:rPr>
              <w:t xml:space="preserve"> </w:t>
            </w:r>
            <w:r w:rsidRPr="000F4E65">
              <w:rPr>
                <w:lang w:val="fr-FR"/>
              </w:rPr>
              <w:t>voies navigables (domaines : réglementation et renforcement des</w:t>
            </w:r>
            <w:r w:rsidR="00646D59">
              <w:rPr>
                <w:lang w:val="fr-FR"/>
              </w:rPr>
              <w:t xml:space="preserve"> </w:t>
            </w:r>
            <w:r w:rsidRPr="000F4E65">
              <w:rPr>
                <w:lang w:val="fr-FR"/>
              </w:rPr>
              <w:t>capacités)</w:t>
            </w:r>
            <w:r>
              <w:rPr>
                <w:lang w:val="fr-FR"/>
              </w:rPr>
              <w:t xml:space="preserve"> </w:t>
            </w:r>
            <w:r>
              <w:rPr>
                <w:lang w:val="fr-FR"/>
              </w:rPr>
              <w:br/>
            </w:r>
            <w:r w:rsidRPr="000F4E65">
              <w:rPr>
                <w:lang w:val="fr-FR"/>
              </w:rPr>
              <w:t>Activité permanente</w:t>
            </w:r>
          </w:p>
        </w:tc>
        <w:tc>
          <w:tcPr>
            <w:tcW w:w="5913" w:type="dxa"/>
            <w:tcBorders>
              <w:top w:val="single" w:sz="4" w:space="0" w:color="auto"/>
            </w:tcBorders>
            <w:shd w:val="clear" w:color="auto" w:fill="auto"/>
          </w:tcPr>
          <w:p w:rsidR="007640B1" w:rsidRDefault="000F4E65" w:rsidP="00646D59">
            <w:pPr>
              <w:tabs>
                <w:tab w:val="left" w:pos="288"/>
                <w:tab w:val="left" w:pos="576"/>
                <w:tab w:val="left" w:pos="864"/>
                <w:tab w:val="left" w:pos="1152"/>
              </w:tabs>
              <w:suppressAutoHyphens/>
              <w:spacing w:before="40" w:after="80"/>
              <w:ind w:left="43" w:right="43"/>
              <w:rPr>
                <w:lang w:val="fr-FR"/>
              </w:rPr>
            </w:pPr>
            <w:r w:rsidRPr="000F4E65">
              <w:rPr>
                <w:lang w:val="fr-FR"/>
              </w:rPr>
              <w:t>2.1</w:t>
            </w:r>
            <w:r w:rsidRPr="000F4E65">
              <w:rPr>
                <w:lang w:val="fr-FR"/>
              </w:rPr>
              <w:tab/>
              <w:t>Administration de l’Accord européen sur les grandes voies navigables d’importance internationale (AGN)</w:t>
            </w:r>
            <w:r>
              <w:rPr>
                <w:lang w:val="fr-FR"/>
              </w:rPr>
              <w:t> </w:t>
            </w:r>
            <w:r w:rsidRPr="000F4E65">
              <w:rPr>
                <w:lang w:val="fr-FR"/>
              </w:rPr>
              <w:t>:</w:t>
            </w:r>
          </w:p>
          <w:p w:rsidR="00646D59" w:rsidRDefault="00646D59" w:rsidP="00646D59">
            <w:pPr>
              <w:tabs>
                <w:tab w:val="left" w:pos="288"/>
                <w:tab w:val="left" w:pos="576"/>
                <w:tab w:val="left" w:pos="864"/>
                <w:tab w:val="left" w:pos="1152"/>
              </w:tabs>
              <w:suppressAutoHyphens/>
              <w:spacing w:before="40" w:after="80"/>
              <w:ind w:left="43" w:right="43"/>
              <w:rPr>
                <w:lang w:val="fr-FR"/>
              </w:rPr>
            </w:pPr>
            <w:r w:rsidRPr="000F4E65">
              <w:rPr>
                <w:lang w:val="fr-FR"/>
              </w:rPr>
              <w:tab/>
              <w:t>a)</w:t>
            </w:r>
            <w:r w:rsidRPr="000F4E65">
              <w:rPr>
                <w:lang w:val="fr-FR"/>
              </w:rPr>
              <w:tab/>
              <w:t>Poursuite du suivi de la mise en œuvre de l’AGN et</w:t>
            </w:r>
            <w:r>
              <w:rPr>
                <w:lang w:val="fr-FR"/>
              </w:rPr>
              <w:t xml:space="preserve"> </w:t>
            </w:r>
            <w:r w:rsidRPr="000F4E65">
              <w:rPr>
                <w:lang w:val="fr-FR"/>
              </w:rPr>
              <w:t>examen des éventuels amendements à y apporter;</w:t>
            </w:r>
          </w:p>
          <w:p w:rsidR="00646D59" w:rsidRPr="007640B1" w:rsidRDefault="00646D59" w:rsidP="00646D59">
            <w:pPr>
              <w:tabs>
                <w:tab w:val="left" w:pos="288"/>
                <w:tab w:val="left" w:pos="576"/>
                <w:tab w:val="left" w:pos="864"/>
                <w:tab w:val="left" w:pos="1152"/>
              </w:tabs>
              <w:suppressAutoHyphens/>
              <w:spacing w:before="40" w:after="80"/>
              <w:ind w:left="43" w:right="43"/>
              <w:rPr>
                <w:lang w:val="fr-FR"/>
              </w:rPr>
            </w:pPr>
            <w:r w:rsidRPr="000F4E65">
              <w:rPr>
                <w:lang w:val="fr-FR"/>
              </w:rPr>
              <w:tab/>
              <w:t>b)</w:t>
            </w:r>
            <w:r w:rsidRPr="000F4E65">
              <w:rPr>
                <w:lang w:val="fr-FR"/>
              </w:rPr>
              <w:tab/>
              <w:t>Lancement d’invitations aux États membres et autres acteurs à organiser des projets d’infrastructure et à y participer, et à présenter les</w:t>
            </w:r>
            <w:r>
              <w:rPr>
                <w:lang w:val="fr-FR"/>
              </w:rPr>
              <w:t xml:space="preserve"> </w:t>
            </w:r>
            <w:r w:rsidRPr="000F4E65">
              <w:rPr>
                <w:lang w:val="fr-FR"/>
              </w:rPr>
              <w:t>résultats de leurs travaux de recherche lors des sessions du</w:t>
            </w:r>
            <w:r>
              <w:rPr>
                <w:lang w:val="fr-FR"/>
              </w:rPr>
              <w:t xml:space="preserve"> </w:t>
            </w:r>
            <w:r w:rsidRPr="000F4E65">
              <w:rPr>
                <w:lang w:val="fr-FR"/>
              </w:rPr>
              <w:t>SC.3 et</w:t>
            </w:r>
            <w:r>
              <w:rPr>
                <w:lang w:val="fr-FR"/>
              </w:rPr>
              <w:t xml:space="preserve"> </w:t>
            </w:r>
            <w:r w:rsidRPr="000F4E65">
              <w:rPr>
                <w:lang w:val="fr-FR"/>
              </w:rPr>
              <w:t>du SC.3/WP.3;</w:t>
            </w:r>
          </w:p>
        </w:tc>
      </w:tr>
      <w:tr w:rsidR="00646D59" w:rsidRPr="007640B1" w:rsidTr="00C63BDC">
        <w:tc>
          <w:tcPr>
            <w:tcW w:w="2885" w:type="dxa"/>
            <w:shd w:val="clear" w:color="auto" w:fill="auto"/>
          </w:tcPr>
          <w:p w:rsidR="00646D59" w:rsidRPr="000F4E65" w:rsidRDefault="00646D59" w:rsidP="00646D59">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646D59" w:rsidRPr="00D4209E" w:rsidRDefault="00646D59" w:rsidP="00D4209E">
            <w:pPr>
              <w:tabs>
                <w:tab w:val="left" w:pos="288"/>
                <w:tab w:val="left" w:pos="576"/>
                <w:tab w:val="left" w:pos="864"/>
                <w:tab w:val="left" w:pos="1152"/>
              </w:tabs>
              <w:suppressAutoHyphens/>
              <w:spacing w:before="40" w:after="80"/>
              <w:ind w:left="43" w:right="43"/>
              <w:rPr>
                <w:spacing w:val="2"/>
                <w:lang w:val="fr-FR"/>
              </w:rPr>
            </w:pPr>
            <w:r w:rsidRPr="00D4209E">
              <w:rPr>
                <w:spacing w:val="2"/>
                <w:lang w:val="fr-FR"/>
              </w:rPr>
              <w:tab/>
              <w:t>c)</w:t>
            </w:r>
            <w:r w:rsidRPr="00D4209E">
              <w:rPr>
                <w:spacing w:val="2"/>
                <w:lang w:val="fr-FR"/>
              </w:rPr>
              <w:tab/>
              <w:t>Poursuit de l’extension de l’AGN aux routes côtières et aux</w:t>
            </w:r>
            <w:r w:rsidR="00D4209E">
              <w:rPr>
                <w:spacing w:val="2"/>
                <w:lang w:val="fr-FR"/>
              </w:rPr>
              <w:t> </w:t>
            </w:r>
            <w:r w:rsidRPr="00D4209E">
              <w:rPr>
                <w:spacing w:val="2"/>
                <w:lang w:val="fr-FR"/>
              </w:rPr>
              <w:t>ports en coopération avec le Groupe de travail du transport intermodal et de la logistique (WP.24) et le Groupe de travail chargé d’examiner les tendances et l’économie des transports (WP.5).</w:t>
            </w:r>
          </w:p>
        </w:tc>
      </w:tr>
      <w:tr w:rsidR="00646D59" w:rsidRPr="007640B1" w:rsidTr="00C63BDC">
        <w:tc>
          <w:tcPr>
            <w:tcW w:w="2885" w:type="dxa"/>
            <w:shd w:val="clear" w:color="auto" w:fill="auto"/>
          </w:tcPr>
          <w:p w:rsidR="00646D59" w:rsidRPr="000F4E65" w:rsidRDefault="00646D59" w:rsidP="00646D59">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646D59" w:rsidRPr="000F4E65" w:rsidRDefault="00646D59" w:rsidP="00D4209E">
            <w:pPr>
              <w:tabs>
                <w:tab w:val="left" w:pos="288"/>
                <w:tab w:val="left" w:pos="576"/>
                <w:tab w:val="left" w:pos="864"/>
                <w:tab w:val="left" w:pos="1152"/>
              </w:tabs>
              <w:suppressAutoHyphens/>
              <w:spacing w:before="40" w:after="80"/>
              <w:ind w:left="43" w:right="43"/>
              <w:rPr>
                <w:lang w:val="fr-FR"/>
              </w:rPr>
            </w:pPr>
            <w:r w:rsidRPr="000F4E65">
              <w:rPr>
                <w:lang w:val="fr-FR"/>
              </w:rPr>
              <w:t>Le débat concernant la question de savoir quelles routes côtières intégrer dans l’AGN pourrait être mené par le SC.3 et le</w:t>
            </w:r>
            <w:r>
              <w:rPr>
                <w:lang w:val="fr-FR"/>
              </w:rPr>
              <w:t xml:space="preserve"> </w:t>
            </w:r>
            <w:r w:rsidRPr="000F4E65">
              <w:rPr>
                <w:lang w:val="fr-FR"/>
              </w:rPr>
              <w:t>SC.3/WP.3 compte tenu des nouveaux types de navires fluviomaritimes proposés en 1999 par l’Association mondiale pour</w:t>
            </w:r>
            <w:r w:rsidR="00D4209E">
              <w:rPr>
                <w:lang w:val="fr-FR"/>
              </w:rPr>
              <w:t> </w:t>
            </w:r>
            <w:r w:rsidRPr="000F4E65">
              <w:rPr>
                <w:lang w:val="fr-FR"/>
              </w:rPr>
              <w:t>les infrastructures de transport maritimes et fluviales.</w:t>
            </w:r>
          </w:p>
        </w:tc>
      </w:tr>
      <w:tr w:rsidR="00646D59" w:rsidRPr="007640B1" w:rsidTr="00C63BDC">
        <w:tc>
          <w:tcPr>
            <w:tcW w:w="2885" w:type="dxa"/>
            <w:shd w:val="clear" w:color="auto" w:fill="auto"/>
          </w:tcPr>
          <w:p w:rsidR="00646D59" w:rsidRPr="000F4E65" w:rsidRDefault="00646D59" w:rsidP="00646D59">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646D59" w:rsidRPr="000F4E65" w:rsidRDefault="00646D59" w:rsidP="00646D59">
            <w:pPr>
              <w:tabs>
                <w:tab w:val="left" w:pos="288"/>
                <w:tab w:val="left" w:pos="576"/>
                <w:tab w:val="left" w:pos="864"/>
                <w:tab w:val="left" w:pos="1152"/>
              </w:tabs>
              <w:suppressAutoHyphens/>
              <w:spacing w:before="40" w:after="80"/>
              <w:ind w:left="43" w:right="43"/>
              <w:rPr>
                <w:lang w:val="fr-FR"/>
              </w:rPr>
            </w:pPr>
            <w:r w:rsidRPr="000F4E65">
              <w:rPr>
                <w:lang w:val="fr-FR"/>
              </w:rPr>
              <w:t>2.2</w:t>
            </w:r>
            <w:r w:rsidRPr="000F4E65">
              <w:rPr>
                <w:lang w:val="fr-FR"/>
              </w:rPr>
              <w:tab/>
              <w:t>Entretien des voies navigables</w:t>
            </w:r>
            <w:r w:rsidR="00C21731">
              <w:rPr>
                <w:lang w:val="fr-FR"/>
              </w:rPr>
              <w:t> </w:t>
            </w:r>
            <w:r w:rsidRPr="000F4E65">
              <w:rPr>
                <w:lang w:val="fr-FR"/>
              </w:rPr>
              <w:t>: tenir les États membres informés des progrès réalisés par l’Union européenne (UE) dans la réalisation du projet NAIADES II</w:t>
            </w:r>
            <w:r>
              <w:rPr>
                <w:lang w:val="fr-FR"/>
              </w:rPr>
              <w:t> </w:t>
            </w:r>
            <w:r w:rsidRPr="000F4E65">
              <w:rPr>
                <w:lang w:val="fr-FR"/>
              </w:rPr>
              <w:t>:</w:t>
            </w:r>
          </w:p>
        </w:tc>
      </w:tr>
      <w:tr w:rsidR="00646D59" w:rsidRPr="007640B1" w:rsidTr="00D32316">
        <w:tc>
          <w:tcPr>
            <w:tcW w:w="2885" w:type="dxa"/>
            <w:tcBorders>
              <w:bottom w:val="nil"/>
            </w:tcBorders>
            <w:shd w:val="clear" w:color="auto" w:fill="auto"/>
          </w:tcPr>
          <w:p w:rsidR="00646D59" w:rsidRPr="000F4E65" w:rsidRDefault="00646D59" w:rsidP="00646D59">
            <w:pPr>
              <w:tabs>
                <w:tab w:val="left" w:pos="288"/>
                <w:tab w:val="left" w:pos="576"/>
                <w:tab w:val="left" w:pos="864"/>
                <w:tab w:val="left" w:pos="1152"/>
              </w:tabs>
              <w:suppressAutoHyphens/>
              <w:spacing w:before="40" w:after="80"/>
              <w:ind w:left="43" w:right="43"/>
              <w:rPr>
                <w:lang w:val="fr-FR"/>
              </w:rPr>
            </w:pPr>
          </w:p>
        </w:tc>
        <w:tc>
          <w:tcPr>
            <w:tcW w:w="5913" w:type="dxa"/>
            <w:tcBorders>
              <w:bottom w:val="nil"/>
            </w:tcBorders>
            <w:shd w:val="clear" w:color="auto" w:fill="auto"/>
          </w:tcPr>
          <w:p w:rsidR="00646D59" w:rsidRPr="000F4E65" w:rsidRDefault="00646D59" w:rsidP="009C2518">
            <w:pPr>
              <w:tabs>
                <w:tab w:val="left" w:pos="288"/>
                <w:tab w:val="left" w:pos="576"/>
                <w:tab w:val="left" w:pos="864"/>
                <w:tab w:val="left" w:pos="1152"/>
              </w:tabs>
              <w:suppressAutoHyphens/>
              <w:spacing w:before="40" w:after="80"/>
              <w:ind w:left="43" w:right="43"/>
              <w:rPr>
                <w:lang w:val="fr-FR"/>
              </w:rPr>
            </w:pPr>
            <w:r w:rsidRPr="000F4E65">
              <w:rPr>
                <w:lang w:val="fr-FR"/>
              </w:rPr>
              <w:tab/>
              <w:t>a)</w:t>
            </w:r>
            <w:r w:rsidRPr="000F4E65">
              <w:rPr>
                <w:lang w:val="fr-FR"/>
              </w:rPr>
              <w:tab/>
              <w:t>Lancement d’une invitation au Groupe d’experts de l’entretien des voies navigables de l’UE à assister à une session du</w:t>
            </w:r>
            <w:r w:rsidR="009C2518">
              <w:rPr>
                <w:lang w:val="fr-FR"/>
              </w:rPr>
              <w:t> </w:t>
            </w:r>
            <w:r w:rsidRPr="000F4E65">
              <w:rPr>
                <w:lang w:val="fr-FR"/>
              </w:rPr>
              <w:t>SC.3;</w:t>
            </w:r>
          </w:p>
        </w:tc>
      </w:tr>
      <w:tr w:rsidR="00646D59" w:rsidRPr="007640B1" w:rsidTr="00D32316">
        <w:tc>
          <w:tcPr>
            <w:tcW w:w="2885" w:type="dxa"/>
            <w:tcBorders>
              <w:top w:val="nil"/>
              <w:bottom w:val="nil"/>
            </w:tcBorders>
            <w:shd w:val="clear" w:color="auto" w:fill="auto"/>
          </w:tcPr>
          <w:p w:rsidR="00646D59" w:rsidRPr="000F4E65" w:rsidRDefault="00646D59" w:rsidP="00646D59">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nil"/>
            </w:tcBorders>
            <w:shd w:val="clear" w:color="auto" w:fill="auto"/>
          </w:tcPr>
          <w:p w:rsidR="00646D59" w:rsidRPr="000F4E65" w:rsidRDefault="00646D59" w:rsidP="00646D59">
            <w:pPr>
              <w:tabs>
                <w:tab w:val="left" w:pos="288"/>
                <w:tab w:val="left" w:pos="576"/>
                <w:tab w:val="left" w:pos="864"/>
                <w:tab w:val="left" w:pos="1152"/>
              </w:tabs>
              <w:suppressAutoHyphens/>
              <w:spacing w:before="40" w:after="80"/>
              <w:ind w:left="43" w:right="43"/>
              <w:rPr>
                <w:lang w:val="fr-FR"/>
              </w:rPr>
            </w:pPr>
            <w:r w:rsidRPr="000F4E65">
              <w:rPr>
                <w:lang w:val="fr-FR"/>
              </w:rPr>
              <w:tab/>
              <w:t>b)</w:t>
            </w:r>
            <w:r w:rsidRPr="000F4E65">
              <w:rPr>
                <w:lang w:val="fr-FR"/>
              </w:rPr>
              <w:tab/>
              <w:t>Organisation d’un atelier en vue de partager les bonnes pratiques dans ce domaine.</w:t>
            </w:r>
          </w:p>
        </w:tc>
      </w:tr>
      <w:tr w:rsidR="00646D59" w:rsidRPr="007640B1" w:rsidTr="00D32316">
        <w:tc>
          <w:tcPr>
            <w:tcW w:w="2885" w:type="dxa"/>
            <w:tcBorders>
              <w:top w:val="nil"/>
              <w:bottom w:val="nil"/>
            </w:tcBorders>
            <w:shd w:val="clear" w:color="auto" w:fill="auto"/>
          </w:tcPr>
          <w:p w:rsidR="00646D59" w:rsidRPr="000F4E65" w:rsidRDefault="00646D59" w:rsidP="00646D59">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nil"/>
            </w:tcBorders>
            <w:shd w:val="clear" w:color="auto" w:fill="auto"/>
          </w:tcPr>
          <w:p w:rsidR="00646D59" w:rsidRPr="000F4E65" w:rsidRDefault="00646D59" w:rsidP="00646D59">
            <w:pPr>
              <w:tabs>
                <w:tab w:val="left" w:pos="288"/>
                <w:tab w:val="left" w:pos="576"/>
                <w:tab w:val="left" w:pos="864"/>
                <w:tab w:val="left" w:pos="1152"/>
              </w:tabs>
              <w:suppressAutoHyphens/>
              <w:spacing w:before="40" w:after="80"/>
              <w:ind w:left="43" w:right="43"/>
              <w:rPr>
                <w:lang w:val="fr-FR"/>
              </w:rPr>
            </w:pPr>
            <w:r w:rsidRPr="000F4E65">
              <w:rPr>
                <w:lang w:val="fr-FR"/>
              </w:rPr>
              <w:t>2.3</w:t>
            </w:r>
            <w:r w:rsidRPr="000F4E65">
              <w:rPr>
                <w:lang w:val="fr-FR"/>
              </w:rPr>
              <w:tab/>
              <w:t xml:space="preserve">Poursuite des révisions régulières du Livre bleu et de la Résolution </w:t>
            </w:r>
            <w:r>
              <w:rPr>
                <w:lang w:val="fr-FR"/>
              </w:rPr>
              <w:t>n</w:t>
            </w:r>
            <w:r w:rsidRPr="000F4E65">
              <w:rPr>
                <w:vertAlign w:val="superscript"/>
                <w:lang w:val="fr-FR"/>
              </w:rPr>
              <w:t>o</w:t>
            </w:r>
            <w:r>
              <w:rPr>
                <w:lang w:val="fr-FR"/>
              </w:rPr>
              <w:t> </w:t>
            </w:r>
            <w:r w:rsidRPr="000F4E65">
              <w:rPr>
                <w:lang w:val="fr-FR"/>
              </w:rPr>
              <w:t>49.</w:t>
            </w:r>
          </w:p>
        </w:tc>
      </w:tr>
      <w:tr w:rsidR="00646D59" w:rsidRPr="007640B1" w:rsidTr="00D4209E">
        <w:tc>
          <w:tcPr>
            <w:tcW w:w="2885" w:type="dxa"/>
            <w:tcBorders>
              <w:top w:val="nil"/>
              <w:bottom w:val="single" w:sz="4" w:space="0" w:color="auto"/>
            </w:tcBorders>
            <w:shd w:val="clear" w:color="auto" w:fill="auto"/>
          </w:tcPr>
          <w:p w:rsidR="00646D59" w:rsidRPr="000F4E65" w:rsidRDefault="00646D59" w:rsidP="00646D59">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single" w:sz="4" w:space="0" w:color="auto"/>
            </w:tcBorders>
            <w:shd w:val="clear" w:color="auto" w:fill="auto"/>
          </w:tcPr>
          <w:p w:rsidR="00646D59" w:rsidRPr="000F4E65" w:rsidRDefault="00646D59" w:rsidP="009C2518">
            <w:pPr>
              <w:tabs>
                <w:tab w:val="left" w:pos="288"/>
                <w:tab w:val="left" w:pos="576"/>
                <w:tab w:val="left" w:pos="864"/>
                <w:tab w:val="left" w:pos="1152"/>
              </w:tabs>
              <w:suppressAutoHyphens/>
              <w:spacing w:before="40" w:after="80"/>
              <w:ind w:left="43" w:right="43"/>
              <w:rPr>
                <w:lang w:val="fr-FR"/>
              </w:rPr>
            </w:pPr>
            <w:r w:rsidRPr="000F4E65">
              <w:rPr>
                <w:lang w:val="fr-FR"/>
              </w:rPr>
              <w:t>La prochaine révision du Livre bleu est prévue pour 2016. Afin de</w:t>
            </w:r>
            <w:r w:rsidR="00D4209E">
              <w:rPr>
                <w:lang w:val="fr-FR"/>
              </w:rPr>
              <w:t> </w:t>
            </w:r>
            <w:r w:rsidRPr="000F4E65">
              <w:rPr>
                <w:lang w:val="fr-FR"/>
              </w:rPr>
              <w:t>faciliter les travaux futurs, le SC.3 pourrait continuer de suivre la</w:t>
            </w:r>
            <w:r w:rsidR="00D4209E">
              <w:rPr>
                <w:lang w:val="fr-FR"/>
              </w:rPr>
              <w:t> </w:t>
            </w:r>
            <w:r w:rsidRPr="000F4E65">
              <w:rPr>
                <w:lang w:val="fr-FR"/>
              </w:rPr>
              <w:t>réalisation des projets d’infrastructure et le secrétariat pourrait communiquer avec les entités conc</w:t>
            </w:r>
            <w:r>
              <w:rPr>
                <w:lang w:val="fr-FR"/>
              </w:rPr>
              <w:t>ernées pour informer le SC.3 et</w:t>
            </w:r>
            <w:r w:rsidR="009C2518">
              <w:rPr>
                <w:lang w:val="fr-FR"/>
              </w:rPr>
              <w:t> </w:t>
            </w:r>
            <w:r w:rsidRPr="000F4E65">
              <w:rPr>
                <w:lang w:val="fr-FR"/>
              </w:rPr>
              <w:t>le SC.3/WP.3 des projets et réalisations actuels.</w:t>
            </w:r>
          </w:p>
        </w:tc>
      </w:tr>
      <w:tr w:rsidR="007640B1" w:rsidRPr="007640B1" w:rsidTr="00D4209E">
        <w:tc>
          <w:tcPr>
            <w:tcW w:w="2885" w:type="dxa"/>
            <w:tcBorders>
              <w:top w:val="single" w:sz="4" w:space="0" w:color="auto"/>
            </w:tcBorders>
            <w:shd w:val="clear" w:color="auto" w:fill="auto"/>
          </w:tcPr>
          <w:p w:rsidR="007640B1" w:rsidRPr="007640B1" w:rsidRDefault="000F4E65" w:rsidP="00CF3C8A">
            <w:pPr>
              <w:tabs>
                <w:tab w:val="left" w:pos="288"/>
                <w:tab w:val="left" w:pos="576"/>
                <w:tab w:val="left" w:pos="864"/>
                <w:tab w:val="left" w:pos="1152"/>
              </w:tabs>
              <w:suppressAutoHyphens/>
              <w:spacing w:before="40" w:after="80"/>
              <w:ind w:left="43" w:right="43"/>
              <w:rPr>
                <w:lang w:val="fr-FR"/>
              </w:rPr>
            </w:pPr>
            <w:r w:rsidRPr="000F4E65">
              <w:rPr>
                <w:lang w:val="fr-FR"/>
              </w:rPr>
              <w:t>Activité 3.</w:t>
            </w:r>
            <w:r>
              <w:rPr>
                <w:lang w:val="fr-FR"/>
              </w:rPr>
              <w:t xml:space="preserve"> </w:t>
            </w:r>
            <w:r w:rsidRPr="000F4E65">
              <w:rPr>
                <w:lang w:val="fr-FR"/>
              </w:rPr>
              <w:br/>
              <w:t>Formulation de</w:t>
            </w:r>
            <w:r>
              <w:rPr>
                <w:lang w:val="fr-FR"/>
              </w:rPr>
              <w:t xml:space="preserve"> </w:t>
            </w:r>
            <w:r w:rsidRPr="000F4E65">
              <w:rPr>
                <w:lang w:val="fr-FR"/>
              </w:rPr>
              <w:t>prescriptions relatives à la sécurité et aux opérations en</w:t>
            </w:r>
            <w:r>
              <w:rPr>
                <w:lang w:val="fr-FR"/>
              </w:rPr>
              <w:t xml:space="preserve"> </w:t>
            </w:r>
            <w:r w:rsidRPr="000F4E65">
              <w:rPr>
                <w:lang w:val="fr-FR"/>
              </w:rPr>
              <w:t>matière de navigation intérieure (domaines : réglementation et renforcement des</w:t>
            </w:r>
            <w:r w:rsidR="00660C2D">
              <w:rPr>
                <w:lang w:val="fr-FR"/>
              </w:rPr>
              <w:t xml:space="preserve"> </w:t>
            </w:r>
            <w:r w:rsidRPr="000F4E65">
              <w:rPr>
                <w:lang w:val="fr-FR"/>
              </w:rPr>
              <w:t xml:space="preserve">capacités) </w:t>
            </w:r>
            <w:r>
              <w:rPr>
                <w:lang w:val="fr-FR"/>
              </w:rPr>
              <w:br/>
            </w:r>
            <w:r w:rsidRPr="000F4E65">
              <w:rPr>
                <w:lang w:val="fr-FR"/>
              </w:rPr>
              <w:t>Activité permanente</w:t>
            </w:r>
          </w:p>
        </w:tc>
        <w:tc>
          <w:tcPr>
            <w:tcW w:w="5913" w:type="dxa"/>
            <w:tcBorders>
              <w:top w:val="single" w:sz="4" w:space="0" w:color="auto"/>
            </w:tcBorders>
            <w:shd w:val="clear" w:color="auto" w:fill="auto"/>
          </w:tcPr>
          <w:p w:rsidR="000F4E65" w:rsidRPr="000F4E65" w:rsidRDefault="000F4E65" w:rsidP="00CF3C8A">
            <w:pPr>
              <w:tabs>
                <w:tab w:val="left" w:pos="288"/>
                <w:tab w:val="left" w:pos="576"/>
                <w:tab w:val="left" w:pos="864"/>
                <w:tab w:val="left" w:pos="1152"/>
              </w:tabs>
              <w:suppressAutoHyphens/>
              <w:spacing w:before="40" w:after="80"/>
              <w:ind w:left="43" w:right="43"/>
              <w:rPr>
                <w:lang w:val="fr-FR"/>
              </w:rPr>
            </w:pPr>
            <w:r w:rsidRPr="000F4E65">
              <w:rPr>
                <w:lang w:val="fr-FR"/>
              </w:rPr>
              <w:t>3.1</w:t>
            </w:r>
            <w:r w:rsidRPr="000F4E65">
              <w:rPr>
                <w:lang w:val="fr-FR"/>
              </w:rPr>
              <w:tab/>
              <w:t>Harmonisation des prescriptions techniques applicables aux</w:t>
            </w:r>
            <w:r>
              <w:rPr>
                <w:lang w:val="fr-FR"/>
              </w:rPr>
              <w:t xml:space="preserve"> </w:t>
            </w:r>
            <w:r w:rsidRPr="000F4E65">
              <w:rPr>
                <w:lang w:val="fr-FR"/>
              </w:rPr>
              <w:t>bateaux</w:t>
            </w:r>
            <w:r>
              <w:rPr>
                <w:lang w:val="fr-FR"/>
              </w:rPr>
              <w:t> </w:t>
            </w:r>
            <w:r w:rsidRPr="000F4E65">
              <w:rPr>
                <w:lang w:val="fr-FR"/>
              </w:rPr>
              <w:t>:</w:t>
            </w:r>
          </w:p>
          <w:p w:rsidR="007640B1" w:rsidRDefault="000F4E65" w:rsidP="002609E8">
            <w:pPr>
              <w:tabs>
                <w:tab w:val="left" w:pos="288"/>
                <w:tab w:val="left" w:pos="576"/>
                <w:tab w:val="left" w:pos="864"/>
                <w:tab w:val="left" w:pos="1152"/>
              </w:tabs>
              <w:suppressAutoHyphens/>
              <w:spacing w:before="40" w:after="80"/>
              <w:ind w:left="43" w:right="43"/>
              <w:rPr>
                <w:lang w:val="fr-FR"/>
              </w:rPr>
            </w:pPr>
            <w:r w:rsidRPr="000F4E65">
              <w:rPr>
                <w:lang w:val="fr-FR"/>
              </w:rPr>
              <w:tab/>
              <w:t>a)</w:t>
            </w:r>
            <w:r w:rsidRPr="000F4E65">
              <w:rPr>
                <w:lang w:val="fr-FR"/>
              </w:rPr>
              <w:tab/>
              <w:t xml:space="preserve">Poursuite des travaux d’actualisation des résolutions </w:t>
            </w:r>
            <w:r>
              <w:rPr>
                <w:lang w:val="fr-FR"/>
              </w:rPr>
              <w:t>n</w:t>
            </w:r>
            <w:r w:rsidRPr="000F4E65">
              <w:rPr>
                <w:vertAlign w:val="superscript"/>
                <w:lang w:val="fr-FR"/>
              </w:rPr>
              <w:t>os</w:t>
            </w:r>
            <w:r>
              <w:rPr>
                <w:lang w:val="fr-FR"/>
              </w:rPr>
              <w:t> </w:t>
            </w:r>
            <w:r w:rsidRPr="000F4E65">
              <w:rPr>
                <w:lang w:val="fr-FR"/>
              </w:rPr>
              <w:t xml:space="preserve">61 et 69 de la CEE, en particulier publication d’une nouvelle édition de la Résolution </w:t>
            </w:r>
            <w:r>
              <w:rPr>
                <w:lang w:val="fr-FR"/>
              </w:rPr>
              <w:t>n</w:t>
            </w:r>
            <w:r w:rsidRPr="000F4E65">
              <w:rPr>
                <w:vertAlign w:val="superscript"/>
                <w:lang w:val="fr-FR"/>
              </w:rPr>
              <w:t>o</w:t>
            </w:r>
            <w:r>
              <w:rPr>
                <w:lang w:val="fr-FR"/>
              </w:rPr>
              <w:t> </w:t>
            </w:r>
            <w:r w:rsidRPr="000F4E65">
              <w:rPr>
                <w:lang w:val="fr-FR"/>
              </w:rPr>
              <w:t>61 prenant en compte les amendements approuvés par le SC.3;</w:t>
            </w:r>
          </w:p>
          <w:p w:rsidR="00257D94" w:rsidRPr="007640B1" w:rsidRDefault="00257D94" w:rsidP="00615631">
            <w:pPr>
              <w:tabs>
                <w:tab w:val="left" w:pos="288"/>
                <w:tab w:val="left" w:pos="576"/>
                <w:tab w:val="left" w:pos="864"/>
                <w:tab w:val="left" w:pos="1152"/>
              </w:tabs>
              <w:suppressAutoHyphens/>
              <w:spacing w:before="40" w:after="80"/>
              <w:ind w:left="43" w:right="43"/>
              <w:rPr>
                <w:lang w:val="fr-FR"/>
              </w:rPr>
            </w:pPr>
            <w:r w:rsidRPr="000F4E65">
              <w:rPr>
                <w:lang w:val="fr-FR"/>
              </w:rPr>
              <w:t>Les travaux se poursuivront sur la possibilité de mettre en place des prescriptions concernant de nouveaux types de bateaux, des mesures visant à ce que la flotte respecte mieux l’environnement ou à introduire des technologies nouvelles et des normes ayant trait</w:t>
            </w:r>
            <w:r w:rsidR="00615631">
              <w:rPr>
                <w:lang w:val="fr-FR"/>
              </w:rPr>
              <w:t> </w:t>
            </w:r>
            <w:r w:rsidRPr="000F4E65">
              <w:rPr>
                <w:lang w:val="fr-FR"/>
              </w:rPr>
              <w:t>à la modernisation du matériel, notamment le matériel relatif aux</w:t>
            </w:r>
            <w:r>
              <w:rPr>
                <w:lang w:val="fr-FR"/>
              </w:rPr>
              <w:t xml:space="preserve"> </w:t>
            </w:r>
            <w:r w:rsidRPr="000F4E65">
              <w:rPr>
                <w:lang w:val="fr-FR"/>
              </w:rPr>
              <w:t>services d’information fluviale.</w:t>
            </w:r>
          </w:p>
        </w:tc>
      </w:tr>
      <w:tr w:rsidR="002609E8" w:rsidRPr="007640B1" w:rsidTr="00C63BDC">
        <w:tc>
          <w:tcPr>
            <w:tcW w:w="2885" w:type="dxa"/>
            <w:shd w:val="clear" w:color="auto" w:fill="auto"/>
          </w:tcPr>
          <w:p w:rsidR="002609E8" w:rsidRPr="000F4E65" w:rsidRDefault="002609E8"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2609E8" w:rsidRPr="000F4E65" w:rsidRDefault="002609E8" w:rsidP="002609E8">
            <w:pPr>
              <w:tabs>
                <w:tab w:val="left" w:pos="288"/>
                <w:tab w:val="left" w:pos="576"/>
                <w:tab w:val="left" w:pos="864"/>
                <w:tab w:val="left" w:pos="1152"/>
              </w:tabs>
              <w:suppressAutoHyphens/>
              <w:spacing w:before="40" w:after="80"/>
              <w:ind w:left="43" w:right="43"/>
              <w:rPr>
                <w:lang w:val="fr-FR"/>
              </w:rPr>
            </w:pPr>
            <w:r w:rsidRPr="000F4E65">
              <w:rPr>
                <w:lang w:val="fr-FR"/>
              </w:rPr>
              <w:t>Les travaux se poursuivront sur l’élaboration de prescriptions relatives aux bateaux fluviomaritimes.</w:t>
            </w:r>
          </w:p>
        </w:tc>
      </w:tr>
      <w:tr w:rsidR="002609E8" w:rsidRPr="007640B1" w:rsidTr="00C63BDC">
        <w:tc>
          <w:tcPr>
            <w:tcW w:w="2885" w:type="dxa"/>
            <w:shd w:val="clear" w:color="auto" w:fill="auto"/>
          </w:tcPr>
          <w:p w:rsidR="002609E8" w:rsidRPr="000F4E65" w:rsidRDefault="002609E8"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2609E8" w:rsidRPr="000F4E65" w:rsidRDefault="002609E8" w:rsidP="009C2518">
            <w:pPr>
              <w:tabs>
                <w:tab w:val="left" w:pos="288"/>
                <w:tab w:val="left" w:pos="576"/>
                <w:tab w:val="left" w:pos="864"/>
                <w:tab w:val="left" w:pos="1152"/>
              </w:tabs>
              <w:suppressAutoHyphens/>
              <w:spacing w:before="40" w:after="80"/>
              <w:ind w:left="43" w:right="43"/>
              <w:rPr>
                <w:lang w:val="fr-FR"/>
              </w:rPr>
            </w:pPr>
            <w:r w:rsidRPr="002609E8">
              <w:rPr>
                <w:lang w:val="fr-FR"/>
              </w:rPr>
              <w:t>Il sera proposé aux États membres de réviser l’appendice 1 à la</w:t>
            </w:r>
            <w:r w:rsidR="00615631">
              <w:rPr>
                <w:lang w:val="fr-FR"/>
              </w:rPr>
              <w:t> </w:t>
            </w:r>
            <w:r w:rsidRPr="002609E8">
              <w:rPr>
                <w:lang w:val="fr-FR"/>
              </w:rPr>
              <w:t>Résolution n</w:t>
            </w:r>
            <w:r w:rsidRPr="002609E8">
              <w:rPr>
                <w:vertAlign w:val="superscript"/>
                <w:lang w:val="fr-FR"/>
              </w:rPr>
              <w:t>o</w:t>
            </w:r>
            <w:r w:rsidRPr="002609E8">
              <w:rPr>
                <w:lang w:val="fr-FR"/>
              </w:rPr>
              <w:t> 61 (Liste des voies de navigation intérieure européennes regroupées géographiquement) en fonction de la situation actuelle, des progrès réalisés dans les projets d’infrastructure, etc.</w:t>
            </w:r>
          </w:p>
        </w:tc>
      </w:tr>
      <w:tr w:rsidR="002609E8" w:rsidRPr="007640B1" w:rsidTr="00C63BDC">
        <w:tc>
          <w:tcPr>
            <w:tcW w:w="2885" w:type="dxa"/>
            <w:shd w:val="clear" w:color="auto" w:fill="auto"/>
          </w:tcPr>
          <w:p w:rsidR="002609E8" w:rsidRPr="000F4E65" w:rsidRDefault="002609E8"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2609E8" w:rsidRPr="00615631" w:rsidRDefault="002609E8" w:rsidP="00615631">
            <w:pPr>
              <w:tabs>
                <w:tab w:val="left" w:pos="288"/>
                <w:tab w:val="left" w:pos="576"/>
                <w:tab w:val="left" w:pos="864"/>
                <w:tab w:val="left" w:pos="1152"/>
              </w:tabs>
              <w:suppressAutoHyphens/>
              <w:spacing w:before="40" w:after="80"/>
              <w:ind w:left="43" w:right="43"/>
              <w:rPr>
                <w:spacing w:val="2"/>
                <w:lang w:val="fr-FR"/>
              </w:rPr>
            </w:pPr>
            <w:r w:rsidRPr="00615631">
              <w:rPr>
                <w:spacing w:val="2"/>
                <w:lang w:val="fr-FR"/>
              </w:rPr>
              <w:tab/>
              <w:t>b)</w:t>
            </w:r>
            <w:r w:rsidRPr="00615631">
              <w:rPr>
                <w:spacing w:val="2"/>
                <w:lang w:val="fr-FR"/>
              </w:rPr>
              <w:tab/>
              <w:t>Collecte d’informations et examen de la possibilité d’élaborer des recommandations de la CEE relatives à la</w:t>
            </w:r>
            <w:r w:rsidR="00615631" w:rsidRPr="00615631">
              <w:rPr>
                <w:spacing w:val="2"/>
                <w:lang w:val="fr-FR"/>
              </w:rPr>
              <w:t xml:space="preserve"> m</w:t>
            </w:r>
            <w:r w:rsidRPr="00615631">
              <w:rPr>
                <w:spacing w:val="2"/>
                <w:lang w:val="fr-FR"/>
              </w:rPr>
              <w:t>odernisation et la rénovation de la flotte fluviale; éventuellement, organiser un atelier sur cette question;</w:t>
            </w:r>
          </w:p>
        </w:tc>
      </w:tr>
      <w:tr w:rsidR="002609E8" w:rsidRPr="007640B1" w:rsidTr="00C63BDC">
        <w:tc>
          <w:tcPr>
            <w:tcW w:w="2885" w:type="dxa"/>
            <w:shd w:val="clear" w:color="auto" w:fill="auto"/>
          </w:tcPr>
          <w:p w:rsidR="002609E8" w:rsidRPr="000F4E65" w:rsidRDefault="002609E8"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2609E8" w:rsidRPr="000F4E65" w:rsidRDefault="002609E8" w:rsidP="00D60FEA">
            <w:pPr>
              <w:tabs>
                <w:tab w:val="left" w:pos="288"/>
                <w:tab w:val="left" w:pos="576"/>
                <w:tab w:val="left" w:pos="864"/>
                <w:tab w:val="left" w:pos="1152"/>
              </w:tabs>
              <w:suppressAutoHyphens/>
              <w:spacing w:before="40" w:after="80"/>
              <w:ind w:left="43" w:right="43"/>
              <w:rPr>
                <w:lang w:val="fr-FR"/>
              </w:rPr>
            </w:pPr>
            <w:r w:rsidRPr="000F4E65">
              <w:rPr>
                <w:lang w:val="fr-FR"/>
              </w:rPr>
              <w:tab/>
              <w:t>c)</w:t>
            </w:r>
            <w:r w:rsidRPr="000F4E65">
              <w:rPr>
                <w:lang w:val="fr-FR"/>
              </w:rPr>
              <w:tab/>
              <w:t>Organisation d’ateliers et lancement d’invitations aux États membres et</w:t>
            </w:r>
            <w:r>
              <w:rPr>
                <w:lang w:val="fr-FR"/>
              </w:rPr>
              <w:t xml:space="preserve"> </w:t>
            </w:r>
            <w:r w:rsidRPr="000F4E65">
              <w:rPr>
                <w:lang w:val="fr-FR"/>
              </w:rPr>
              <w:t>aux représentants de l’industrie à débattre des travaux de recherche et développement et des innovations dans le secteur des</w:t>
            </w:r>
            <w:r w:rsidR="00D60FEA">
              <w:rPr>
                <w:lang w:val="fr-FR"/>
              </w:rPr>
              <w:t xml:space="preserve"> </w:t>
            </w:r>
            <w:r w:rsidRPr="000F4E65">
              <w:rPr>
                <w:lang w:val="fr-FR"/>
              </w:rPr>
              <w:t>transports par voie navigable;</w:t>
            </w:r>
          </w:p>
        </w:tc>
      </w:tr>
      <w:tr w:rsidR="002609E8" w:rsidRPr="007640B1" w:rsidTr="00C63BDC">
        <w:tc>
          <w:tcPr>
            <w:tcW w:w="2885" w:type="dxa"/>
            <w:shd w:val="clear" w:color="auto" w:fill="auto"/>
          </w:tcPr>
          <w:p w:rsidR="002609E8" w:rsidRPr="000F4E65" w:rsidRDefault="002609E8"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2609E8" w:rsidRPr="000F4E65" w:rsidRDefault="002609E8" w:rsidP="002609E8">
            <w:pPr>
              <w:tabs>
                <w:tab w:val="left" w:pos="288"/>
                <w:tab w:val="left" w:pos="576"/>
                <w:tab w:val="left" w:pos="864"/>
                <w:tab w:val="left" w:pos="1152"/>
              </w:tabs>
              <w:suppressAutoHyphens/>
              <w:spacing w:before="40" w:after="80"/>
              <w:ind w:left="43" w:right="43"/>
              <w:rPr>
                <w:lang w:val="fr-FR"/>
              </w:rPr>
            </w:pPr>
            <w:r w:rsidRPr="000F4E65">
              <w:rPr>
                <w:lang w:val="fr-FR"/>
              </w:rPr>
              <w:tab/>
              <w:t>d)</w:t>
            </w:r>
            <w:r w:rsidRPr="000F4E65">
              <w:rPr>
                <w:lang w:val="fr-FR"/>
              </w:rPr>
              <w:tab/>
              <w:t>Échange de bonnes pratiques, par exemple en invitant l’Union européenne à faire connaître les résultats de sa politique d’innovati</w:t>
            </w:r>
            <w:r>
              <w:rPr>
                <w:lang w:val="fr-FR"/>
              </w:rPr>
              <w:t>on NAIADES </w:t>
            </w:r>
            <w:r w:rsidRPr="000F4E65">
              <w:rPr>
                <w:lang w:val="fr-FR"/>
              </w:rPr>
              <w:t>II lors des sessions du SC.3.</w:t>
            </w:r>
          </w:p>
        </w:tc>
      </w:tr>
      <w:tr w:rsidR="002609E8" w:rsidRPr="007640B1" w:rsidTr="00C63BDC">
        <w:tc>
          <w:tcPr>
            <w:tcW w:w="2885" w:type="dxa"/>
            <w:shd w:val="clear" w:color="auto" w:fill="auto"/>
          </w:tcPr>
          <w:p w:rsidR="002609E8" w:rsidRPr="000F4E65" w:rsidRDefault="002609E8"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2609E8" w:rsidRPr="000F4E65" w:rsidRDefault="002609E8" w:rsidP="002609E8">
            <w:pPr>
              <w:tabs>
                <w:tab w:val="left" w:pos="288"/>
                <w:tab w:val="left" w:pos="576"/>
                <w:tab w:val="left" w:pos="864"/>
                <w:tab w:val="left" w:pos="1152"/>
              </w:tabs>
              <w:suppressAutoHyphens/>
              <w:spacing w:before="40" w:after="80"/>
              <w:ind w:left="43" w:right="43"/>
              <w:rPr>
                <w:lang w:val="fr-FR"/>
              </w:rPr>
            </w:pPr>
            <w:r w:rsidRPr="000F4E65">
              <w:rPr>
                <w:lang w:val="fr-FR"/>
              </w:rPr>
              <w:t>3.2</w:t>
            </w:r>
            <w:r w:rsidRPr="000F4E65">
              <w:rPr>
                <w:lang w:val="fr-FR"/>
              </w:rPr>
              <w:tab/>
              <w:t>Poursuite des travaux sur les règles de navigation</w:t>
            </w:r>
            <w:r>
              <w:rPr>
                <w:lang w:val="fr-FR"/>
              </w:rPr>
              <w:t> </w:t>
            </w:r>
            <w:r w:rsidRPr="000F4E65">
              <w:rPr>
                <w:lang w:val="fr-FR"/>
              </w:rPr>
              <w:t>:</w:t>
            </w:r>
          </w:p>
        </w:tc>
      </w:tr>
      <w:tr w:rsidR="002609E8" w:rsidRPr="007640B1" w:rsidTr="00C63BDC">
        <w:tc>
          <w:tcPr>
            <w:tcW w:w="2885" w:type="dxa"/>
            <w:shd w:val="clear" w:color="auto" w:fill="auto"/>
          </w:tcPr>
          <w:p w:rsidR="002609E8" w:rsidRPr="000F4E65" w:rsidRDefault="002609E8"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2609E8" w:rsidRPr="000F4E65" w:rsidRDefault="002609E8" w:rsidP="002609E8">
            <w:pPr>
              <w:tabs>
                <w:tab w:val="left" w:pos="288"/>
                <w:tab w:val="left" w:pos="576"/>
                <w:tab w:val="left" w:pos="864"/>
                <w:tab w:val="left" w:pos="1152"/>
              </w:tabs>
              <w:suppressAutoHyphens/>
              <w:spacing w:before="40" w:after="80"/>
              <w:ind w:left="43" w:right="43"/>
              <w:rPr>
                <w:lang w:val="fr-FR"/>
              </w:rPr>
            </w:pPr>
            <w:r w:rsidRPr="000F4E65">
              <w:rPr>
                <w:lang w:val="fr-FR"/>
              </w:rPr>
              <w:tab/>
              <w:t>a)</w:t>
            </w:r>
            <w:r w:rsidRPr="000F4E65">
              <w:rPr>
                <w:lang w:val="fr-FR"/>
              </w:rPr>
              <w:tab/>
              <w:t>Poursuite des travaux sur le CEVNI</w:t>
            </w:r>
            <w:r>
              <w:rPr>
                <w:lang w:val="fr-FR"/>
              </w:rPr>
              <w:t> </w:t>
            </w:r>
            <w:r w:rsidRPr="000F4E65">
              <w:rPr>
                <w:lang w:val="fr-FR"/>
              </w:rPr>
              <w:t>:</w:t>
            </w:r>
          </w:p>
        </w:tc>
      </w:tr>
      <w:tr w:rsidR="002609E8" w:rsidRPr="007640B1" w:rsidTr="00D32316">
        <w:tc>
          <w:tcPr>
            <w:tcW w:w="2885" w:type="dxa"/>
            <w:tcBorders>
              <w:bottom w:val="nil"/>
            </w:tcBorders>
            <w:shd w:val="clear" w:color="auto" w:fill="auto"/>
          </w:tcPr>
          <w:p w:rsidR="002609E8" w:rsidRPr="000F4E65" w:rsidRDefault="002609E8" w:rsidP="00CF3C8A">
            <w:pPr>
              <w:tabs>
                <w:tab w:val="left" w:pos="288"/>
                <w:tab w:val="left" w:pos="576"/>
                <w:tab w:val="left" w:pos="864"/>
                <w:tab w:val="left" w:pos="1152"/>
              </w:tabs>
              <w:suppressAutoHyphens/>
              <w:spacing w:before="40" w:after="80"/>
              <w:ind w:left="43" w:right="43"/>
              <w:rPr>
                <w:lang w:val="fr-FR"/>
              </w:rPr>
            </w:pPr>
          </w:p>
        </w:tc>
        <w:tc>
          <w:tcPr>
            <w:tcW w:w="5913" w:type="dxa"/>
            <w:tcBorders>
              <w:bottom w:val="nil"/>
            </w:tcBorders>
            <w:shd w:val="clear" w:color="auto" w:fill="auto"/>
          </w:tcPr>
          <w:p w:rsidR="002609E8" w:rsidRPr="000F4E65" w:rsidRDefault="002609E8" w:rsidP="002609E8">
            <w:pPr>
              <w:tabs>
                <w:tab w:val="left" w:pos="288"/>
                <w:tab w:val="left" w:pos="576"/>
                <w:tab w:val="left" w:pos="864"/>
                <w:tab w:val="left" w:pos="1152"/>
              </w:tabs>
              <w:suppressAutoHyphens/>
              <w:spacing w:before="40" w:after="80"/>
              <w:ind w:left="576" w:right="43" w:hanging="533"/>
              <w:rPr>
                <w:lang w:val="fr-FR"/>
              </w:rPr>
            </w:pPr>
            <w:r>
              <w:rPr>
                <w:lang w:val="fr-FR"/>
              </w:rPr>
              <w:tab/>
              <w:t>•</w:t>
            </w:r>
            <w:r>
              <w:rPr>
                <w:lang w:val="fr-FR"/>
              </w:rPr>
              <w:tab/>
            </w:r>
            <w:r w:rsidRPr="000F4E65">
              <w:rPr>
                <w:lang w:val="fr-FR"/>
              </w:rPr>
              <w:t>Collecte de renseignements et actualisation du document sur la mise en œuvre du CEVNI;</w:t>
            </w:r>
          </w:p>
        </w:tc>
      </w:tr>
      <w:tr w:rsidR="002609E8" w:rsidRPr="007640B1" w:rsidTr="00D32316">
        <w:tc>
          <w:tcPr>
            <w:tcW w:w="2885" w:type="dxa"/>
            <w:tcBorders>
              <w:top w:val="nil"/>
              <w:bottom w:val="nil"/>
            </w:tcBorders>
            <w:shd w:val="clear" w:color="auto" w:fill="auto"/>
          </w:tcPr>
          <w:p w:rsidR="002609E8" w:rsidRPr="000F4E65" w:rsidRDefault="002609E8" w:rsidP="00CF3C8A">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nil"/>
            </w:tcBorders>
            <w:shd w:val="clear" w:color="auto" w:fill="auto"/>
          </w:tcPr>
          <w:p w:rsidR="002609E8" w:rsidRPr="000F4E65" w:rsidRDefault="002609E8" w:rsidP="002609E8">
            <w:pPr>
              <w:tabs>
                <w:tab w:val="left" w:pos="288"/>
                <w:tab w:val="left" w:pos="576"/>
                <w:tab w:val="left" w:pos="864"/>
                <w:tab w:val="left" w:pos="1152"/>
              </w:tabs>
              <w:suppressAutoHyphens/>
              <w:spacing w:before="40" w:after="80"/>
              <w:ind w:left="576" w:right="43" w:hanging="533"/>
              <w:rPr>
                <w:lang w:val="fr-FR"/>
              </w:rPr>
            </w:pPr>
            <w:r>
              <w:rPr>
                <w:lang w:val="fr-FR"/>
              </w:rPr>
              <w:tab/>
              <w:t>•</w:t>
            </w:r>
            <w:r>
              <w:rPr>
                <w:lang w:val="fr-FR"/>
              </w:rPr>
              <w:tab/>
            </w:r>
            <w:r w:rsidRPr="000F4E65">
              <w:rPr>
                <w:lang w:val="fr-FR"/>
              </w:rPr>
              <w:t>Poursuite du suivi de la mise en œuvre de la cinquième révision du CEVNI;</w:t>
            </w:r>
          </w:p>
        </w:tc>
      </w:tr>
      <w:tr w:rsidR="00B47F94" w:rsidRPr="007640B1" w:rsidTr="00D32316">
        <w:tc>
          <w:tcPr>
            <w:tcW w:w="2885" w:type="dxa"/>
            <w:tcBorders>
              <w:top w:val="nil"/>
            </w:tcBorders>
            <w:shd w:val="clear" w:color="auto" w:fill="auto"/>
          </w:tcPr>
          <w:p w:rsidR="00B47F94" w:rsidRPr="000F4E65" w:rsidRDefault="00B47F94" w:rsidP="00615631">
            <w:pPr>
              <w:keepNext/>
              <w:keepLines/>
              <w:tabs>
                <w:tab w:val="left" w:pos="288"/>
                <w:tab w:val="left" w:pos="576"/>
                <w:tab w:val="left" w:pos="864"/>
                <w:tab w:val="left" w:pos="1152"/>
              </w:tabs>
              <w:suppressAutoHyphens/>
              <w:spacing w:before="40" w:after="80"/>
              <w:ind w:left="43" w:right="43"/>
              <w:rPr>
                <w:lang w:val="fr-FR"/>
              </w:rPr>
            </w:pPr>
          </w:p>
        </w:tc>
        <w:tc>
          <w:tcPr>
            <w:tcW w:w="5913" w:type="dxa"/>
            <w:tcBorders>
              <w:top w:val="nil"/>
            </w:tcBorders>
            <w:shd w:val="clear" w:color="auto" w:fill="auto"/>
          </w:tcPr>
          <w:p w:rsidR="00B47F94" w:rsidRPr="000F4E65" w:rsidRDefault="002609E8" w:rsidP="00615631">
            <w:pPr>
              <w:keepNext/>
              <w:keepLines/>
              <w:tabs>
                <w:tab w:val="left" w:pos="288"/>
                <w:tab w:val="left" w:pos="576"/>
                <w:tab w:val="left" w:pos="864"/>
                <w:tab w:val="left" w:pos="1152"/>
              </w:tabs>
              <w:suppressAutoHyphens/>
              <w:spacing w:before="40" w:after="80"/>
              <w:ind w:left="576" w:right="43" w:hanging="533"/>
              <w:rPr>
                <w:lang w:val="fr-FR"/>
              </w:rPr>
            </w:pPr>
            <w:r>
              <w:rPr>
                <w:lang w:val="fr-FR"/>
              </w:rPr>
              <w:tab/>
              <w:t>•</w:t>
            </w:r>
            <w:r>
              <w:rPr>
                <w:lang w:val="fr-FR"/>
              </w:rPr>
              <w:tab/>
            </w:r>
            <w:r w:rsidRPr="000F4E65">
              <w:rPr>
                <w:lang w:val="fr-FR"/>
              </w:rPr>
              <w:t>Recherche de partenaires pour établir le texte allemand du</w:t>
            </w:r>
            <w:r w:rsidR="00D4209E">
              <w:rPr>
                <w:lang w:val="fr-FR"/>
              </w:rPr>
              <w:t> </w:t>
            </w:r>
            <w:r w:rsidRPr="000F4E65">
              <w:rPr>
                <w:lang w:val="fr-FR"/>
              </w:rPr>
              <w:t>CEVNI; offre de coopération sur cette question à la Commission centrale pour la</w:t>
            </w:r>
            <w:r>
              <w:rPr>
                <w:lang w:val="fr-FR"/>
              </w:rPr>
              <w:t xml:space="preserve"> </w:t>
            </w:r>
            <w:r w:rsidRPr="000F4E65">
              <w:rPr>
                <w:lang w:val="fr-FR"/>
              </w:rPr>
              <w:t>navigation du Rhi</w:t>
            </w:r>
            <w:r>
              <w:rPr>
                <w:lang w:val="fr-FR"/>
              </w:rPr>
              <w:t>n et à la Commission du Danube;</w:t>
            </w:r>
          </w:p>
        </w:tc>
      </w:tr>
      <w:tr w:rsidR="00B47F94" w:rsidRPr="007640B1" w:rsidTr="00C63BDC">
        <w:tc>
          <w:tcPr>
            <w:tcW w:w="2885" w:type="dxa"/>
            <w:shd w:val="clear" w:color="auto" w:fill="auto"/>
          </w:tcPr>
          <w:p w:rsidR="00B47F94" w:rsidRPr="000F4E65" w:rsidRDefault="00B47F94" w:rsidP="00615631">
            <w:pPr>
              <w:keepNext/>
              <w:keepLines/>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B47F94" w:rsidRPr="000F4E65" w:rsidRDefault="009C2518" w:rsidP="00615631">
            <w:pPr>
              <w:keepNext/>
              <w:keepLines/>
              <w:tabs>
                <w:tab w:val="left" w:pos="288"/>
                <w:tab w:val="left" w:pos="576"/>
                <w:tab w:val="left" w:pos="864"/>
                <w:tab w:val="left" w:pos="1152"/>
              </w:tabs>
              <w:suppressAutoHyphens/>
              <w:spacing w:before="40" w:after="80"/>
              <w:ind w:left="43" w:right="43"/>
              <w:rPr>
                <w:lang w:val="fr-FR"/>
              </w:rPr>
            </w:pPr>
            <w:r>
              <w:rPr>
                <w:lang w:val="fr-FR"/>
              </w:rPr>
              <w:tab/>
            </w:r>
            <w:r w:rsidR="00B47F94" w:rsidRPr="000F4E65">
              <w:rPr>
                <w:lang w:val="fr-FR"/>
              </w:rPr>
              <w:t>b)</w:t>
            </w:r>
            <w:r w:rsidR="00B47F94" w:rsidRPr="000F4E65">
              <w:rPr>
                <w:lang w:val="fr-FR"/>
              </w:rPr>
              <w:tab/>
              <w:t>Poursuite des travaux sur la signalisation et le balisage des voies navigables</w:t>
            </w:r>
            <w:r w:rsidR="00B47F94">
              <w:rPr>
                <w:lang w:val="fr-FR"/>
              </w:rPr>
              <w:t> </w:t>
            </w:r>
            <w:r w:rsidR="00B47F94" w:rsidRPr="000F4E65">
              <w:rPr>
                <w:lang w:val="fr-FR"/>
              </w:rPr>
              <w:t>:</w:t>
            </w:r>
          </w:p>
        </w:tc>
      </w:tr>
      <w:tr w:rsidR="00B47F94" w:rsidRPr="007640B1" w:rsidTr="00C63BDC">
        <w:tc>
          <w:tcPr>
            <w:tcW w:w="2885" w:type="dxa"/>
            <w:shd w:val="clear" w:color="auto" w:fill="auto"/>
          </w:tcPr>
          <w:p w:rsidR="00B47F94" w:rsidRPr="000F4E65" w:rsidRDefault="00B47F94"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B47F94" w:rsidRPr="000F4E65" w:rsidRDefault="00B47F94" w:rsidP="00B47F94">
            <w:pPr>
              <w:tabs>
                <w:tab w:val="left" w:pos="288"/>
                <w:tab w:val="left" w:pos="576"/>
                <w:tab w:val="left" w:pos="864"/>
                <w:tab w:val="left" w:pos="1152"/>
              </w:tabs>
              <w:suppressAutoHyphens/>
              <w:spacing w:before="40" w:after="80"/>
              <w:ind w:left="576" w:right="43" w:hanging="576"/>
              <w:rPr>
                <w:lang w:val="fr-FR"/>
              </w:rPr>
            </w:pPr>
            <w:r>
              <w:rPr>
                <w:lang w:val="fr-FR"/>
              </w:rPr>
              <w:tab/>
              <w:t>•</w:t>
            </w:r>
            <w:r>
              <w:rPr>
                <w:lang w:val="fr-FR"/>
              </w:rPr>
              <w:tab/>
            </w:r>
            <w:r w:rsidRPr="000F4E65">
              <w:rPr>
                <w:lang w:val="fr-FR"/>
              </w:rPr>
              <w:t xml:space="preserve">Actualisation du document intitulé </w:t>
            </w:r>
            <w:r>
              <w:rPr>
                <w:lang w:val="fr-FR"/>
              </w:rPr>
              <w:t>« </w:t>
            </w:r>
            <w:r w:rsidRPr="000F4E65">
              <w:rPr>
                <w:lang w:val="fr-FR"/>
              </w:rPr>
              <w:t>Signalisation des voies de navigation intérieure » (SIGNI);</w:t>
            </w:r>
          </w:p>
        </w:tc>
      </w:tr>
      <w:tr w:rsidR="00B47F94" w:rsidRPr="007640B1" w:rsidTr="00C63BDC">
        <w:tc>
          <w:tcPr>
            <w:tcW w:w="2885" w:type="dxa"/>
            <w:shd w:val="clear" w:color="auto" w:fill="auto"/>
          </w:tcPr>
          <w:p w:rsidR="00B47F94" w:rsidRPr="000F4E65" w:rsidRDefault="00B47F94"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B47F94" w:rsidRPr="000F4E65" w:rsidRDefault="00B47F94" w:rsidP="007B5616">
            <w:pPr>
              <w:tabs>
                <w:tab w:val="left" w:pos="288"/>
                <w:tab w:val="left" w:pos="576"/>
                <w:tab w:val="left" w:pos="864"/>
                <w:tab w:val="left" w:pos="1152"/>
              </w:tabs>
              <w:suppressAutoHyphens/>
              <w:spacing w:before="40" w:after="80"/>
              <w:ind w:left="576" w:right="43" w:hanging="576"/>
              <w:rPr>
                <w:lang w:val="fr-FR"/>
              </w:rPr>
            </w:pPr>
            <w:r>
              <w:rPr>
                <w:lang w:val="fr-FR"/>
              </w:rPr>
              <w:tab/>
              <w:t>•</w:t>
            </w:r>
            <w:r>
              <w:rPr>
                <w:lang w:val="fr-FR"/>
              </w:rPr>
              <w:tab/>
            </w:r>
            <w:r w:rsidRPr="000F4E65">
              <w:rPr>
                <w:lang w:val="fr-FR"/>
              </w:rPr>
              <w:t>Examen de la nécessité d’actualiser les Directives relatives à</w:t>
            </w:r>
            <w:r w:rsidR="007B5616">
              <w:rPr>
                <w:lang w:val="fr-FR"/>
              </w:rPr>
              <w:t> </w:t>
            </w:r>
            <w:r w:rsidRPr="000F4E65">
              <w:rPr>
                <w:lang w:val="fr-FR"/>
              </w:rPr>
              <w:t>la signalisation et au balisage des voies navigables;</w:t>
            </w:r>
          </w:p>
        </w:tc>
      </w:tr>
      <w:tr w:rsidR="00B47F94" w:rsidRPr="007640B1" w:rsidTr="00C63BDC">
        <w:tc>
          <w:tcPr>
            <w:tcW w:w="2885" w:type="dxa"/>
            <w:shd w:val="clear" w:color="auto" w:fill="auto"/>
          </w:tcPr>
          <w:p w:rsidR="00B47F94" w:rsidRPr="000F4E65" w:rsidRDefault="00B47F94"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B47F94" w:rsidRPr="000F4E65" w:rsidRDefault="00B47F94" w:rsidP="00B47F94">
            <w:pPr>
              <w:tabs>
                <w:tab w:val="left" w:pos="288"/>
                <w:tab w:val="left" w:pos="576"/>
                <w:tab w:val="left" w:pos="864"/>
                <w:tab w:val="left" w:pos="1152"/>
              </w:tabs>
              <w:suppressAutoHyphens/>
              <w:spacing w:before="40" w:after="80"/>
              <w:ind w:left="576" w:right="43" w:hanging="533"/>
              <w:rPr>
                <w:lang w:val="fr-FR"/>
              </w:rPr>
            </w:pPr>
            <w:r>
              <w:rPr>
                <w:lang w:val="fr-FR"/>
              </w:rPr>
              <w:tab/>
              <w:t>•</w:t>
            </w:r>
            <w:r>
              <w:rPr>
                <w:lang w:val="fr-FR"/>
              </w:rPr>
              <w:tab/>
            </w:r>
            <w:r w:rsidRPr="000F4E65">
              <w:rPr>
                <w:lang w:val="fr-FR"/>
              </w:rPr>
              <w:t>Établissement d’une base de données de la signalisation utilisée par les pays de la CEE en matière de navigation intérieure;</w:t>
            </w:r>
          </w:p>
        </w:tc>
      </w:tr>
      <w:tr w:rsidR="00B47F94" w:rsidRPr="007640B1" w:rsidTr="00C63BDC">
        <w:tc>
          <w:tcPr>
            <w:tcW w:w="2885" w:type="dxa"/>
            <w:shd w:val="clear" w:color="auto" w:fill="auto"/>
          </w:tcPr>
          <w:p w:rsidR="00B47F94" w:rsidRPr="000F4E65" w:rsidRDefault="00B47F94"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B47F94" w:rsidRPr="000F4E65" w:rsidRDefault="009C2518" w:rsidP="00B47F94">
            <w:pPr>
              <w:tabs>
                <w:tab w:val="left" w:pos="288"/>
                <w:tab w:val="left" w:pos="576"/>
                <w:tab w:val="left" w:pos="864"/>
                <w:tab w:val="left" w:pos="1152"/>
              </w:tabs>
              <w:suppressAutoHyphens/>
              <w:spacing w:before="40" w:after="80"/>
              <w:ind w:left="43" w:right="43"/>
              <w:rPr>
                <w:lang w:val="fr-FR"/>
              </w:rPr>
            </w:pPr>
            <w:r>
              <w:rPr>
                <w:lang w:val="fr-FR"/>
              </w:rPr>
              <w:tab/>
            </w:r>
            <w:r w:rsidR="00B47F94" w:rsidRPr="000F4E65">
              <w:rPr>
                <w:lang w:val="fr-FR"/>
              </w:rPr>
              <w:t>c)</w:t>
            </w:r>
            <w:r w:rsidR="00B47F94" w:rsidRPr="000F4E65">
              <w:rPr>
                <w:lang w:val="fr-FR"/>
              </w:rPr>
              <w:tab/>
              <w:t>Organisation d’un atelier sur le développement des activités ayant trait à la sécurité de la navigation intérieure.</w:t>
            </w:r>
          </w:p>
        </w:tc>
      </w:tr>
      <w:tr w:rsidR="00B47F94" w:rsidRPr="007640B1" w:rsidTr="00C63BDC">
        <w:tc>
          <w:tcPr>
            <w:tcW w:w="2885" w:type="dxa"/>
            <w:shd w:val="clear" w:color="auto" w:fill="auto"/>
          </w:tcPr>
          <w:p w:rsidR="00B47F94" w:rsidRPr="000F4E65" w:rsidRDefault="00B47F94"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B47F94" w:rsidRPr="000F4E65" w:rsidRDefault="00B47F94" w:rsidP="00B47F94">
            <w:pPr>
              <w:tabs>
                <w:tab w:val="left" w:pos="288"/>
                <w:tab w:val="left" w:pos="576"/>
                <w:tab w:val="left" w:pos="864"/>
                <w:tab w:val="left" w:pos="1152"/>
              </w:tabs>
              <w:suppressAutoHyphens/>
              <w:spacing w:before="40" w:after="80"/>
              <w:ind w:left="43" w:right="43"/>
              <w:rPr>
                <w:lang w:val="fr-FR"/>
              </w:rPr>
            </w:pPr>
            <w:r w:rsidRPr="000F4E65">
              <w:rPr>
                <w:lang w:val="fr-FR"/>
              </w:rPr>
              <w:t>3.3</w:t>
            </w:r>
            <w:r w:rsidRPr="000F4E65">
              <w:rPr>
                <w:lang w:val="fr-FR"/>
              </w:rPr>
              <w:tab/>
              <w:t>Poursuite des travaux sur les dispositions à prendre pour relever les défis en matière de respect de l’environnement et d’empreinte carbone</w:t>
            </w:r>
            <w:r>
              <w:rPr>
                <w:lang w:val="fr-FR"/>
              </w:rPr>
              <w:t> </w:t>
            </w:r>
            <w:r w:rsidRPr="000F4E65">
              <w:rPr>
                <w:lang w:val="fr-FR"/>
              </w:rPr>
              <w:t>:</w:t>
            </w:r>
          </w:p>
        </w:tc>
      </w:tr>
      <w:tr w:rsidR="00B47F94" w:rsidRPr="007640B1" w:rsidTr="00C63BDC">
        <w:tc>
          <w:tcPr>
            <w:tcW w:w="2885" w:type="dxa"/>
            <w:shd w:val="clear" w:color="auto" w:fill="auto"/>
          </w:tcPr>
          <w:p w:rsidR="00B47F94" w:rsidRPr="000F4E65" w:rsidRDefault="00B47F94"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B47F94" w:rsidRPr="000F4E65" w:rsidRDefault="00B47F94" w:rsidP="00B47F94">
            <w:pPr>
              <w:tabs>
                <w:tab w:val="left" w:pos="288"/>
                <w:tab w:val="left" w:pos="576"/>
                <w:tab w:val="left" w:pos="864"/>
                <w:tab w:val="left" w:pos="1152"/>
              </w:tabs>
              <w:suppressAutoHyphens/>
              <w:spacing w:before="40" w:after="80"/>
              <w:ind w:left="43" w:right="43"/>
              <w:rPr>
                <w:lang w:val="fr-FR"/>
              </w:rPr>
            </w:pPr>
            <w:r w:rsidRPr="000F4E65">
              <w:rPr>
                <w:lang w:val="fr-FR"/>
              </w:rPr>
              <w:tab/>
              <w:t>a)</w:t>
            </w:r>
            <w:r w:rsidRPr="000F4E65">
              <w:rPr>
                <w:lang w:val="fr-FR"/>
              </w:rPr>
              <w:tab/>
              <w:t>Écologisation de la flotte, échange d’expériences pertinentes dans ce domaine avec l’Union européenne et les commissions fluviales;</w:t>
            </w:r>
          </w:p>
        </w:tc>
      </w:tr>
      <w:tr w:rsidR="00A917BF" w:rsidRPr="007640B1" w:rsidTr="00C63BDC">
        <w:tc>
          <w:tcPr>
            <w:tcW w:w="2885" w:type="dxa"/>
            <w:shd w:val="clear" w:color="auto" w:fill="auto"/>
          </w:tcPr>
          <w:p w:rsidR="00A917BF" w:rsidRPr="000F4E65" w:rsidRDefault="00A917BF"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A917BF" w:rsidRPr="000F4E65" w:rsidRDefault="00A917BF" w:rsidP="00A917BF">
            <w:pPr>
              <w:tabs>
                <w:tab w:val="left" w:pos="288"/>
                <w:tab w:val="left" w:pos="576"/>
                <w:tab w:val="left" w:pos="864"/>
                <w:tab w:val="left" w:pos="1152"/>
              </w:tabs>
              <w:suppressAutoHyphens/>
              <w:spacing w:before="40" w:after="80"/>
              <w:ind w:left="43" w:right="43"/>
              <w:rPr>
                <w:lang w:val="fr-FR"/>
              </w:rPr>
            </w:pPr>
            <w:r w:rsidRPr="000F4E65">
              <w:rPr>
                <w:lang w:val="fr-FR"/>
              </w:rPr>
              <w:tab/>
              <w:t>b)</w:t>
            </w:r>
            <w:r w:rsidRPr="000F4E65">
              <w:rPr>
                <w:lang w:val="fr-FR"/>
              </w:rPr>
              <w:tab/>
              <w:t>Actualisation des dis</w:t>
            </w:r>
            <w:r>
              <w:rPr>
                <w:lang w:val="fr-FR"/>
              </w:rPr>
              <w:t xml:space="preserve">positions existantes ou mise en </w:t>
            </w:r>
            <w:r w:rsidRPr="000F4E65">
              <w:rPr>
                <w:lang w:val="fr-FR"/>
              </w:rPr>
              <w:t>place de nouvelles dispositions relatives au renforcement de la protection contre la pollution émise par les navires, y compris tous les types de déchets, le bruit et autres types de polluants;</w:t>
            </w:r>
          </w:p>
        </w:tc>
      </w:tr>
      <w:tr w:rsidR="00A917BF" w:rsidRPr="007640B1" w:rsidTr="00C63BDC">
        <w:tc>
          <w:tcPr>
            <w:tcW w:w="2885" w:type="dxa"/>
            <w:shd w:val="clear" w:color="auto" w:fill="auto"/>
          </w:tcPr>
          <w:p w:rsidR="00A917BF" w:rsidRPr="000F4E65" w:rsidRDefault="00A917BF"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A917BF" w:rsidRPr="000F4E65" w:rsidRDefault="00A917BF" w:rsidP="007B5616">
            <w:pPr>
              <w:tabs>
                <w:tab w:val="left" w:pos="288"/>
                <w:tab w:val="left" w:pos="576"/>
                <w:tab w:val="left" w:pos="864"/>
                <w:tab w:val="left" w:pos="1152"/>
              </w:tabs>
              <w:suppressAutoHyphens/>
              <w:spacing w:before="40" w:after="80"/>
              <w:ind w:left="43" w:right="43"/>
              <w:rPr>
                <w:lang w:val="fr-FR"/>
              </w:rPr>
            </w:pPr>
            <w:r w:rsidRPr="000F4E65">
              <w:rPr>
                <w:lang w:val="fr-FR"/>
              </w:rPr>
              <w:tab/>
              <w:t>c)</w:t>
            </w:r>
            <w:r w:rsidRPr="000F4E65">
              <w:rPr>
                <w:lang w:val="fr-FR"/>
              </w:rPr>
              <w:tab/>
              <w:t>Engagement d’une concertation relative aux incidences du</w:t>
            </w:r>
            <w:r w:rsidR="007B5616">
              <w:rPr>
                <w:lang w:val="fr-FR"/>
              </w:rPr>
              <w:t> </w:t>
            </w:r>
            <w:r w:rsidRPr="000F4E65">
              <w:rPr>
                <w:lang w:val="fr-FR"/>
              </w:rPr>
              <w:t>changement climatique sur les transports par voie navigable.</w:t>
            </w:r>
          </w:p>
        </w:tc>
      </w:tr>
      <w:tr w:rsidR="00A917BF" w:rsidRPr="007640B1" w:rsidTr="00C63BDC">
        <w:tc>
          <w:tcPr>
            <w:tcW w:w="2885" w:type="dxa"/>
            <w:shd w:val="clear" w:color="auto" w:fill="auto"/>
          </w:tcPr>
          <w:p w:rsidR="00A917BF" w:rsidRPr="000F4E65" w:rsidRDefault="00A917BF"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A917BF" w:rsidRPr="000F4E65" w:rsidRDefault="00A917BF" w:rsidP="00A917BF">
            <w:pPr>
              <w:tabs>
                <w:tab w:val="left" w:pos="288"/>
                <w:tab w:val="left" w:pos="576"/>
                <w:tab w:val="left" w:pos="864"/>
                <w:tab w:val="left" w:pos="1152"/>
              </w:tabs>
              <w:suppressAutoHyphens/>
              <w:spacing w:before="40" w:after="80"/>
              <w:ind w:left="43" w:right="43"/>
              <w:rPr>
                <w:lang w:val="fr-FR"/>
              </w:rPr>
            </w:pPr>
            <w:r w:rsidRPr="000F4E65">
              <w:rPr>
                <w:lang w:val="fr-FR"/>
              </w:rPr>
              <w:t>3.4</w:t>
            </w:r>
            <w:r w:rsidRPr="000F4E65">
              <w:rPr>
                <w:lang w:val="fr-FR"/>
              </w:rPr>
              <w:tab/>
              <w:t>Ouverture d’un débat sur l’utilisation de formats électroniques pour les documents des batea</w:t>
            </w:r>
            <w:r>
              <w:rPr>
                <w:lang w:val="fr-FR"/>
              </w:rPr>
              <w:t>ux.</w:t>
            </w:r>
          </w:p>
        </w:tc>
      </w:tr>
      <w:tr w:rsidR="00A917BF" w:rsidRPr="007640B1" w:rsidTr="00C63BDC">
        <w:tc>
          <w:tcPr>
            <w:tcW w:w="2885" w:type="dxa"/>
            <w:shd w:val="clear" w:color="auto" w:fill="auto"/>
          </w:tcPr>
          <w:p w:rsidR="00A917BF" w:rsidRPr="000F4E65" w:rsidRDefault="00A917BF"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A917BF" w:rsidRPr="000F4E65" w:rsidRDefault="00A917BF" w:rsidP="00A917BF">
            <w:pPr>
              <w:tabs>
                <w:tab w:val="left" w:pos="288"/>
                <w:tab w:val="left" w:pos="576"/>
                <w:tab w:val="left" w:pos="864"/>
                <w:tab w:val="left" w:pos="1152"/>
              </w:tabs>
              <w:suppressAutoHyphens/>
              <w:spacing w:before="40" w:after="80"/>
              <w:ind w:left="43" w:right="43"/>
              <w:rPr>
                <w:lang w:val="fr-FR"/>
              </w:rPr>
            </w:pPr>
            <w:r w:rsidRPr="000F4E65">
              <w:rPr>
                <w:lang w:val="fr-FR"/>
              </w:rPr>
              <w:t>3.5</w:t>
            </w:r>
            <w:r w:rsidRPr="000F4E65">
              <w:rPr>
                <w:lang w:val="fr-FR"/>
              </w:rPr>
              <w:tab/>
              <w:t>Poursuite de la concertation sur la base de données européenne des bateaux et des coques en vue de l’a</w:t>
            </w:r>
            <w:r>
              <w:rPr>
                <w:lang w:val="fr-FR"/>
              </w:rPr>
              <w:t>ppliquer au niveau paneuropéen.</w:t>
            </w:r>
          </w:p>
        </w:tc>
      </w:tr>
      <w:tr w:rsidR="00A917BF" w:rsidRPr="007640B1" w:rsidTr="00615631">
        <w:tc>
          <w:tcPr>
            <w:tcW w:w="2885" w:type="dxa"/>
            <w:tcBorders>
              <w:bottom w:val="nil"/>
            </w:tcBorders>
            <w:shd w:val="clear" w:color="auto" w:fill="auto"/>
          </w:tcPr>
          <w:p w:rsidR="00A917BF" w:rsidRPr="000F4E65" w:rsidRDefault="00A917BF" w:rsidP="00CF3C8A">
            <w:pPr>
              <w:tabs>
                <w:tab w:val="left" w:pos="288"/>
                <w:tab w:val="left" w:pos="576"/>
                <w:tab w:val="left" w:pos="864"/>
                <w:tab w:val="left" w:pos="1152"/>
              </w:tabs>
              <w:suppressAutoHyphens/>
              <w:spacing w:before="40" w:after="80"/>
              <w:ind w:left="43" w:right="43"/>
              <w:rPr>
                <w:lang w:val="fr-FR"/>
              </w:rPr>
            </w:pPr>
          </w:p>
        </w:tc>
        <w:tc>
          <w:tcPr>
            <w:tcW w:w="5913" w:type="dxa"/>
            <w:tcBorders>
              <w:bottom w:val="nil"/>
            </w:tcBorders>
            <w:shd w:val="clear" w:color="auto" w:fill="auto"/>
          </w:tcPr>
          <w:p w:rsidR="00A917BF" w:rsidRPr="008D5928" w:rsidRDefault="00A917BF" w:rsidP="00A917BF">
            <w:pPr>
              <w:tabs>
                <w:tab w:val="left" w:pos="288"/>
                <w:tab w:val="left" w:pos="576"/>
                <w:tab w:val="left" w:pos="864"/>
                <w:tab w:val="left" w:pos="1152"/>
              </w:tabs>
              <w:suppressAutoHyphens/>
              <w:spacing w:before="40" w:after="80"/>
              <w:ind w:left="43" w:right="43"/>
              <w:rPr>
                <w:spacing w:val="2"/>
                <w:lang w:val="fr-FR"/>
              </w:rPr>
            </w:pPr>
            <w:r w:rsidRPr="008D5928">
              <w:rPr>
                <w:spacing w:val="2"/>
                <w:lang w:val="fr-FR"/>
              </w:rPr>
              <w:t>3.6</w:t>
            </w:r>
            <w:r w:rsidRPr="008D5928">
              <w:rPr>
                <w:spacing w:val="2"/>
                <w:lang w:val="fr-FR"/>
              </w:rPr>
              <w:tab/>
              <w:t>Poursuite des travaux sur la publication de cartes des voies navigables européennes et création éventuelle de cartes interactives.</w:t>
            </w:r>
          </w:p>
        </w:tc>
      </w:tr>
      <w:tr w:rsidR="00A917BF" w:rsidRPr="007640B1" w:rsidTr="00766635">
        <w:tc>
          <w:tcPr>
            <w:tcW w:w="2885" w:type="dxa"/>
            <w:tcBorders>
              <w:top w:val="nil"/>
              <w:bottom w:val="single" w:sz="4" w:space="0" w:color="auto"/>
            </w:tcBorders>
            <w:shd w:val="clear" w:color="auto" w:fill="auto"/>
          </w:tcPr>
          <w:p w:rsidR="00A917BF" w:rsidRPr="000F4E65" w:rsidRDefault="00A917BF" w:rsidP="00CF3C8A">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single" w:sz="4" w:space="0" w:color="auto"/>
            </w:tcBorders>
            <w:shd w:val="clear" w:color="auto" w:fill="auto"/>
          </w:tcPr>
          <w:p w:rsidR="00A917BF" w:rsidRPr="000F4E65" w:rsidRDefault="00A917BF" w:rsidP="00CF3C8A">
            <w:pPr>
              <w:tabs>
                <w:tab w:val="left" w:pos="288"/>
                <w:tab w:val="left" w:pos="576"/>
                <w:tab w:val="left" w:pos="864"/>
                <w:tab w:val="left" w:pos="1152"/>
              </w:tabs>
              <w:suppressAutoHyphens/>
              <w:spacing w:before="40" w:after="80"/>
              <w:ind w:left="43" w:right="43"/>
              <w:rPr>
                <w:lang w:val="fr-FR"/>
              </w:rPr>
            </w:pPr>
            <w:r w:rsidRPr="000F4E65">
              <w:rPr>
                <w:lang w:val="fr-FR"/>
              </w:rPr>
              <w:t>3.7</w:t>
            </w:r>
            <w:r w:rsidRPr="000F4E65">
              <w:rPr>
                <w:lang w:val="fr-FR"/>
              </w:rPr>
              <w:tab/>
              <w:t>Élaboration d’une vidéo sur le C</w:t>
            </w:r>
            <w:r>
              <w:rPr>
                <w:lang w:val="fr-FR"/>
              </w:rPr>
              <w:t xml:space="preserve">EVNI montrant son importance et </w:t>
            </w:r>
            <w:r w:rsidRPr="000F4E65">
              <w:rPr>
                <w:lang w:val="fr-FR"/>
              </w:rPr>
              <w:t>son incidence sur la sécurité de la navigation.</w:t>
            </w:r>
          </w:p>
        </w:tc>
      </w:tr>
      <w:tr w:rsidR="007640B1" w:rsidRPr="007640B1" w:rsidTr="00766635">
        <w:tc>
          <w:tcPr>
            <w:tcW w:w="2885" w:type="dxa"/>
            <w:tcBorders>
              <w:top w:val="single" w:sz="4" w:space="0" w:color="auto"/>
              <w:bottom w:val="nil"/>
            </w:tcBorders>
            <w:shd w:val="clear" w:color="auto" w:fill="auto"/>
          </w:tcPr>
          <w:p w:rsidR="007640B1" w:rsidRPr="007640B1" w:rsidRDefault="00926D85" w:rsidP="00CF3C8A">
            <w:pPr>
              <w:tabs>
                <w:tab w:val="left" w:pos="288"/>
                <w:tab w:val="left" w:pos="576"/>
                <w:tab w:val="left" w:pos="864"/>
                <w:tab w:val="left" w:pos="1152"/>
              </w:tabs>
              <w:suppressAutoHyphens/>
              <w:spacing w:before="40" w:after="80"/>
              <w:ind w:left="43" w:right="43"/>
              <w:rPr>
                <w:lang w:val="fr-FR"/>
              </w:rPr>
            </w:pPr>
            <w:r w:rsidRPr="00926D85">
              <w:rPr>
                <w:lang w:val="fr-FR"/>
              </w:rPr>
              <w:t>Activité 4.</w:t>
            </w:r>
            <w:r>
              <w:rPr>
                <w:lang w:val="fr-FR"/>
              </w:rPr>
              <w:t xml:space="preserve"> </w:t>
            </w:r>
            <w:r w:rsidRPr="00926D85">
              <w:rPr>
                <w:lang w:val="fr-FR"/>
              </w:rPr>
              <w:br/>
              <w:t>Harmonisation du</w:t>
            </w:r>
            <w:r>
              <w:rPr>
                <w:lang w:val="fr-FR"/>
              </w:rPr>
              <w:t xml:space="preserve"> </w:t>
            </w:r>
            <w:r w:rsidRPr="00926D85">
              <w:rPr>
                <w:lang w:val="fr-FR"/>
              </w:rPr>
              <w:t>cadre juridique applicable aux</w:t>
            </w:r>
            <w:r>
              <w:rPr>
                <w:lang w:val="fr-FR"/>
              </w:rPr>
              <w:t xml:space="preserve"> </w:t>
            </w:r>
            <w:r w:rsidRPr="00926D85">
              <w:rPr>
                <w:lang w:val="fr-FR"/>
              </w:rPr>
              <w:t>transports internationaux par</w:t>
            </w:r>
            <w:r>
              <w:rPr>
                <w:lang w:val="fr-FR"/>
              </w:rPr>
              <w:t xml:space="preserve"> </w:t>
            </w:r>
            <w:r w:rsidRPr="00926D85">
              <w:rPr>
                <w:lang w:val="fr-FR"/>
              </w:rPr>
              <w:t>voie navigable (domaines : réglementation et</w:t>
            </w:r>
            <w:r>
              <w:rPr>
                <w:lang w:val="fr-FR"/>
              </w:rPr>
              <w:t xml:space="preserve"> </w:t>
            </w:r>
            <w:r w:rsidRPr="00926D85">
              <w:rPr>
                <w:lang w:val="fr-FR"/>
              </w:rPr>
              <w:t>renforcement des</w:t>
            </w:r>
            <w:r>
              <w:rPr>
                <w:lang w:val="fr-FR"/>
              </w:rPr>
              <w:t xml:space="preserve"> </w:t>
            </w:r>
            <w:r w:rsidRPr="00926D85">
              <w:rPr>
                <w:lang w:val="fr-FR"/>
              </w:rPr>
              <w:t>capacités)</w:t>
            </w:r>
            <w:r>
              <w:rPr>
                <w:lang w:val="fr-FR"/>
              </w:rPr>
              <w:t xml:space="preserve"> </w:t>
            </w:r>
            <w:r>
              <w:rPr>
                <w:lang w:val="fr-FR"/>
              </w:rPr>
              <w:br/>
            </w:r>
            <w:r w:rsidRPr="00926D85">
              <w:rPr>
                <w:lang w:val="fr-FR"/>
              </w:rPr>
              <w:t>Activité permanente</w:t>
            </w:r>
          </w:p>
        </w:tc>
        <w:tc>
          <w:tcPr>
            <w:tcW w:w="5913" w:type="dxa"/>
            <w:tcBorders>
              <w:top w:val="single" w:sz="4" w:space="0" w:color="auto"/>
              <w:bottom w:val="nil"/>
            </w:tcBorders>
            <w:shd w:val="clear" w:color="auto" w:fill="auto"/>
          </w:tcPr>
          <w:p w:rsidR="00D57291" w:rsidRDefault="00D57291" w:rsidP="00CF3C8A">
            <w:pPr>
              <w:tabs>
                <w:tab w:val="left" w:pos="288"/>
                <w:tab w:val="left" w:pos="576"/>
                <w:tab w:val="left" w:pos="864"/>
                <w:tab w:val="left" w:pos="1152"/>
              </w:tabs>
              <w:suppressAutoHyphens/>
              <w:spacing w:before="40" w:after="80"/>
              <w:ind w:left="43" w:right="43"/>
              <w:rPr>
                <w:lang w:val="fr-FR"/>
              </w:rPr>
            </w:pPr>
            <w:r w:rsidRPr="00D57291">
              <w:rPr>
                <w:lang w:val="fr-FR"/>
              </w:rPr>
              <w:t>4.1</w:t>
            </w:r>
            <w:r w:rsidRPr="00D57291">
              <w:rPr>
                <w:lang w:val="fr-FR"/>
              </w:rPr>
              <w:tab/>
              <w:t>Promotion de la mise en œuvre des conventions de la CEE concernant la navigation intérieure et évaluation des instruments juridiques pertinents en vue de réfléchir à l’actualisation de ceux qui sont devenus obsolètes</w:t>
            </w:r>
            <w:r w:rsidR="00980E62">
              <w:rPr>
                <w:lang w:val="fr-FR"/>
              </w:rPr>
              <w:t> </w:t>
            </w:r>
            <w:r w:rsidRPr="00D57291">
              <w:rPr>
                <w:lang w:val="fr-FR"/>
              </w:rPr>
              <w:t>:</w:t>
            </w:r>
          </w:p>
          <w:p w:rsidR="00D60FEA" w:rsidRDefault="00D60FEA" w:rsidP="00CF3C8A">
            <w:pPr>
              <w:tabs>
                <w:tab w:val="left" w:pos="288"/>
                <w:tab w:val="left" w:pos="576"/>
                <w:tab w:val="left" w:pos="864"/>
                <w:tab w:val="left" w:pos="1152"/>
              </w:tabs>
              <w:suppressAutoHyphens/>
              <w:spacing w:before="40" w:after="80"/>
              <w:ind w:left="43" w:right="43"/>
              <w:rPr>
                <w:lang w:val="fr-FR"/>
              </w:rPr>
            </w:pPr>
            <w:r w:rsidRPr="00D57291">
              <w:rPr>
                <w:lang w:val="fr-FR"/>
              </w:rPr>
              <w:tab/>
              <w:t>a)</w:t>
            </w:r>
            <w:r w:rsidRPr="00D57291">
              <w:rPr>
                <w:lang w:val="fr-FR"/>
              </w:rPr>
              <w:tab/>
              <w:t>Conduite d’une analyse de la mise en œuvre des conventions en vigueur par les Parties contractantes;</w:t>
            </w:r>
          </w:p>
          <w:p w:rsidR="007640B1" w:rsidRPr="007640B1" w:rsidRDefault="00D60FEA" w:rsidP="00163441">
            <w:pPr>
              <w:tabs>
                <w:tab w:val="left" w:pos="288"/>
                <w:tab w:val="left" w:pos="576"/>
                <w:tab w:val="left" w:pos="864"/>
                <w:tab w:val="left" w:pos="1152"/>
              </w:tabs>
              <w:suppressAutoHyphens/>
              <w:spacing w:before="40" w:after="80"/>
              <w:ind w:left="43" w:right="43"/>
              <w:rPr>
                <w:lang w:val="fr-FR"/>
              </w:rPr>
            </w:pPr>
            <w:r w:rsidRPr="00D57291">
              <w:rPr>
                <w:lang w:val="fr-FR"/>
              </w:rPr>
              <w:tab/>
              <w:t>b)</w:t>
            </w:r>
            <w:r w:rsidRPr="00D57291">
              <w:rPr>
                <w:lang w:val="fr-FR"/>
              </w:rPr>
              <w:tab/>
              <w:t>Collecte de renseignements sur l’application des conventions au niveau national;</w:t>
            </w:r>
          </w:p>
        </w:tc>
      </w:tr>
      <w:tr w:rsidR="00D60FEA" w:rsidRPr="007640B1" w:rsidTr="00766635">
        <w:tc>
          <w:tcPr>
            <w:tcW w:w="2885" w:type="dxa"/>
            <w:tcBorders>
              <w:top w:val="nil"/>
            </w:tcBorders>
            <w:shd w:val="clear" w:color="auto" w:fill="auto"/>
          </w:tcPr>
          <w:p w:rsidR="00D60FEA" w:rsidRPr="00926D85" w:rsidRDefault="00D60FEA" w:rsidP="00CF3C8A">
            <w:pPr>
              <w:tabs>
                <w:tab w:val="left" w:pos="288"/>
                <w:tab w:val="left" w:pos="576"/>
                <w:tab w:val="left" w:pos="864"/>
                <w:tab w:val="left" w:pos="1152"/>
              </w:tabs>
              <w:suppressAutoHyphens/>
              <w:spacing w:before="40" w:after="80"/>
              <w:ind w:left="43" w:right="43"/>
              <w:rPr>
                <w:lang w:val="fr-FR"/>
              </w:rPr>
            </w:pPr>
          </w:p>
        </w:tc>
        <w:tc>
          <w:tcPr>
            <w:tcW w:w="5913" w:type="dxa"/>
            <w:tcBorders>
              <w:top w:val="nil"/>
            </w:tcBorders>
            <w:shd w:val="clear" w:color="auto" w:fill="auto"/>
          </w:tcPr>
          <w:p w:rsidR="00D60FEA" w:rsidRPr="00D57291" w:rsidRDefault="00D60FEA" w:rsidP="00C2216E">
            <w:pPr>
              <w:tabs>
                <w:tab w:val="left" w:pos="288"/>
                <w:tab w:val="left" w:pos="576"/>
                <w:tab w:val="left" w:pos="864"/>
                <w:tab w:val="left" w:pos="1152"/>
              </w:tabs>
              <w:suppressAutoHyphens/>
              <w:spacing w:before="40" w:after="80"/>
              <w:ind w:left="43" w:right="43"/>
              <w:rPr>
                <w:lang w:val="fr-FR"/>
              </w:rPr>
            </w:pPr>
            <w:r w:rsidRPr="00D57291">
              <w:rPr>
                <w:lang w:val="fr-FR"/>
              </w:rPr>
              <w:tab/>
              <w:t>c)</w:t>
            </w:r>
            <w:r w:rsidRPr="00D57291">
              <w:rPr>
                <w:lang w:val="fr-FR"/>
              </w:rPr>
              <w:tab/>
              <w:t>Poursuite des travaux relatifs aux conventions qui ne sont pas encore en vigueur.</w:t>
            </w:r>
          </w:p>
        </w:tc>
      </w:tr>
      <w:tr w:rsidR="00D60FEA" w:rsidRPr="007640B1" w:rsidTr="00C63BDC">
        <w:tc>
          <w:tcPr>
            <w:tcW w:w="2885" w:type="dxa"/>
            <w:shd w:val="clear" w:color="auto" w:fill="auto"/>
          </w:tcPr>
          <w:p w:rsidR="00D60FEA" w:rsidRPr="00926D85" w:rsidRDefault="00D60FEA"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D60FEA" w:rsidRPr="00D57291" w:rsidRDefault="00D60FEA" w:rsidP="00D60FEA">
            <w:pPr>
              <w:tabs>
                <w:tab w:val="left" w:pos="288"/>
                <w:tab w:val="left" w:pos="576"/>
                <w:tab w:val="left" w:pos="864"/>
                <w:tab w:val="left" w:pos="1152"/>
              </w:tabs>
              <w:suppressAutoHyphens/>
              <w:spacing w:before="40" w:after="80"/>
              <w:ind w:left="43" w:right="43"/>
              <w:rPr>
                <w:lang w:val="fr-FR"/>
              </w:rPr>
            </w:pPr>
            <w:r w:rsidRPr="00D57291">
              <w:rPr>
                <w:lang w:val="fr-FR"/>
              </w:rPr>
              <w:t>Le résultat éventuel pourrait être la facilitation de l’utilisation des</w:t>
            </w:r>
            <w:r w:rsidR="00615631">
              <w:rPr>
                <w:lang w:val="fr-FR"/>
              </w:rPr>
              <w:t> </w:t>
            </w:r>
            <w:r w:rsidRPr="00D57291">
              <w:rPr>
                <w:lang w:val="fr-FR"/>
              </w:rPr>
              <w:t xml:space="preserve">conventions internationales </w:t>
            </w:r>
            <w:r w:rsidR="00615631">
              <w:rPr>
                <w:lang w:val="fr-FR"/>
              </w:rPr>
              <w:t>comme instruments de travail et </w:t>
            </w:r>
            <w:r w:rsidRPr="00D57291">
              <w:rPr>
                <w:lang w:val="fr-FR"/>
              </w:rPr>
              <w:t>l’augmentation du n</w:t>
            </w:r>
            <w:r>
              <w:rPr>
                <w:lang w:val="fr-FR"/>
              </w:rPr>
              <w:t>ombre de Parties contractantes.</w:t>
            </w:r>
          </w:p>
        </w:tc>
      </w:tr>
      <w:tr w:rsidR="00D60FEA" w:rsidRPr="007640B1" w:rsidTr="00C63BDC">
        <w:tc>
          <w:tcPr>
            <w:tcW w:w="2885" w:type="dxa"/>
            <w:shd w:val="clear" w:color="auto" w:fill="auto"/>
          </w:tcPr>
          <w:p w:rsidR="00D60FEA" w:rsidRPr="00926D85" w:rsidRDefault="00D60FEA"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D60FEA" w:rsidRPr="00D57291" w:rsidRDefault="00D60FEA" w:rsidP="00D60FEA">
            <w:pPr>
              <w:tabs>
                <w:tab w:val="left" w:pos="288"/>
                <w:tab w:val="left" w:pos="576"/>
                <w:tab w:val="left" w:pos="864"/>
                <w:tab w:val="left" w:pos="1152"/>
              </w:tabs>
              <w:suppressAutoHyphens/>
              <w:spacing w:before="40" w:after="80"/>
              <w:ind w:left="43" w:right="43"/>
              <w:rPr>
                <w:lang w:val="fr-FR"/>
              </w:rPr>
            </w:pPr>
            <w:r w:rsidRPr="00D57291">
              <w:rPr>
                <w:lang w:val="fr-FR"/>
              </w:rPr>
              <w:t>4.2</w:t>
            </w:r>
            <w:r w:rsidRPr="00D57291">
              <w:rPr>
                <w:lang w:val="fr-FR"/>
              </w:rPr>
              <w:tab/>
              <w:t>Poursuite des travaux visant à éliminer les obstacles législatifs dans le secteur des transports par voie navigable.</w:t>
            </w:r>
          </w:p>
        </w:tc>
      </w:tr>
      <w:tr w:rsidR="00D60FEA" w:rsidRPr="007640B1" w:rsidTr="00C63BDC">
        <w:tc>
          <w:tcPr>
            <w:tcW w:w="2885" w:type="dxa"/>
            <w:shd w:val="clear" w:color="auto" w:fill="auto"/>
          </w:tcPr>
          <w:p w:rsidR="00D60FEA" w:rsidRPr="00926D85" w:rsidRDefault="00D60FEA"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D60FEA" w:rsidRPr="00D57291" w:rsidRDefault="00D60FEA" w:rsidP="00D60FEA">
            <w:pPr>
              <w:tabs>
                <w:tab w:val="left" w:pos="288"/>
                <w:tab w:val="left" w:pos="576"/>
                <w:tab w:val="left" w:pos="864"/>
                <w:tab w:val="left" w:pos="1152"/>
              </w:tabs>
              <w:suppressAutoHyphens/>
              <w:spacing w:before="40" w:after="80"/>
              <w:ind w:left="43" w:right="43"/>
              <w:rPr>
                <w:lang w:val="fr-FR"/>
              </w:rPr>
            </w:pPr>
            <w:r w:rsidRPr="00D57291">
              <w:rPr>
                <w:lang w:val="fr-FR"/>
              </w:rPr>
              <w:t>Le SC.3 pourrait revenir sur les conclusions du Groupe d’experts sur les obstacles législatifs en vue de</w:t>
            </w:r>
            <w:r>
              <w:rPr>
                <w:lang w:val="fr-FR"/>
              </w:rPr>
              <w:t> </w:t>
            </w:r>
            <w:r w:rsidRPr="00D57291">
              <w:rPr>
                <w:lang w:val="fr-FR"/>
              </w:rPr>
              <w:t>:</w:t>
            </w:r>
          </w:p>
        </w:tc>
      </w:tr>
      <w:tr w:rsidR="00D60FEA" w:rsidRPr="007640B1" w:rsidTr="00C63BDC">
        <w:tc>
          <w:tcPr>
            <w:tcW w:w="2885" w:type="dxa"/>
            <w:shd w:val="clear" w:color="auto" w:fill="auto"/>
          </w:tcPr>
          <w:p w:rsidR="00D60FEA" w:rsidRPr="00926D85" w:rsidRDefault="00D60FEA"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D60FEA" w:rsidRPr="00D57291" w:rsidRDefault="00D60FEA" w:rsidP="00D60FEA">
            <w:pPr>
              <w:tabs>
                <w:tab w:val="left" w:pos="288"/>
                <w:tab w:val="left" w:pos="576"/>
                <w:tab w:val="left" w:pos="864"/>
                <w:tab w:val="left" w:pos="1152"/>
              </w:tabs>
              <w:suppressAutoHyphens/>
              <w:spacing w:before="40" w:after="80"/>
              <w:ind w:left="43" w:right="43"/>
              <w:rPr>
                <w:lang w:val="fr-FR"/>
              </w:rPr>
            </w:pPr>
            <w:r w:rsidRPr="00D57291">
              <w:rPr>
                <w:lang w:val="fr-FR"/>
              </w:rPr>
              <w:tab/>
              <w:t>a)</w:t>
            </w:r>
            <w:r w:rsidRPr="00D57291">
              <w:rPr>
                <w:lang w:val="fr-FR"/>
              </w:rPr>
              <w:tab/>
              <w:t>L’actualisation de ces conclusions;</w:t>
            </w:r>
          </w:p>
        </w:tc>
      </w:tr>
      <w:tr w:rsidR="00D60FEA" w:rsidRPr="007640B1" w:rsidTr="00C63BDC">
        <w:tc>
          <w:tcPr>
            <w:tcW w:w="2885" w:type="dxa"/>
            <w:shd w:val="clear" w:color="auto" w:fill="auto"/>
          </w:tcPr>
          <w:p w:rsidR="00D60FEA" w:rsidRPr="00926D85" w:rsidRDefault="00D60FEA"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D60FEA" w:rsidRPr="00D57291" w:rsidRDefault="00D60FEA" w:rsidP="001B2AE3">
            <w:pPr>
              <w:tabs>
                <w:tab w:val="left" w:pos="288"/>
                <w:tab w:val="left" w:pos="576"/>
                <w:tab w:val="left" w:pos="864"/>
                <w:tab w:val="left" w:pos="1152"/>
              </w:tabs>
              <w:suppressAutoHyphens/>
              <w:spacing w:before="40" w:after="80"/>
              <w:ind w:left="43" w:right="43"/>
              <w:rPr>
                <w:lang w:val="fr-FR"/>
              </w:rPr>
            </w:pPr>
            <w:r w:rsidRPr="00D57291">
              <w:rPr>
                <w:lang w:val="fr-FR"/>
              </w:rPr>
              <w:tab/>
              <w:t>b)</w:t>
            </w:r>
            <w:r w:rsidRPr="00D57291">
              <w:rPr>
                <w:lang w:val="fr-FR"/>
              </w:rPr>
              <w:tab/>
              <w:t>L’élaboration de propositions pour la prochaine révision du</w:t>
            </w:r>
            <w:r w:rsidR="001B2AE3">
              <w:rPr>
                <w:lang w:val="fr-FR"/>
              </w:rPr>
              <w:t> </w:t>
            </w:r>
            <w:r w:rsidRPr="00D57291">
              <w:rPr>
                <w:lang w:val="fr-FR"/>
              </w:rPr>
              <w:t>Livre blanc sur l’efficacité et la viabilité du transport par voie navigable en Europe.</w:t>
            </w:r>
          </w:p>
        </w:tc>
      </w:tr>
      <w:tr w:rsidR="00D60FEA" w:rsidRPr="007640B1" w:rsidTr="008D5928">
        <w:tc>
          <w:tcPr>
            <w:tcW w:w="2885" w:type="dxa"/>
            <w:tcBorders>
              <w:bottom w:val="nil"/>
            </w:tcBorders>
            <w:shd w:val="clear" w:color="auto" w:fill="auto"/>
          </w:tcPr>
          <w:p w:rsidR="00D60FEA" w:rsidRPr="00926D85" w:rsidRDefault="00D60FEA" w:rsidP="00CF3C8A">
            <w:pPr>
              <w:tabs>
                <w:tab w:val="left" w:pos="288"/>
                <w:tab w:val="left" w:pos="576"/>
                <w:tab w:val="left" w:pos="864"/>
                <w:tab w:val="left" w:pos="1152"/>
              </w:tabs>
              <w:suppressAutoHyphens/>
              <w:spacing w:before="40" w:after="80"/>
              <w:ind w:left="43" w:right="43"/>
              <w:rPr>
                <w:lang w:val="fr-FR"/>
              </w:rPr>
            </w:pPr>
          </w:p>
        </w:tc>
        <w:tc>
          <w:tcPr>
            <w:tcW w:w="5913" w:type="dxa"/>
            <w:tcBorders>
              <w:bottom w:val="nil"/>
            </w:tcBorders>
            <w:shd w:val="clear" w:color="auto" w:fill="auto"/>
          </w:tcPr>
          <w:p w:rsidR="00D60FEA" w:rsidRPr="00D57291" w:rsidRDefault="00D60FEA" w:rsidP="00D60FEA">
            <w:pPr>
              <w:tabs>
                <w:tab w:val="left" w:pos="288"/>
                <w:tab w:val="left" w:pos="576"/>
                <w:tab w:val="left" w:pos="864"/>
                <w:tab w:val="left" w:pos="1152"/>
              </w:tabs>
              <w:suppressAutoHyphens/>
              <w:spacing w:before="40" w:after="80"/>
              <w:ind w:left="43" w:right="43"/>
              <w:rPr>
                <w:lang w:val="fr-FR"/>
              </w:rPr>
            </w:pPr>
            <w:r w:rsidRPr="00D57291">
              <w:rPr>
                <w:lang w:val="fr-FR"/>
              </w:rPr>
              <w:t>4.3</w:t>
            </w:r>
            <w:r w:rsidRPr="00D57291">
              <w:rPr>
                <w:lang w:val="fr-FR"/>
              </w:rPr>
              <w:tab/>
              <w:t>Poursuite des travaux sur un projet de règles paneuropéennes sur l’avarie commune en navigation intérieure.</w:t>
            </w:r>
          </w:p>
        </w:tc>
      </w:tr>
      <w:tr w:rsidR="00D60FEA" w:rsidRPr="007640B1" w:rsidTr="008D5928">
        <w:tc>
          <w:tcPr>
            <w:tcW w:w="2885" w:type="dxa"/>
            <w:tcBorders>
              <w:top w:val="nil"/>
              <w:bottom w:val="single" w:sz="4" w:space="0" w:color="auto"/>
            </w:tcBorders>
            <w:shd w:val="clear" w:color="auto" w:fill="auto"/>
          </w:tcPr>
          <w:p w:rsidR="00D60FEA" w:rsidRPr="00926D85" w:rsidRDefault="00D60FEA" w:rsidP="00CF3C8A">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single" w:sz="4" w:space="0" w:color="auto"/>
            </w:tcBorders>
            <w:shd w:val="clear" w:color="auto" w:fill="auto"/>
          </w:tcPr>
          <w:p w:rsidR="00D60FEA" w:rsidRPr="00D57291" w:rsidRDefault="00D60FEA" w:rsidP="00CF3C8A">
            <w:pPr>
              <w:tabs>
                <w:tab w:val="left" w:pos="288"/>
                <w:tab w:val="left" w:pos="576"/>
                <w:tab w:val="left" w:pos="864"/>
                <w:tab w:val="left" w:pos="1152"/>
              </w:tabs>
              <w:suppressAutoHyphens/>
              <w:spacing w:before="40" w:after="80"/>
              <w:ind w:left="43" w:right="43"/>
              <w:rPr>
                <w:lang w:val="fr-FR"/>
              </w:rPr>
            </w:pPr>
            <w:r w:rsidRPr="00D57291">
              <w:rPr>
                <w:lang w:val="fr-FR"/>
              </w:rPr>
              <w:t>4.4</w:t>
            </w:r>
            <w:r w:rsidRPr="00D57291">
              <w:rPr>
                <w:lang w:val="fr-FR"/>
              </w:rPr>
              <w:tab/>
              <w:t>Renforcement de la coopération avec la Hongrie et les commissions fluviales en vue de promouvoir la Convention de</w:t>
            </w:r>
            <w:r>
              <w:rPr>
                <w:lang w:val="fr-FR"/>
              </w:rPr>
              <w:t xml:space="preserve"> </w:t>
            </w:r>
            <w:r w:rsidRPr="00D57291">
              <w:rPr>
                <w:lang w:val="fr-FR"/>
              </w:rPr>
              <w:t>Budapest relative au contrat de transport de marchandises en</w:t>
            </w:r>
            <w:r>
              <w:rPr>
                <w:lang w:val="fr-FR"/>
              </w:rPr>
              <w:t xml:space="preserve"> </w:t>
            </w:r>
            <w:r w:rsidRPr="00D57291">
              <w:rPr>
                <w:lang w:val="fr-FR"/>
              </w:rPr>
              <w:t>navigation intérieure (CMNI).</w:t>
            </w:r>
          </w:p>
        </w:tc>
      </w:tr>
      <w:tr w:rsidR="007640B1" w:rsidRPr="007640B1" w:rsidTr="008D5928">
        <w:tc>
          <w:tcPr>
            <w:tcW w:w="2885" w:type="dxa"/>
            <w:tcBorders>
              <w:top w:val="single" w:sz="4" w:space="0" w:color="auto"/>
              <w:bottom w:val="single" w:sz="4" w:space="0" w:color="auto"/>
            </w:tcBorders>
            <w:shd w:val="clear" w:color="auto" w:fill="auto"/>
          </w:tcPr>
          <w:p w:rsidR="007640B1" w:rsidRPr="007640B1" w:rsidRDefault="00980E62" w:rsidP="00CF3C8A">
            <w:pPr>
              <w:tabs>
                <w:tab w:val="left" w:pos="288"/>
                <w:tab w:val="left" w:pos="576"/>
                <w:tab w:val="left" w:pos="864"/>
                <w:tab w:val="left" w:pos="1152"/>
              </w:tabs>
              <w:suppressAutoHyphens/>
              <w:spacing w:before="40" w:after="80"/>
              <w:ind w:left="43" w:right="43"/>
              <w:rPr>
                <w:lang w:val="fr-FR"/>
              </w:rPr>
            </w:pPr>
            <w:r w:rsidRPr="00980E62">
              <w:rPr>
                <w:lang w:val="fr-FR"/>
              </w:rPr>
              <w:t>Activité 5.</w:t>
            </w:r>
            <w:r>
              <w:rPr>
                <w:lang w:val="fr-FR"/>
              </w:rPr>
              <w:t xml:space="preserve"> </w:t>
            </w:r>
            <w:r w:rsidRPr="00980E62">
              <w:rPr>
                <w:lang w:val="fr-FR"/>
              </w:rPr>
              <w:br/>
              <w:t>Transports par voie navigable et</w:t>
            </w:r>
            <w:r w:rsidR="00B8520F">
              <w:rPr>
                <w:lang w:val="fr-FR"/>
              </w:rPr>
              <w:t> </w:t>
            </w:r>
            <w:r w:rsidRPr="00980E62">
              <w:rPr>
                <w:lang w:val="fr-FR"/>
              </w:rPr>
              <w:t>sécurité (domaines : concertation politique et réglementation)</w:t>
            </w:r>
            <w:r>
              <w:rPr>
                <w:lang w:val="fr-FR"/>
              </w:rPr>
              <w:t xml:space="preserve"> </w:t>
            </w:r>
            <w:r>
              <w:rPr>
                <w:lang w:val="fr-FR"/>
              </w:rPr>
              <w:br/>
            </w:r>
            <w:r w:rsidRPr="00980E62">
              <w:rPr>
                <w:lang w:val="fr-FR"/>
              </w:rPr>
              <w:t>Activité permanente</w:t>
            </w:r>
          </w:p>
        </w:tc>
        <w:tc>
          <w:tcPr>
            <w:tcW w:w="5913" w:type="dxa"/>
            <w:tcBorders>
              <w:top w:val="single" w:sz="4" w:space="0" w:color="auto"/>
              <w:bottom w:val="single" w:sz="4" w:space="0" w:color="auto"/>
            </w:tcBorders>
            <w:shd w:val="clear" w:color="auto" w:fill="auto"/>
          </w:tcPr>
          <w:p w:rsidR="00B275B9" w:rsidRPr="00B275B9" w:rsidRDefault="00B275B9" w:rsidP="00CF3C8A">
            <w:pPr>
              <w:tabs>
                <w:tab w:val="left" w:pos="288"/>
                <w:tab w:val="left" w:pos="576"/>
                <w:tab w:val="left" w:pos="864"/>
                <w:tab w:val="left" w:pos="1152"/>
              </w:tabs>
              <w:suppressAutoHyphens/>
              <w:spacing w:before="40" w:after="80"/>
              <w:ind w:left="43" w:right="43"/>
              <w:rPr>
                <w:lang w:val="fr-FR"/>
              </w:rPr>
            </w:pPr>
            <w:r w:rsidRPr="00B275B9">
              <w:rPr>
                <w:lang w:val="fr-FR"/>
              </w:rPr>
              <w:t>5.1</w:t>
            </w:r>
            <w:r w:rsidRPr="00B275B9">
              <w:rPr>
                <w:lang w:val="fr-FR"/>
              </w:rPr>
              <w:tab/>
              <w:t>Poursuite de l’examen de mesures de sécurité visant à améliorer la sûreté des transports intérieurs suite à la décision du</w:t>
            </w:r>
            <w:r w:rsidR="008D5928">
              <w:rPr>
                <w:lang w:val="fr-FR"/>
              </w:rPr>
              <w:t> </w:t>
            </w:r>
            <w:r w:rsidRPr="00B275B9">
              <w:rPr>
                <w:lang w:val="fr-FR"/>
              </w:rPr>
              <w:t>Comité des transports intérieurs (ECE/TRANS/208, par. 91).</w:t>
            </w:r>
          </w:p>
          <w:p w:rsidR="007640B1" w:rsidRPr="007640B1" w:rsidRDefault="00B275B9" w:rsidP="00CF3C8A">
            <w:pPr>
              <w:tabs>
                <w:tab w:val="left" w:pos="288"/>
                <w:tab w:val="left" w:pos="576"/>
                <w:tab w:val="left" w:pos="864"/>
                <w:tab w:val="left" w:pos="1152"/>
              </w:tabs>
              <w:suppressAutoHyphens/>
              <w:spacing w:before="40" w:after="80"/>
              <w:ind w:left="43" w:right="43"/>
              <w:rPr>
                <w:lang w:val="fr-FR"/>
              </w:rPr>
            </w:pPr>
            <w:r w:rsidRPr="00B275B9">
              <w:rPr>
                <w:lang w:val="fr-FR"/>
              </w:rPr>
              <w:t>5.2</w:t>
            </w:r>
            <w:r w:rsidRPr="00B275B9">
              <w:rPr>
                <w:lang w:val="fr-FR"/>
              </w:rPr>
              <w:tab/>
              <w:t>Mise en commun des bonnes pratiques pertinentes avec d’autres modes de transport.</w:t>
            </w:r>
          </w:p>
        </w:tc>
      </w:tr>
      <w:tr w:rsidR="007640B1" w:rsidRPr="007640B1" w:rsidTr="00766635">
        <w:tc>
          <w:tcPr>
            <w:tcW w:w="2885" w:type="dxa"/>
            <w:tcBorders>
              <w:top w:val="single" w:sz="4" w:space="0" w:color="auto"/>
              <w:bottom w:val="single" w:sz="4" w:space="0" w:color="auto"/>
            </w:tcBorders>
            <w:shd w:val="clear" w:color="auto" w:fill="auto"/>
          </w:tcPr>
          <w:p w:rsidR="007640B1" w:rsidRPr="007640B1" w:rsidRDefault="00CC6887" w:rsidP="00764732">
            <w:pPr>
              <w:tabs>
                <w:tab w:val="left" w:pos="288"/>
                <w:tab w:val="left" w:pos="576"/>
                <w:tab w:val="left" w:pos="864"/>
                <w:tab w:val="left" w:pos="1152"/>
              </w:tabs>
              <w:suppressAutoHyphens/>
              <w:spacing w:before="40" w:after="80"/>
              <w:ind w:left="43" w:right="43"/>
              <w:rPr>
                <w:lang w:val="fr-FR"/>
              </w:rPr>
            </w:pPr>
            <w:r w:rsidRPr="00CC6887">
              <w:rPr>
                <w:lang w:val="fr-FR"/>
              </w:rPr>
              <w:t>Activité 6.</w:t>
            </w:r>
            <w:r>
              <w:rPr>
                <w:lang w:val="fr-FR"/>
              </w:rPr>
              <w:t xml:space="preserve"> </w:t>
            </w:r>
            <w:r w:rsidRPr="00CC6887">
              <w:rPr>
                <w:lang w:val="fr-FR"/>
              </w:rPr>
              <w:br/>
              <w:t>Reconnaissance des certificats et normes pédagogiques concernant la navigation intérieure. S’attaquer aux problèmes posés par le marché</w:t>
            </w:r>
            <w:r w:rsidR="00764732">
              <w:rPr>
                <w:lang w:val="fr-FR"/>
              </w:rPr>
              <w:t> </w:t>
            </w:r>
            <w:r w:rsidRPr="00CC6887">
              <w:rPr>
                <w:lang w:val="fr-FR"/>
              </w:rPr>
              <w:t>du</w:t>
            </w:r>
            <w:r w:rsidR="008D5928">
              <w:rPr>
                <w:lang w:val="fr-FR"/>
              </w:rPr>
              <w:t xml:space="preserve"> </w:t>
            </w:r>
            <w:r w:rsidRPr="00CC6887">
              <w:rPr>
                <w:lang w:val="fr-FR"/>
              </w:rPr>
              <w:t>travail (domaines : réglementation et</w:t>
            </w:r>
            <w:r>
              <w:rPr>
                <w:lang w:val="fr-FR"/>
              </w:rPr>
              <w:t xml:space="preserve"> </w:t>
            </w:r>
            <w:r w:rsidRPr="00CC6887">
              <w:rPr>
                <w:lang w:val="fr-FR"/>
              </w:rPr>
              <w:t>renforcement</w:t>
            </w:r>
            <w:r w:rsidR="001B2AE3">
              <w:rPr>
                <w:lang w:val="fr-FR"/>
              </w:rPr>
              <w:t xml:space="preserve"> </w:t>
            </w:r>
            <w:r w:rsidRPr="00CC6887">
              <w:rPr>
                <w:lang w:val="fr-FR"/>
              </w:rPr>
              <w:t>des</w:t>
            </w:r>
            <w:r>
              <w:rPr>
                <w:lang w:val="fr-FR"/>
              </w:rPr>
              <w:t xml:space="preserve"> </w:t>
            </w:r>
            <w:r w:rsidRPr="00CC6887">
              <w:rPr>
                <w:lang w:val="fr-FR"/>
              </w:rPr>
              <w:t>capacités)</w:t>
            </w:r>
            <w:r>
              <w:rPr>
                <w:lang w:val="fr-FR"/>
              </w:rPr>
              <w:t xml:space="preserve"> </w:t>
            </w:r>
            <w:r>
              <w:rPr>
                <w:lang w:val="fr-FR"/>
              </w:rPr>
              <w:br/>
            </w:r>
            <w:r w:rsidRPr="00CC6887">
              <w:rPr>
                <w:lang w:val="fr-FR"/>
              </w:rPr>
              <w:t>Activité permanente</w:t>
            </w:r>
          </w:p>
        </w:tc>
        <w:tc>
          <w:tcPr>
            <w:tcW w:w="5913" w:type="dxa"/>
            <w:tcBorders>
              <w:top w:val="single" w:sz="4" w:space="0" w:color="auto"/>
              <w:bottom w:val="single" w:sz="4" w:space="0" w:color="auto"/>
            </w:tcBorders>
            <w:shd w:val="clear" w:color="auto" w:fill="auto"/>
          </w:tcPr>
          <w:p w:rsidR="00CC6887" w:rsidRPr="00CC6887" w:rsidRDefault="00CC6887" w:rsidP="00CF3C8A">
            <w:pPr>
              <w:tabs>
                <w:tab w:val="left" w:pos="288"/>
                <w:tab w:val="left" w:pos="576"/>
                <w:tab w:val="left" w:pos="864"/>
                <w:tab w:val="left" w:pos="1152"/>
              </w:tabs>
              <w:suppressAutoHyphens/>
              <w:spacing w:before="40" w:after="80"/>
              <w:ind w:left="43" w:right="43"/>
              <w:rPr>
                <w:lang w:val="fr-FR"/>
              </w:rPr>
            </w:pPr>
            <w:r w:rsidRPr="00CC6887">
              <w:rPr>
                <w:lang w:val="fr-FR"/>
              </w:rPr>
              <w:t>6.1</w:t>
            </w:r>
            <w:r w:rsidRPr="00CC6887">
              <w:rPr>
                <w:lang w:val="fr-FR"/>
              </w:rPr>
              <w:tab/>
              <w:t>Facilitation des travaux visant à formuler des recommandations relatives à l’établissement de principes communs pour la formation des équipages</w:t>
            </w:r>
            <w:r w:rsidR="00C21731">
              <w:rPr>
                <w:lang w:val="fr-FR"/>
              </w:rPr>
              <w:t> </w:t>
            </w:r>
            <w:r w:rsidRPr="00CC6887">
              <w:rPr>
                <w:lang w:val="fr-FR"/>
              </w:rPr>
              <w:t>: réalisation des tâches proposées par le Groupe international d’experts chargé de la reconnaissance réciproque des certificats de</w:t>
            </w:r>
            <w:r w:rsidR="00B8520F">
              <w:rPr>
                <w:lang w:val="fr-FR"/>
              </w:rPr>
              <w:t xml:space="preserve"> </w:t>
            </w:r>
            <w:r w:rsidRPr="00CC6887">
              <w:rPr>
                <w:lang w:val="fr-FR"/>
              </w:rPr>
              <w:t>conducteur de bateau et de l’harmonisation des exigences en</w:t>
            </w:r>
            <w:r w:rsidR="00B8520F">
              <w:rPr>
                <w:lang w:val="fr-FR"/>
              </w:rPr>
              <w:t xml:space="preserve"> </w:t>
            </w:r>
            <w:r w:rsidRPr="00CC6887">
              <w:rPr>
                <w:lang w:val="fr-FR"/>
              </w:rPr>
              <w:t>matière de qualifications professionnelles dans le domaine de</w:t>
            </w:r>
            <w:r w:rsidR="00B8520F">
              <w:rPr>
                <w:lang w:val="fr-FR"/>
              </w:rPr>
              <w:t xml:space="preserve"> </w:t>
            </w:r>
            <w:r w:rsidRPr="00CC6887">
              <w:rPr>
                <w:lang w:val="fr-FR"/>
              </w:rPr>
              <w:t>la</w:t>
            </w:r>
            <w:r w:rsidR="00B8520F">
              <w:rPr>
                <w:lang w:val="fr-FR"/>
              </w:rPr>
              <w:t xml:space="preserve"> </w:t>
            </w:r>
            <w:r w:rsidRPr="00CC6887">
              <w:rPr>
                <w:lang w:val="fr-FR"/>
              </w:rPr>
              <w:t>navigation intérieure.</w:t>
            </w:r>
          </w:p>
          <w:p w:rsidR="007640B1" w:rsidRDefault="00CC6887" w:rsidP="00C2216E">
            <w:pPr>
              <w:tabs>
                <w:tab w:val="left" w:pos="288"/>
                <w:tab w:val="left" w:pos="576"/>
                <w:tab w:val="left" w:pos="864"/>
                <w:tab w:val="left" w:pos="1152"/>
              </w:tabs>
              <w:suppressAutoHyphens/>
              <w:spacing w:before="40" w:after="80"/>
              <w:ind w:left="43" w:right="43"/>
              <w:rPr>
                <w:lang w:val="fr-FR"/>
              </w:rPr>
            </w:pPr>
            <w:r w:rsidRPr="00CC6887">
              <w:rPr>
                <w:lang w:val="fr-FR"/>
              </w:rPr>
              <w:t>6.2</w:t>
            </w:r>
            <w:r w:rsidRPr="00CC6887">
              <w:rPr>
                <w:lang w:val="fr-FR"/>
              </w:rPr>
              <w:tab/>
              <w:t>Échange d’expériences en matière d’utilisation des</w:t>
            </w:r>
            <w:r>
              <w:rPr>
                <w:lang w:val="fr-FR"/>
              </w:rPr>
              <w:t xml:space="preserve"> </w:t>
            </w:r>
            <w:r w:rsidRPr="00CC6887">
              <w:rPr>
                <w:lang w:val="fr-FR"/>
              </w:rPr>
              <w:t>nouvelles technologies dans le processus de formation.</w:t>
            </w:r>
          </w:p>
          <w:p w:rsidR="001B2AE3" w:rsidRPr="007640B1" w:rsidRDefault="001B2AE3" w:rsidP="00C2216E">
            <w:pPr>
              <w:tabs>
                <w:tab w:val="left" w:pos="288"/>
                <w:tab w:val="left" w:pos="576"/>
                <w:tab w:val="left" w:pos="864"/>
                <w:tab w:val="left" w:pos="1152"/>
              </w:tabs>
              <w:suppressAutoHyphens/>
              <w:spacing w:before="40" w:after="80"/>
              <w:ind w:left="43" w:right="43"/>
              <w:rPr>
                <w:lang w:val="fr-FR"/>
              </w:rPr>
            </w:pPr>
            <w:r w:rsidRPr="00CC6887">
              <w:rPr>
                <w:lang w:val="fr-FR"/>
              </w:rPr>
              <w:t>6.3</w:t>
            </w:r>
            <w:r w:rsidRPr="00CC6887">
              <w:rPr>
                <w:lang w:val="fr-FR"/>
              </w:rPr>
              <w:tab/>
              <w:t>Mise en commun des expériences des États membres et</w:t>
            </w:r>
            <w:r>
              <w:rPr>
                <w:lang w:val="fr-FR"/>
              </w:rPr>
              <w:t xml:space="preserve"> </w:t>
            </w:r>
            <w:r w:rsidRPr="00CC6887">
              <w:rPr>
                <w:lang w:val="fr-FR"/>
              </w:rPr>
              <w:t>des</w:t>
            </w:r>
            <w:r>
              <w:rPr>
                <w:lang w:val="fr-FR"/>
              </w:rPr>
              <w:t> </w:t>
            </w:r>
            <w:r w:rsidRPr="00CC6887">
              <w:rPr>
                <w:lang w:val="fr-FR"/>
              </w:rPr>
              <w:t>commissions fluviales dans ce domaine.</w:t>
            </w:r>
          </w:p>
        </w:tc>
      </w:tr>
      <w:tr w:rsidR="007640B1" w:rsidRPr="007640B1" w:rsidTr="00766635">
        <w:tc>
          <w:tcPr>
            <w:tcW w:w="2885" w:type="dxa"/>
            <w:tcBorders>
              <w:top w:val="single" w:sz="4" w:space="0" w:color="auto"/>
              <w:bottom w:val="nil"/>
            </w:tcBorders>
            <w:shd w:val="clear" w:color="auto" w:fill="auto"/>
          </w:tcPr>
          <w:p w:rsidR="007640B1" w:rsidRPr="007640B1" w:rsidRDefault="00674E7D" w:rsidP="00CF3C8A">
            <w:pPr>
              <w:tabs>
                <w:tab w:val="left" w:pos="288"/>
                <w:tab w:val="left" w:pos="576"/>
                <w:tab w:val="left" w:pos="864"/>
                <w:tab w:val="left" w:pos="1152"/>
              </w:tabs>
              <w:suppressAutoHyphens/>
              <w:spacing w:before="40" w:after="80"/>
              <w:ind w:left="43" w:right="43"/>
              <w:rPr>
                <w:lang w:val="fr-FR"/>
              </w:rPr>
            </w:pPr>
            <w:r w:rsidRPr="00674E7D">
              <w:rPr>
                <w:lang w:val="fr-FR"/>
              </w:rPr>
              <w:t>Activité 7.</w:t>
            </w:r>
            <w:r>
              <w:rPr>
                <w:lang w:val="fr-FR"/>
              </w:rPr>
              <w:t xml:space="preserve"> </w:t>
            </w:r>
            <w:r w:rsidRPr="00674E7D">
              <w:rPr>
                <w:lang w:val="fr-FR"/>
              </w:rPr>
              <w:br/>
              <w:t>Conférence internationale de</w:t>
            </w:r>
            <w:r>
              <w:rPr>
                <w:lang w:val="fr-FR"/>
              </w:rPr>
              <w:t xml:space="preserve"> </w:t>
            </w:r>
            <w:r w:rsidRPr="00674E7D">
              <w:rPr>
                <w:lang w:val="fr-FR"/>
              </w:rPr>
              <w:t>haut niveau sur</w:t>
            </w:r>
            <w:r>
              <w:rPr>
                <w:lang w:val="fr-FR"/>
              </w:rPr>
              <w:t xml:space="preserve"> </w:t>
            </w:r>
            <w:r w:rsidRPr="00674E7D">
              <w:rPr>
                <w:lang w:val="fr-FR"/>
              </w:rPr>
              <w:t>la</w:t>
            </w:r>
            <w:r>
              <w:rPr>
                <w:lang w:val="fr-FR"/>
              </w:rPr>
              <w:t xml:space="preserve"> </w:t>
            </w:r>
            <w:r w:rsidRPr="00674E7D">
              <w:rPr>
                <w:lang w:val="fr-FR"/>
              </w:rPr>
              <w:t>navigation intérieure</w:t>
            </w:r>
            <w:r>
              <w:rPr>
                <w:lang w:val="fr-FR"/>
              </w:rPr>
              <w:t xml:space="preserve"> </w:t>
            </w:r>
            <w:r>
              <w:rPr>
                <w:lang w:val="fr-FR"/>
              </w:rPr>
              <w:br/>
            </w:r>
            <w:r w:rsidRPr="00674E7D">
              <w:rPr>
                <w:lang w:val="fr-FR"/>
              </w:rPr>
              <w:t>Manifestation ponctuelle, possibilité d’un</w:t>
            </w:r>
            <w:r>
              <w:rPr>
                <w:lang w:val="fr-FR"/>
              </w:rPr>
              <w:t xml:space="preserve"> </w:t>
            </w:r>
            <w:r w:rsidRPr="00674E7D">
              <w:rPr>
                <w:lang w:val="fr-FR"/>
              </w:rPr>
              <w:t>suivi</w:t>
            </w:r>
          </w:p>
        </w:tc>
        <w:tc>
          <w:tcPr>
            <w:tcW w:w="5913" w:type="dxa"/>
            <w:tcBorders>
              <w:top w:val="single" w:sz="4" w:space="0" w:color="auto"/>
              <w:bottom w:val="nil"/>
            </w:tcBorders>
            <w:shd w:val="clear" w:color="auto" w:fill="auto"/>
          </w:tcPr>
          <w:p w:rsidR="00764732" w:rsidRDefault="00674E7D" w:rsidP="00764732">
            <w:pPr>
              <w:tabs>
                <w:tab w:val="left" w:pos="288"/>
                <w:tab w:val="left" w:pos="576"/>
                <w:tab w:val="left" w:pos="864"/>
                <w:tab w:val="left" w:pos="1152"/>
              </w:tabs>
              <w:suppressAutoHyphens/>
              <w:spacing w:before="40" w:after="80"/>
              <w:ind w:left="43" w:right="43"/>
              <w:rPr>
                <w:lang w:val="fr-FR"/>
              </w:rPr>
            </w:pPr>
            <w:r w:rsidRPr="00674E7D">
              <w:rPr>
                <w:lang w:val="fr-FR"/>
              </w:rPr>
              <w:t>7.1</w:t>
            </w:r>
            <w:r w:rsidRPr="00674E7D">
              <w:rPr>
                <w:lang w:val="fr-FR"/>
              </w:rPr>
              <w:tab/>
              <w:t>Organisation d’une conférence internationale sur les questions de transport par voie navigable, qui se tiendrait en 2016 ou en 2017.</w:t>
            </w:r>
          </w:p>
          <w:p w:rsidR="00674E7D" w:rsidRPr="007640B1" w:rsidRDefault="00674E7D" w:rsidP="00764732">
            <w:pPr>
              <w:tabs>
                <w:tab w:val="left" w:pos="288"/>
                <w:tab w:val="left" w:pos="576"/>
                <w:tab w:val="left" w:pos="864"/>
                <w:tab w:val="left" w:pos="1152"/>
              </w:tabs>
              <w:suppressAutoHyphens/>
              <w:spacing w:before="40" w:after="80"/>
              <w:ind w:left="43" w:right="43"/>
              <w:rPr>
                <w:lang w:val="fr-FR"/>
              </w:rPr>
            </w:pPr>
            <w:r w:rsidRPr="00674E7D">
              <w:rPr>
                <w:lang w:val="fr-FR"/>
              </w:rPr>
              <w:t>Le Livre blanc de la CEE a prévu l’organisation d’une conférence internationale de haut niveau à laquelle participeraient tous les pays possédant de</w:t>
            </w:r>
            <w:r>
              <w:rPr>
                <w:lang w:val="fr-FR"/>
              </w:rPr>
              <w:t>s voies navigables intérieures.</w:t>
            </w:r>
          </w:p>
        </w:tc>
      </w:tr>
      <w:tr w:rsidR="00695C6C" w:rsidRPr="007640B1" w:rsidTr="00766635">
        <w:tc>
          <w:tcPr>
            <w:tcW w:w="2885" w:type="dxa"/>
            <w:tcBorders>
              <w:top w:val="nil"/>
            </w:tcBorders>
            <w:shd w:val="clear" w:color="auto" w:fill="auto"/>
          </w:tcPr>
          <w:p w:rsidR="00695C6C" w:rsidRPr="00674E7D" w:rsidRDefault="00695C6C" w:rsidP="00764732">
            <w:pPr>
              <w:keepNext/>
              <w:keepLines/>
              <w:tabs>
                <w:tab w:val="left" w:pos="288"/>
                <w:tab w:val="left" w:pos="576"/>
                <w:tab w:val="left" w:pos="864"/>
                <w:tab w:val="left" w:pos="1152"/>
              </w:tabs>
              <w:suppressAutoHyphens/>
              <w:spacing w:before="40" w:after="80"/>
              <w:ind w:left="43" w:right="43"/>
              <w:rPr>
                <w:lang w:val="fr-FR"/>
              </w:rPr>
            </w:pPr>
          </w:p>
        </w:tc>
        <w:tc>
          <w:tcPr>
            <w:tcW w:w="5913" w:type="dxa"/>
            <w:tcBorders>
              <w:top w:val="nil"/>
            </w:tcBorders>
            <w:shd w:val="clear" w:color="auto" w:fill="auto"/>
          </w:tcPr>
          <w:p w:rsidR="00695C6C" w:rsidRPr="00674E7D" w:rsidRDefault="00695C6C" w:rsidP="00764732">
            <w:pPr>
              <w:keepNext/>
              <w:keepLines/>
              <w:tabs>
                <w:tab w:val="left" w:pos="288"/>
                <w:tab w:val="left" w:pos="576"/>
                <w:tab w:val="left" w:pos="864"/>
                <w:tab w:val="left" w:pos="1152"/>
              </w:tabs>
              <w:suppressAutoHyphens/>
              <w:spacing w:before="40" w:after="80"/>
              <w:ind w:left="43" w:right="43"/>
              <w:rPr>
                <w:lang w:val="fr-FR"/>
              </w:rPr>
            </w:pPr>
            <w:r w:rsidRPr="00674E7D">
              <w:rPr>
                <w:lang w:val="fr-FR"/>
              </w:rPr>
              <w:t xml:space="preserve">Compte tenu du Programme de développement durable à l’horizon 2030 et des objectifs de développement durable, cette conférence mondiale pourrait avoir pour objectif de sensibiliser l’opinion </w:t>
            </w:r>
            <w:r w:rsidRPr="00B520BB">
              <w:rPr>
                <w:spacing w:val="2"/>
                <w:lang w:val="fr-FR"/>
              </w:rPr>
              <w:t>mondiale à l’importance de la navigation intérieure. Par conséquent,</w:t>
            </w:r>
            <w:r w:rsidRPr="00674E7D">
              <w:rPr>
                <w:lang w:val="fr-FR"/>
              </w:rPr>
              <w:t xml:space="preserve"> le thème principal de la conférence internationale de haut niveau pourrait être </w:t>
            </w:r>
            <w:r>
              <w:rPr>
                <w:lang w:val="fr-FR"/>
              </w:rPr>
              <w:t>« </w:t>
            </w:r>
            <w:r w:rsidRPr="00674E7D">
              <w:rPr>
                <w:lang w:val="fr-FR"/>
              </w:rPr>
              <w:t>Tâches et défis en navigation intérieure pour mettre en œuvre les objectifs de développement durable ». Cela pourrait notamment comprendre des questions d’intérêt commun et des défis à relever au niveau mondial tels que les suivants</w:t>
            </w:r>
            <w:r>
              <w:rPr>
                <w:lang w:val="fr-FR"/>
              </w:rPr>
              <w:t> </w:t>
            </w:r>
            <w:r w:rsidRPr="00674E7D">
              <w:rPr>
                <w:lang w:val="fr-FR"/>
              </w:rPr>
              <w:t>:</w:t>
            </w:r>
          </w:p>
        </w:tc>
      </w:tr>
      <w:tr w:rsidR="00695C6C" w:rsidRPr="007640B1" w:rsidTr="00C63BDC">
        <w:tc>
          <w:tcPr>
            <w:tcW w:w="2885" w:type="dxa"/>
            <w:shd w:val="clear" w:color="auto" w:fill="auto"/>
          </w:tcPr>
          <w:p w:rsidR="00695C6C" w:rsidRPr="00674E7D" w:rsidRDefault="00695C6C"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695C6C" w:rsidRPr="00674E7D" w:rsidRDefault="00695C6C" w:rsidP="00695C6C">
            <w:pPr>
              <w:tabs>
                <w:tab w:val="left" w:pos="288"/>
                <w:tab w:val="left" w:pos="576"/>
                <w:tab w:val="left" w:pos="864"/>
                <w:tab w:val="left" w:pos="1152"/>
              </w:tabs>
              <w:suppressAutoHyphens/>
              <w:spacing w:before="40" w:after="80"/>
              <w:ind w:left="43" w:right="43"/>
              <w:rPr>
                <w:lang w:val="fr-FR"/>
              </w:rPr>
            </w:pPr>
            <w:r>
              <w:rPr>
                <w:lang w:val="fr-FR"/>
              </w:rPr>
              <w:tab/>
              <w:t>•</w:t>
            </w:r>
            <w:r>
              <w:rPr>
                <w:lang w:val="fr-FR"/>
              </w:rPr>
              <w:tab/>
            </w:r>
            <w:r w:rsidRPr="00674E7D">
              <w:rPr>
                <w:lang w:val="fr-FR"/>
              </w:rPr>
              <w:t>Manières possibles de renforcer la position des transports par voie navigable au niveau mondial;</w:t>
            </w:r>
          </w:p>
        </w:tc>
      </w:tr>
      <w:tr w:rsidR="00695C6C" w:rsidRPr="007640B1" w:rsidTr="00C63BDC">
        <w:tc>
          <w:tcPr>
            <w:tcW w:w="2885" w:type="dxa"/>
            <w:shd w:val="clear" w:color="auto" w:fill="auto"/>
          </w:tcPr>
          <w:p w:rsidR="00695C6C" w:rsidRPr="00674E7D" w:rsidRDefault="00695C6C"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695C6C" w:rsidRPr="00674E7D" w:rsidRDefault="00695C6C" w:rsidP="00B520BB">
            <w:pPr>
              <w:tabs>
                <w:tab w:val="left" w:pos="288"/>
                <w:tab w:val="left" w:pos="576"/>
                <w:tab w:val="left" w:pos="864"/>
                <w:tab w:val="left" w:pos="1152"/>
              </w:tabs>
              <w:suppressAutoHyphens/>
              <w:spacing w:before="40" w:after="80"/>
              <w:ind w:left="43" w:right="43"/>
              <w:rPr>
                <w:lang w:val="fr-FR"/>
              </w:rPr>
            </w:pPr>
            <w:r>
              <w:rPr>
                <w:lang w:val="fr-FR"/>
              </w:rPr>
              <w:tab/>
              <w:t>•</w:t>
            </w:r>
            <w:r>
              <w:rPr>
                <w:lang w:val="fr-FR"/>
              </w:rPr>
              <w:tab/>
            </w:r>
            <w:r w:rsidRPr="00674E7D">
              <w:rPr>
                <w:lang w:val="fr-FR"/>
              </w:rPr>
              <w:t>Néces</w:t>
            </w:r>
            <w:r w:rsidR="008D5928">
              <w:rPr>
                <w:lang w:val="fr-FR"/>
              </w:rPr>
              <w:t>sité d’harmoniser les normes (y </w:t>
            </w:r>
            <w:r w:rsidRPr="00674E7D">
              <w:rPr>
                <w:lang w:val="fr-FR"/>
              </w:rPr>
              <w:t>compris en matière de</w:t>
            </w:r>
            <w:r w:rsidR="00B520BB">
              <w:rPr>
                <w:lang w:val="fr-FR"/>
              </w:rPr>
              <w:t> </w:t>
            </w:r>
            <w:r w:rsidRPr="00674E7D">
              <w:rPr>
                <w:lang w:val="fr-FR"/>
              </w:rPr>
              <w:t>sécurité, de respect de l’environnement et d’aspects techniques) afin de garantir une bonne coordination des activités de transport par voie navigable entre les pays;</w:t>
            </w:r>
          </w:p>
        </w:tc>
      </w:tr>
      <w:tr w:rsidR="00695C6C" w:rsidRPr="007640B1" w:rsidTr="00C63BDC">
        <w:tc>
          <w:tcPr>
            <w:tcW w:w="2885" w:type="dxa"/>
            <w:shd w:val="clear" w:color="auto" w:fill="auto"/>
          </w:tcPr>
          <w:p w:rsidR="00695C6C" w:rsidRPr="00674E7D" w:rsidRDefault="00695C6C"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695C6C" w:rsidRPr="00674E7D" w:rsidRDefault="00695C6C" w:rsidP="00695C6C">
            <w:pPr>
              <w:tabs>
                <w:tab w:val="left" w:pos="288"/>
                <w:tab w:val="left" w:pos="576"/>
                <w:tab w:val="left" w:pos="864"/>
                <w:tab w:val="left" w:pos="1152"/>
              </w:tabs>
              <w:suppressAutoHyphens/>
              <w:spacing w:before="40" w:after="80"/>
              <w:ind w:left="43" w:right="43"/>
              <w:rPr>
                <w:lang w:val="fr-FR"/>
              </w:rPr>
            </w:pPr>
            <w:r>
              <w:rPr>
                <w:lang w:val="fr-FR"/>
              </w:rPr>
              <w:tab/>
              <w:t>•</w:t>
            </w:r>
            <w:r>
              <w:rPr>
                <w:lang w:val="fr-FR"/>
              </w:rPr>
              <w:tab/>
            </w:r>
            <w:r w:rsidRPr="00674E7D">
              <w:rPr>
                <w:lang w:val="fr-FR"/>
              </w:rPr>
              <w:t>Développement technologique et innovations;</w:t>
            </w:r>
          </w:p>
        </w:tc>
      </w:tr>
      <w:tr w:rsidR="00695C6C" w:rsidRPr="007640B1" w:rsidTr="00C63BDC">
        <w:tc>
          <w:tcPr>
            <w:tcW w:w="2885" w:type="dxa"/>
            <w:shd w:val="clear" w:color="auto" w:fill="auto"/>
          </w:tcPr>
          <w:p w:rsidR="00695C6C" w:rsidRPr="00674E7D" w:rsidRDefault="00695C6C"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695C6C" w:rsidRPr="00674E7D" w:rsidRDefault="00695C6C" w:rsidP="00695C6C">
            <w:pPr>
              <w:tabs>
                <w:tab w:val="left" w:pos="288"/>
                <w:tab w:val="left" w:pos="576"/>
                <w:tab w:val="left" w:pos="864"/>
                <w:tab w:val="left" w:pos="1152"/>
              </w:tabs>
              <w:suppressAutoHyphens/>
              <w:spacing w:before="40" w:after="80"/>
              <w:ind w:left="43" w:right="43"/>
              <w:rPr>
                <w:lang w:val="fr-FR"/>
              </w:rPr>
            </w:pPr>
            <w:r>
              <w:rPr>
                <w:lang w:val="fr-FR"/>
              </w:rPr>
              <w:tab/>
              <w:t>•</w:t>
            </w:r>
            <w:r>
              <w:rPr>
                <w:lang w:val="fr-FR"/>
              </w:rPr>
              <w:tab/>
            </w:r>
            <w:r w:rsidRPr="00674E7D">
              <w:rPr>
                <w:lang w:val="fr-FR"/>
              </w:rPr>
              <w:t>Incidences du changement climatique sur la navigation intérieure.</w:t>
            </w:r>
          </w:p>
        </w:tc>
      </w:tr>
      <w:tr w:rsidR="00695C6C" w:rsidRPr="007640B1" w:rsidTr="00C63BDC">
        <w:tc>
          <w:tcPr>
            <w:tcW w:w="2885" w:type="dxa"/>
            <w:shd w:val="clear" w:color="auto" w:fill="auto"/>
          </w:tcPr>
          <w:p w:rsidR="00695C6C" w:rsidRPr="00674E7D" w:rsidRDefault="00695C6C"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695C6C" w:rsidRPr="00674E7D" w:rsidRDefault="00695C6C" w:rsidP="00695C6C">
            <w:pPr>
              <w:tabs>
                <w:tab w:val="left" w:pos="288"/>
                <w:tab w:val="left" w:pos="576"/>
                <w:tab w:val="left" w:pos="864"/>
                <w:tab w:val="left" w:pos="1152"/>
              </w:tabs>
              <w:suppressAutoHyphens/>
              <w:spacing w:before="40" w:after="80"/>
              <w:ind w:left="43" w:right="43"/>
              <w:rPr>
                <w:lang w:val="fr-FR"/>
              </w:rPr>
            </w:pPr>
            <w:r w:rsidRPr="00674E7D">
              <w:rPr>
                <w:lang w:val="fr-FR"/>
              </w:rPr>
              <w:t>Un résultat possible de la conférence pourrait être un plan d’action fondé sur les décisions et conclusions convenues par les participants.</w:t>
            </w:r>
          </w:p>
        </w:tc>
      </w:tr>
      <w:tr w:rsidR="00695C6C" w:rsidRPr="007640B1" w:rsidTr="00C63BDC">
        <w:tc>
          <w:tcPr>
            <w:tcW w:w="2885" w:type="dxa"/>
            <w:shd w:val="clear" w:color="auto" w:fill="auto"/>
          </w:tcPr>
          <w:p w:rsidR="00695C6C" w:rsidRPr="00674E7D" w:rsidRDefault="00695C6C"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695C6C" w:rsidRPr="00674E7D" w:rsidRDefault="00695C6C" w:rsidP="00D40C6F">
            <w:pPr>
              <w:tabs>
                <w:tab w:val="left" w:pos="288"/>
                <w:tab w:val="left" w:pos="576"/>
                <w:tab w:val="left" w:pos="864"/>
                <w:tab w:val="left" w:pos="1152"/>
              </w:tabs>
              <w:suppressAutoHyphens/>
              <w:spacing w:before="40" w:after="80"/>
              <w:ind w:left="43" w:right="43"/>
              <w:rPr>
                <w:lang w:val="fr-FR"/>
              </w:rPr>
            </w:pPr>
            <w:r w:rsidRPr="00674E7D">
              <w:rPr>
                <w:lang w:val="fr-FR"/>
              </w:rPr>
              <w:t>7.2</w:t>
            </w:r>
            <w:r w:rsidRPr="00674E7D">
              <w:rPr>
                <w:lang w:val="fr-FR"/>
              </w:rPr>
              <w:tab/>
              <w:t>Mise en œuvre d’un suivi de la conférence et soumission d’un</w:t>
            </w:r>
            <w:r w:rsidR="00D40C6F">
              <w:rPr>
                <w:lang w:val="fr-FR"/>
              </w:rPr>
              <w:t xml:space="preserve"> </w:t>
            </w:r>
            <w:r w:rsidRPr="00674E7D">
              <w:rPr>
                <w:lang w:val="fr-FR"/>
              </w:rPr>
              <w:t>nouveau plan d’action pour le SC.3 et le SC.3/WP.3.</w:t>
            </w:r>
          </w:p>
        </w:tc>
      </w:tr>
      <w:tr w:rsidR="00695C6C" w:rsidRPr="007640B1" w:rsidTr="008D5928">
        <w:tc>
          <w:tcPr>
            <w:tcW w:w="2885" w:type="dxa"/>
            <w:tcBorders>
              <w:bottom w:val="nil"/>
            </w:tcBorders>
            <w:shd w:val="clear" w:color="auto" w:fill="auto"/>
          </w:tcPr>
          <w:p w:rsidR="00695C6C" w:rsidRPr="00674E7D" w:rsidRDefault="00695C6C" w:rsidP="00CF3C8A">
            <w:pPr>
              <w:tabs>
                <w:tab w:val="left" w:pos="288"/>
                <w:tab w:val="left" w:pos="576"/>
                <w:tab w:val="left" w:pos="864"/>
                <w:tab w:val="left" w:pos="1152"/>
              </w:tabs>
              <w:suppressAutoHyphens/>
              <w:spacing w:before="40" w:after="80"/>
              <w:ind w:left="43" w:right="43"/>
              <w:rPr>
                <w:lang w:val="fr-FR"/>
              </w:rPr>
            </w:pPr>
          </w:p>
        </w:tc>
        <w:tc>
          <w:tcPr>
            <w:tcW w:w="5913" w:type="dxa"/>
            <w:tcBorders>
              <w:bottom w:val="nil"/>
            </w:tcBorders>
            <w:shd w:val="clear" w:color="auto" w:fill="auto"/>
          </w:tcPr>
          <w:p w:rsidR="00695C6C" w:rsidRPr="00674E7D" w:rsidRDefault="00695C6C" w:rsidP="00695C6C">
            <w:pPr>
              <w:tabs>
                <w:tab w:val="left" w:pos="288"/>
                <w:tab w:val="left" w:pos="576"/>
                <w:tab w:val="left" w:pos="864"/>
                <w:tab w:val="left" w:pos="1152"/>
              </w:tabs>
              <w:suppressAutoHyphens/>
              <w:spacing w:before="40" w:after="80"/>
              <w:ind w:left="43" w:right="43"/>
              <w:rPr>
                <w:lang w:val="fr-FR"/>
              </w:rPr>
            </w:pPr>
            <w:r>
              <w:rPr>
                <w:lang w:val="fr-FR"/>
              </w:rPr>
              <w:t>7.3</w:t>
            </w:r>
            <w:r>
              <w:rPr>
                <w:lang w:val="fr-FR"/>
              </w:rPr>
              <w:tab/>
              <w:t xml:space="preserve">Examen </w:t>
            </w:r>
            <w:r w:rsidRPr="00674E7D">
              <w:rPr>
                <w:lang w:val="fr-FR"/>
              </w:rPr>
              <w:t>de la meilleure façon de faire concourir les travaux du SC.3 à la réalisation des objectifs de développement durable.</w:t>
            </w:r>
          </w:p>
        </w:tc>
      </w:tr>
      <w:tr w:rsidR="00695C6C" w:rsidRPr="007640B1" w:rsidTr="008D5928">
        <w:tc>
          <w:tcPr>
            <w:tcW w:w="2885" w:type="dxa"/>
            <w:tcBorders>
              <w:top w:val="nil"/>
              <w:bottom w:val="single" w:sz="4" w:space="0" w:color="auto"/>
            </w:tcBorders>
            <w:shd w:val="clear" w:color="auto" w:fill="auto"/>
          </w:tcPr>
          <w:p w:rsidR="00695C6C" w:rsidRPr="00674E7D" w:rsidRDefault="00695C6C" w:rsidP="00CF3C8A">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single" w:sz="4" w:space="0" w:color="auto"/>
            </w:tcBorders>
            <w:shd w:val="clear" w:color="auto" w:fill="auto"/>
          </w:tcPr>
          <w:p w:rsidR="00695C6C" w:rsidRPr="00674E7D" w:rsidRDefault="00695C6C" w:rsidP="00D40C6F">
            <w:pPr>
              <w:tabs>
                <w:tab w:val="left" w:pos="288"/>
                <w:tab w:val="left" w:pos="576"/>
                <w:tab w:val="left" w:pos="864"/>
                <w:tab w:val="left" w:pos="1152"/>
              </w:tabs>
              <w:suppressAutoHyphens/>
              <w:spacing w:before="40" w:after="80"/>
              <w:ind w:left="43" w:right="43"/>
              <w:rPr>
                <w:lang w:val="fr-FR"/>
              </w:rPr>
            </w:pPr>
            <w:r w:rsidRPr="00674E7D">
              <w:rPr>
                <w:lang w:val="fr-FR"/>
              </w:rPr>
              <w:t>7.4</w:t>
            </w:r>
            <w:r w:rsidRPr="00674E7D">
              <w:rPr>
                <w:lang w:val="fr-FR"/>
              </w:rPr>
              <w:tab/>
              <w:t>Promotion des résultats des travaux récents d’autres organes et organismes internationaux présentant un intérêt pour le SC.3 et lancement d’invitations à ces organes et organismes à assister à des</w:t>
            </w:r>
            <w:r w:rsidR="00D40C6F">
              <w:rPr>
                <w:lang w:val="fr-FR"/>
              </w:rPr>
              <w:t xml:space="preserve"> </w:t>
            </w:r>
            <w:r w:rsidRPr="00674E7D">
              <w:rPr>
                <w:lang w:val="fr-FR"/>
              </w:rPr>
              <w:t>sessions du SC.3.</w:t>
            </w:r>
          </w:p>
        </w:tc>
      </w:tr>
      <w:tr w:rsidR="007640B1" w:rsidRPr="007640B1" w:rsidTr="008D5928">
        <w:tc>
          <w:tcPr>
            <w:tcW w:w="2885" w:type="dxa"/>
            <w:tcBorders>
              <w:top w:val="single" w:sz="4" w:space="0" w:color="auto"/>
              <w:bottom w:val="nil"/>
            </w:tcBorders>
            <w:shd w:val="clear" w:color="auto" w:fill="auto"/>
          </w:tcPr>
          <w:p w:rsidR="007640B1" w:rsidRPr="007640B1" w:rsidRDefault="006B4639" w:rsidP="00D40C6F">
            <w:pPr>
              <w:tabs>
                <w:tab w:val="left" w:pos="288"/>
                <w:tab w:val="left" w:pos="576"/>
                <w:tab w:val="left" w:pos="864"/>
                <w:tab w:val="left" w:pos="1152"/>
              </w:tabs>
              <w:suppressAutoHyphens/>
              <w:spacing w:before="40" w:after="80"/>
              <w:ind w:left="43" w:right="43"/>
              <w:rPr>
                <w:lang w:val="fr-FR"/>
              </w:rPr>
            </w:pPr>
            <w:r w:rsidRPr="006B4639">
              <w:rPr>
                <w:lang w:val="fr-FR"/>
              </w:rPr>
              <w:t>Activité 8.</w:t>
            </w:r>
            <w:r>
              <w:rPr>
                <w:lang w:val="fr-FR"/>
              </w:rPr>
              <w:t xml:space="preserve"> </w:t>
            </w:r>
            <w:r w:rsidRPr="006B4639">
              <w:rPr>
                <w:lang w:val="fr-FR"/>
              </w:rPr>
              <w:br/>
              <w:t>Examen des aspects des activités des</w:t>
            </w:r>
            <w:r>
              <w:rPr>
                <w:lang w:val="fr-FR"/>
              </w:rPr>
              <w:t xml:space="preserve"> </w:t>
            </w:r>
            <w:r w:rsidRPr="006B4639">
              <w:rPr>
                <w:lang w:val="fr-FR"/>
              </w:rPr>
              <w:t>autres organes subsidiaires du</w:t>
            </w:r>
            <w:r>
              <w:rPr>
                <w:lang w:val="fr-FR"/>
              </w:rPr>
              <w:t xml:space="preserve"> </w:t>
            </w:r>
            <w:r w:rsidR="00D40C6F">
              <w:rPr>
                <w:lang w:val="fr-FR"/>
              </w:rPr>
              <w:t>Comité des </w:t>
            </w:r>
            <w:r w:rsidRPr="006B4639">
              <w:rPr>
                <w:lang w:val="fr-FR"/>
              </w:rPr>
              <w:t>transports intérieurs intéressant</w:t>
            </w:r>
            <w:r w:rsidR="00D40C6F">
              <w:rPr>
                <w:lang w:val="fr-FR"/>
              </w:rPr>
              <w:t> </w:t>
            </w:r>
            <w:r w:rsidRPr="006B4639">
              <w:rPr>
                <w:lang w:val="fr-FR"/>
              </w:rPr>
              <w:t>les</w:t>
            </w:r>
            <w:r>
              <w:rPr>
                <w:lang w:val="fr-FR"/>
              </w:rPr>
              <w:t xml:space="preserve"> transports par</w:t>
            </w:r>
            <w:r w:rsidR="00D40C6F">
              <w:rPr>
                <w:lang w:val="fr-FR"/>
              </w:rPr>
              <w:t> </w:t>
            </w:r>
            <w:r w:rsidRPr="006B4639">
              <w:rPr>
                <w:lang w:val="fr-FR"/>
              </w:rPr>
              <w:t xml:space="preserve">voie navigable </w:t>
            </w:r>
            <w:r>
              <w:rPr>
                <w:lang w:val="fr-FR"/>
              </w:rPr>
              <w:br/>
            </w:r>
            <w:r w:rsidRPr="006B4639">
              <w:rPr>
                <w:lang w:val="fr-FR"/>
              </w:rPr>
              <w:t>Activité relativement nouvelle</w:t>
            </w:r>
          </w:p>
        </w:tc>
        <w:tc>
          <w:tcPr>
            <w:tcW w:w="5913" w:type="dxa"/>
            <w:tcBorders>
              <w:top w:val="single" w:sz="4" w:space="0" w:color="auto"/>
              <w:bottom w:val="nil"/>
            </w:tcBorders>
            <w:shd w:val="clear" w:color="auto" w:fill="auto"/>
          </w:tcPr>
          <w:p w:rsidR="00C9371B" w:rsidRPr="00C9371B" w:rsidRDefault="00C9371B" w:rsidP="00D40C6F">
            <w:pPr>
              <w:tabs>
                <w:tab w:val="left" w:pos="288"/>
                <w:tab w:val="left" w:pos="576"/>
                <w:tab w:val="left" w:pos="864"/>
                <w:tab w:val="left" w:pos="1152"/>
              </w:tabs>
              <w:suppressAutoHyphens/>
              <w:spacing w:before="40" w:after="80"/>
              <w:ind w:left="43" w:right="43"/>
              <w:rPr>
                <w:lang w:val="fr-FR"/>
              </w:rPr>
            </w:pPr>
            <w:r w:rsidRPr="00C9371B">
              <w:rPr>
                <w:lang w:val="fr-FR"/>
              </w:rPr>
              <w:t>8.1</w:t>
            </w:r>
            <w:r w:rsidRPr="00C9371B">
              <w:rPr>
                <w:lang w:val="fr-FR"/>
              </w:rPr>
              <w:tab/>
              <w:t>Renforcement de la coopération avec d’autres groupes de travail de</w:t>
            </w:r>
            <w:r>
              <w:rPr>
                <w:lang w:val="fr-FR"/>
              </w:rPr>
              <w:t xml:space="preserve"> </w:t>
            </w:r>
            <w:r w:rsidRPr="00C9371B">
              <w:rPr>
                <w:lang w:val="fr-FR"/>
              </w:rPr>
              <w:t>la CEE, en particulier le WP.5, le WP.24 et le WP.30.</w:t>
            </w:r>
          </w:p>
          <w:p w:rsidR="00C9371B" w:rsidRPr="00C9371B" w:rsidRDefault="00C9371B" w:rsidP="00D40C6F">
            <w:pPr>
              <w:tabs>
                <w:tab w:val="left" w:pos="288"/>
                <w:tab w:val="left" w:pos="576"/>
                <w:tab w:val="left" w:pos="864"/>
                <w:tab w:val="left" w:pos="1152"/>
              </w:tabs>
              <w:suppressAutoHyphens/>
              <w:spacing w:before="40" w:after="60" w:line="220" w:lineRule="exact"/>
              <w:ind w:left="43" w:right="43"/>
              <w:rPr>
                <w:lang w:val="fr-FR"/>
              </w:rPr>
            </w:pPr>
            <w:r w:rsidRPr="00C9371B">
              <w:rPr>
                <w:lang w:val="fr-FR"/>
              </w:rPr>
              <w:t>8.2</w:t>
            </w:r>
            <w:r w:rsidRPr="00C9371B">
              <w:rPr>
                <w:lang w:val="fr-FR"/>
              </w:rPr>
              <w:tab/>
              <w:t>Renforcement de la coopération avec le projet de liaisons de</w:t>
            </w:r>
            <w:r w:rsidR="0073247F">
              <w:rPr>
                <w:lang w:val="fr-FR"/>
              </w:rPr>
              <w:t> </w:t>
            </w:r>
            <w:r w:rsidRPr="00C9371B">
              <w:rPr>
                <w:lang w:val="fr-FR"/>
              </w:rPr>
              <w:t>transport entre l’Europe et l’Asie (LTEA) et accord en vue d’activités communes.</w:t>
            </w:r>
          </w:p>
          <w:p w:rsidR="007640B1" w:rsidRDefault="00C9371B" w:rsidP="00D40C6F">
            <w:pPr>
              <w:tabs>
                <w:tab w:val="left" w:pos="288"/>
                <w:tab w:val="left" w:pos="576"/>
                <w:tab w:val="left" w:pos="864"/>
                <w:tab w:val="left" w:pos="1152"/>
              </w:tabs>
              <w:suppressAutoHyphens/>
              <w:spacing w:before="40" w:after="60" w:line="220" w:lineRule="exact"/>
              <w:ind w:left="43" w:right="43"/>
              <w:rPr>
                <w:lang w:val="fr-FR"/>
              </w:rPr>
            </w:pPr>
            <w:r w:rsidRPr="00C9371B">
              <w:rPr>
                <w:lang w:val="fr-FR"/>
              </w:rPr>
              <w:t>8.3</w:t>
            </w:r>
            <w:r w:rsidRPr="00C9371B">
              <w:rPr>
                <w:lang w:val="fr-FR"/>
              </w:rPr>
              <w:tab/>
              <w:t>Consolidation de la coopération avec l’Union économique eurasienne.</w:t>
            </w:r>
          </w:p>
          <w:p w:rsidR="00D40C6F" w:rsidRPr="007640B1" w:rsidRDefault="00D40C6F" w:rsidP="00D40C6F">
            <w:pPr>
              <w:tabs>
                <w:tab w:val="left" w:pos="288"/>
                <w:tab w:val="left" w:pos="576"/>
                <w:tab w:val="left" w:pos="864"/>
                <w:tab w:val="left" w:pos="1152"/>
              </w:tabs>
              <w:suppressAutoHyphens/>
              <w:spacing w:before="40" w:after="60" w:line="220" w:lineRule="exact"/>
              <w:ind w:left="43" w:right="43"/>
              <w:rPr>
                <w:lang w:val="fr-FR"/>
              </w:rPr>
            </w:pPr>
            <w:r w:rsidRPr="00C9371B">
              <w:rPr>
                <w:lang w:val="fr-FR"/>
              </w:rPr>
              <w:t>8.4</w:t>
            </w:r>
            <w:r w:rsidRPr="00C9371B">
              <w:rPr>
                <w:lang w:val="fr-FR"/>
              </w:rPr>
              <w:tab/>
              <w:t>En particulier, élaboration de méthodes statistiques pertinentes pour le suivi de la mise en œuvre des objectifs de développement durable et coopération avec le WP.6.</w:t>
            </w:r>
          </w:p>
        </w:tc>
      </w:tr>
      <w:tr w:rsidR="007640B1" w:rsidRPr="007640B1" w:rsidTr="008D5928">
        <w:tc>
          <w:tcPr>
            <w:tcW w:w="2885" w:type="dxa"/>
            <w:tcBorders>
              <w:top w:val="single" w:sz="4" w:space="0" w:color="auto"/>
              <w:bottom w:val="nil"/>
            </w:tcBorders>
            <w:shd w:val="clear" w:color="auto" w:fill="auto"/>
          </w:tcPr>
          <w:p w:rsidR="007640B1" w:rsidRPr="007640B1" w:rsidRDefault="00A74EDD" w:rsidP="00D40C6F">
            <w:pPr>
              <w:tabs>
                <w:tab w:val="left" w:pos="288"/>
                <w:tab w:val="left" w:pos="576"/>
                <w:tab w:val="left" w:pos="864"/>
                <w:tab w:val="left" w:pos="1152"/>
              </w:tabs>
              <w:suppressAutoHyphens/>
              <w:spacing w:before="40" w:after="80"/>
              <w:ind w:left="43" w:right="43"/>
              <w:rPr>
                <w:lang w:val="fr-FR"/>
              </w:rPr>
            </w:pPr>
            <w:r w:rsidRPr="00A74EDD">
              <w:rPr>
                <w:lang w:val="fr-FR"/>
              </w:rPr>
              <w:t>Activité 9.</w:t>
            </w:r>
            <w:r>
              <w:rPr>
                <w:lang w:val="fr-FR"/>
              </w:rPr>
              <w:t xml:space="preserve"> </w:t>
            </w:r>
            <w:r w:rsidRPr="00A74EDD">
              <w:rPr>
                <w:lang w:val="fr-FR"/>
              </w:rPr>
              <w:br/>
              <w:t>Promotion des</w:t>
            </w:r>
            <w:r>
              <w:rPr>
                <w:lang w:val="fr-FR"/>
              </w:rPr>
              <w:t xml:space="preserve"> </w:t>
            </w:r>
            <w:r w:rsidRPr="00A74EDD">
              <w:rPr>
                <w:lang w:val="fr-FR"/>
              </w:rPr>
              <w:t>services d’information fluviale et de l’utilisation des technologies de</w:t>
            </w:r>
            <w:r w:rsidR="00D40C6F">
              <w:rPr>
                <w:lang w:val="fr-FR"/>
              </w:rPr>
              <w:t> </w:t>
            </w:r>
            <w:r w:rsidRPr="00A74EDD">
              <w:rPr>
                <w:lang w:val="fr-FR"/>
              </w:rPr>
              <w:t>l’information dans le</w:t>
            </w:r>
            <w:r>
              <w:rPr>
                <w:lang w:val="fr-FR"/>
              </w:rPr>
              <w:t xml:space="preserve"> </w:t>
            </w:r>
            <w:r w:rsidRPr="00A74EDD">
              <w:rPr>
                <w:lang w:val="fr-FR"/>
              </w:rPr>
              <w:t>cadre de la navigation intérieure (domaine : réglementation)</w:t>
            </w:r>
          </w:p>
        </w:tc>
        <w:tc>
          <w:tcPr>
            <w:tcW w:w="5913" w:type="dxa"/>
            <w:tcBorders>
              <w:top w:val="single" w:sz="4" w:space="0" w:color="auto"/>
              <w:bottom w:val="nil"/>
            </w:tcBorders>
            <w:shd w:val="clear" w:color="auto" w:fill="auto"/>
          </w:tcPr>
          <w:p w:rsidR="00AD4617" w:rsidRPr="00AD4617" w:rsidRDefault="00AD4617" w:rsidP="00CF3C8A">
            <w:pPr>
              <w:tabs>
                <w:tab w:val="left" w:pos="288"/>
                <w:tab w:val="left" w:pos="576"/>
                <w:tab w:val="left" w:pos="864"/>
                <w:tab w:val="left" w:pos="1152"/>
              </w:tabs>
              <w:suppressAutoHyphens/>
              <w:spacing w:before="40" w:after="80"/>
              <w:ind w:left="43" w:right="43"/>
              <w:rPr>
                <w:lang w:val="fr-FR"/>
              </w:rPr>
            </w:pPr>
            <w:r w:rsidRPr="00AD4617">
              <w:rPr>
                <w:lang w:val="fr-FR"/>
              </w:rPr>
              <w:t>9.1</w:t>
            </w:r>
            <w:r w:rsidRPr="00AD4617">
              <w:rPr>
                <w:lang w:val="fr-FR"/>
              </w:rPr>
              <w:tab/>
              <w:t>Poursuite de la coopération avec des groupes internationaux d’experts sur les thèmes suivants</w:t>
            </w:r>
            <w:r>
              <w:rPr>
                <w:lang w:val="fr-FR"/>
              </w:rPr>
              <w:t> </w:t>
            </w:r>
            <w:r w:rsidRPr="00AD4617">
              <w:rPr>
                <w:lang w:val="fr-FR"/>
              </w:rPr>
              <w:t>:</w:t>
            </w:r>
          </w:p>
          <w:p w:rsidR="00AD4617" w:rsidRPr="00AD4617" w:rsidRDefault="00AD4617" w:rsidP="00D40C6F">
            <w:pPr>
              <w:tabs>
                <w:tab w:val="left" w:pos="288"/>
                <w:tab w:val="left" w:pos="576"/>
                <w:tab w:val="left" w:pos="864"/>
                <w:tab w:val="left" w:pos="1152"/>
              </w:tabs>
              <w:suppressAutoHyphens/>
              <w:spacing w:before="40" w:after="80" w:line="220" w:lineRule="exact"/>
              <w:ind w:left="43" w:right="43"/>
              <w:rPr>
                <w:lang w:val="fr-FR"/>
              </w:rPr>
            </w:pPr>
            <w:r w:rsidRPr="00AD4617">
              <w:rPr>
                <w:lang w:val="fr-FR"/>
              </w:rPr>
              <w:tab/>
              <w:t>a)</w:t>
            </w:r>
            <w:r w:rsidRPr="00AD4617">
              <w:rPr>
                <w:lang w:val="fr-FR"/>
              </w:rPr>
              <w:tab/>
              <w:t xml:space="preserve">Actualisation des résolutions </w:t>
            </w:r>
            <w:r>
              <w:rPr>
                <w:lang w:val="fr-FR"/>
              </w:rPr>
              <w:t>n</w:t>
            </w:r>
            <w:r w:rsidRPr="00AD4617">
              <w:rPr>
                <w:vertAlign w:val="superscript"/>
                <w:lang w:val="fr-FR"/>
              </w:rPr>
              <w:t>os</w:t>
            </w:r>
            <w:r>
              <w:rPr>
                <w:lang w:val="fr-FR"/>
              </w:rPr>
              <w:t> </w:t>
            </w:r>
            <w:r w:rsidRPr="00AD4617">
              <w:rPr>
                <w:lang w:val="fr-FR"/>
              </w:rPr>
              <w:t>48, 57, 58, 63, 79 et</w:t>
            </w:r>
            <w:r>
              <w:rPr>
                <w:lang w:val="fr-FR"/>
              </w:rPr>
              <w:t xml:space="preserve"> </w:t>
            </w:r>
            <w:r w:rsidRPr="00AD4617">
              <w:rPr>
                <w:lang w:val="fr-FR"/>
              </w:rPr>
              <w:t>80 de</w:t>
            </w:r>
            <w:r w:rsidR="004C179C">
              <w:rPr>
                <w:lang w:val="fr-FR"/>
              </w:rPr>
              <w:t> </w:t>
            </w:r>
            <w:r w:rsidRPr="00AD4617">
              <w:rPr>
                <w:lang w:val="fr-FR"/>
              </w:rPr>
              <w:t>la CEE;</w:t>
            </w:r>
          </w:p>
          <w:p w:rsidR="007640B1" w:rsidRDefault="00AD4617" w:rsidP="00D40C6F">
            <w:pPr>
              <w:tabs>
                <w:tab w:val="left" w:pos="288"/>
                <w:tab w:val="left" w:pos="576"/>
                <w:tab w:val="left" w:pos="864"/>
                <w:tab w:val="left" w:pos="1152"/>
              </w:tabs>
              <w:suppressAutoHyphens/>
              <w:spacing w:before="40" w:after="80" w:line="220" w:lineRule="exact"/>
              <w:ind w:left="43" w:right="43"/>
              <w:rPr>
                <w:lang w:val="fr-FR"/>
              </w:rPr>
            </w:pPr>
            <w:r w:rsidRPr="00AD4617">
              <w:rPr>
                <w:lang w:val="fr-FR"/>
              </w:rPr>
              <w:tab/>
              <w:t>b)</w:t>
            </w:r>
            <w:r w:rsidRPr="00AD4617">
              <w:rPr>
                <w:lang w:val="fr-FR"/>
              </w:rPr>
              <w:tab/>
              <w:t>Actualisation des annexes aux résolutions n</w:t>
            </w:r>
            <w:r w:rsidRPr="00AD4617">
              <w:rPr>
                <w:vertAlign w:val="superscript"/>
                <w:lang w:val="fr-FR"/>
              </w:rPr>
              <w:t>os</w:t>
            </w:r>
            <w:r w:rsidRPr="00AD4617">
              <w:rPr>
                <w:lang w:val="fr-FR"/>
              </w:rPr>
              <w:t> 48 et 80;</w:t>
            </w:r>
          </w:p>
          <w:p w:rsidR="008D5928" w:rsidRPr="007640B1" w:rsidRDefault="008D5928" w:rsidP="00D40C6F">
            <w:pPr>
              <w:tabs>
                <w:tab w:val="left" w:pos="288"/>
                <w:tab w:val="left" w:pos="576"/>
                <w:tab w:val="left" w:pos="864"/>
                <w:tab w:val="left" w:pos="1152"/>
              </w:tabs>
              <w:suppressAutoHyphens/>
              <w:spacing w:before="40" w:after="80" w:line="220" w:lineRule="exact"/>
              <w:ind w:left="43" w:right="43"/>
              <w:rPr>
                <w:lang w:val="fr-FR"/>
              </w:rPr>
            </w:pPr>
            <w:r w:rsidRPr="00AD4617">
              <w:rPr>
                <w:lang w:val="fr-FR"/>
              </w:rPr>
              <w:tab/>
              <w:t>c)</w:t>
            </w:r>
            <w:r w:rsidRPr="00AD4617">
              <w:rPr>
                <w:lang w:val="fr-FR"/>
              </w:rPr>
              <w:tab/>
              <w:t>Collecte, auprès des États membres, d’informations sur la mise en œuvre de ces résolutions et les innovations pertinentes.</w:t>
            </w:r>
          </w:p>
        </w:tc>
      </w:tr>
      <w:tr w:rsidR="008D5928" w:rsidRPr="007640B1" w:rsidTr="00840BC5">
        <w:tc>
          <w:tcPr>
            <w:tcW w:w="2885" w:type="dxa"/>
            <w:tcBorders>
              <w:top w:val="nil"/>
              <w:bottom w:val="nil"/>
            </w:tcBorders>
            <w:shd w:val="clear" w:color="auto" w:fill="auto"/>
          </w:tcPr>
          <w:p w:rsidR="008D5928" w:rsidRPr="00A74EDD" w:rsidRDefault="008D5928" w:rsidP="00CF3C8A">
            <w:pPr>
              <w:tabs>
                <w:tab w:val="left" w:pos="288"/>
                <w:tab w:val="left" w:pos="576"/>
                <w:tab w:val="left" w:pos="864"/>
                <w:tab w:val="left" w:pos="1152"/>
              </w:tabs>
              <w:suppressAutoHyphens/>
              <w:spacing w:before="40" w:after="80"/>
              <w:ind w:left="43" w:right="43"/>
              <w:rPr>
                <w:lang w:val="fr-FR"/>
              </w:rPr>
            </w:pPr>
            <w:r w:rsidRPr="00A74EDD">
              <w:rPr>
                <w:lang w:val="fr-FR"/>
              </w:rPr>
              <w:t>Il est proposé de faire des questions relatives aux</w:t>
            </w:r>
            <w:r>
              <w:rPr>
                <w:lang w:val="fr-FR"/>
              </w:rPr>
              <w:t xml:space="preserve"> </w:t>
            </w:r>
            <w:r w:rsidRPr="00A74EDD">
              <w:rPr>
                <w:lang w:val="fr-FR"/>
              </w:rPr>
              <w:t>services d’information fluviale un point distinct de l’ordre du</w:t>
            </w:r>
            <w:r>
              <w:rPr>
                <w:lang w:val="fr-FR"/>
              </w:rPr>
              <w:t xml:space="preserve"> </w:t>
            </w:r>
            <w:r w:rsidRPr="00A74EDD">
              <w:rPr>
                <w:lang w:val="fr-FR"/>
              </w:rPr>
              <w:t xml:space="preserve">jour, conformément à la Recommandation générale </w:t>
            </w:r>
            <w:r>
              <w:rPr>
                <w:lang w:val="fr-FR"/>
              </w:rPr>
              <w:t>n</w:t>
            </w:r>
            <w:r w:rsidRPr="00B8520F">
              <w:rPr>
                <w:vertAlign w:val="superscript"/>
                <w:lang w:val="fr-FR"/>
              </w:rPr>
              <w:t>o</w:t>
            </w:r>
            <w:r>
              <w:rPr>
                <w:lang w:val="fr-FR"/>
              </w:rPr>
              <w:t> </w:t>
            </w:r>
            <w:r w:rsidRPr="00A74EDD">
              <w:rPr>
                <w:lang w:val="fr-FR"/>
              </w:rPr>
              <w:t>3 du</w:t>
            </w:r>
            <w:r>
              <w:rPr>
                <w:lang w:val="fr-FR"/>
              </w:rPr>
              <w:t xml:space="preserve"> </w:t>
            </w:r>
            <w:r w:rsidRPr="00A74EDD">
              <w:rPr>
                <w:lang w:val="fr-FR"/>
              </w:rPr>
              <w:t>Livre blanc</w:t>
            </w:r>
          </w:p>
        </w:tc>
        <w:tc>
          <w:tcPr>
            <w:tcW w:w="5913" w:type="dxa"/>
            <w:tcBorders>
              <w:top w:val="nil"/>
              <w:bottom w:val="nil"/>
            </w:tcBorders>
            <w:shd w:val="clear" w:color="auto" w:fill="auto"/>
          </w:tcPr>
          <w:p w:rsidR="008D5928" w:rsidRDefault="008D5928" w:rsidP="008D5928">
            <w:pPr>
              <w:tabs>
                <w:tab w:val="left" w:pos="288"/>
                <w:tab w:val="left" w:pos="576"/>
                <w:tab w:val="left" w:pos="864"/>
                <w:tab w:val="left" w:pos="1152"/>
              </w:tabs>
              <w:suppressAutoHyphens/>
              <w:spacing w:before="40" w:after="80"/>
              <w:ind w:left="43" w:right="43"/>
              <w:rPr>
                <w:lang w:val="fr-FR"/>
              </w:rPr>
            </w:pPr>
            <w:r w:rsidRPr="00AD4617">
              <w:rPr>
                <w:lang w:val="fr-FR"/>
              </w:rPr>
              <w:t>9.2</w:t>
            </w:r>
            <w:r w:rsidRPr="00AD4617">
              <w:rPr>
                <w:lang w:val="fr-FR"/>
              </w:rPr>
              <w:tab/>
              <w:t>Engagement d’un dialogue direct avec les autres entités compétentes, par exemple le Comité de l’Arrangement régional relatif au service de radiocommunications sur les voies de</w:t>
            </w:r>
            <w:r>
              <w:rPr>
                <w:lang w:val="fr-FR"/>
              </w:rPr>
              <w:t xml:space="preserve"> </w:t>
            </w:r>
            <w:r w:rsidRPr="00AD4617">
              <w:rPr>
                <w:lang w:val="fr-FR"/>
              </w:rPr>
              <w:t>navigation intérieure (Comité RAINWAT) ou l’Association mondiale pour les infrastructures de transport maritime et</w:t>
            </w:r>
            <w:r>
              <w:rPr>
                <w:lang w:val="fr-FR"/>
              </w:rPr>
              <w:t xml:space="preserve"> </w:t>
            </w:r>
            <w:r w:rsidRPr="00AD4617">
              <w:rPr>
                <w:lang w:val="fr-FR"/>
              </w:rPr>
              <w:t>fluvial (AIPCN).</w:t>
            </w:r>
          </w:p>
          <w:p w:rsidR="003376CE" w:rsidRPr="00AD4617" w:rsidRDefault="003376CE" w:rsidP="008D5928">
            <w:pPr>
              <w:tabs>
                <w:tab w:val="left" w:pos="288"/>
                <w:tab w:val="left" w:pos="576"/>
                <w:tab w:val="left" w:pos="864"/>
                <w:tab w:val="left" w:pos="1152"/>
              </w:tabs>
              <w:suppressAutoHyphens/>
              <w:spacing w:before="40" w:after="80"/>
              <w:ind w:left="43" w:right="43"/>
              <w:rPr>
                <w:lang w:val="fr-FR"/>
              </w:rPr>
            </w:pPr>
            <w:r w:rsidRPr="00AD4617">
              <w:rPr>
                <w:lang w:val="fr-FR"/>
              </w:rPr>
              <w:t>9.3</w:t>
            </w:r>
            <w:r w:rsidRPr="00AD4617">
              <w:rPr>
                <w:lang w:val="fr-FR"/>
              </w:rPr>
              <w:tab/>
              <w:t>Poursuite de la coopération avec l’Union européenne et</w:t>
            </w:r>
            <w:r w:rsidR="003007D1">
              <w:rPr>
                <w:lang w:val="fr-FR"/>
              </w:rPr>
              <w:t> </w:t>
            </w:r>
            <w:r w:rsidRPr="00AD4617">
              <w:rPr>
                <w:lang w:val="fr-FR"/>
              </w:rPr>
              <w:t>la</w:t>
            </w:r>
            <w:r w:rsidR="003007D1">
              <w:rPr>
                <w:lang w:val="fr-FR"/>
              </w:rPr>
              <w:t> </w:t>
            </w:r>
            <w:r w:rsidRPr="00AD4617">
              <w:rPr>
                <w:lang w:val="fr-FR"/>
              </w:rPr>
              <w:t>Commission centrale pour la navigation du Rhin sur</w:t>
            </w:r>
            <w:r>
              <w:rPr>
                <w:lang w:val="fr-FR"/>
              </w:rPr>
              <w:t xml:space="preserve"> </w:t>
            </w:r>
            <w:r w:rsidRPr="00AD4617">
              <w:rPr>
                <w:lang w:val="fr-FR"/>
              </w:rPr>
              <w:t>l’harmonisation et l’actualisation en temps opportun des documents relatifs aux services d’information fluviale qu’elles gèrent et à ceux qui sont gérés par la CEE.</w:t>
            </w:r>
          </w:p>
        </w:tc>
      </w:tr>
      <w:tr w:rsidR="007640B1" w:rsidRPr="007640B1" w:rsidTr="00840BC5">
        <w:tc>
          <w:tcPr>
            <w:tcW w:w="2885" w:type="dxa"/>
            <w:tcBorders>
              <w:top w:val="single" w:sz="4" w:space="0" w:color="auto"/>
            </w:tcBorders>
            <w:shd w:val="clear" w:color="auto" w:fill="auto"/>
          </w:tcPr>
          <w:p w:rsidR="007640B1" w:rsidRPr="007640B1" w:rsidRDefault="00AD4617" w:rsidP="00CF3C8A">
            <w:pPr>
              <w:tabs>
                <w:tab w:val="left" w:pos="288"/>
                <w:tab w:val="left" w:pos="576"/>
                <w:tab w:val="left" w:pos="864"/>
                <w:tab w:val="left" w:pos="1152"/>
              </w:tabs>
              <w:suppressAutoHyphens/>
              <w:spacing w:before="40" w:after="80"/>
              <w:ind w:left="43" w:right="43"/>
              <w:rPr>
                <w:lang w:val="fr-FR"/>
              </w:rPr>
            </w:pPr>
            <w:r w:rsidRPr="00AD4617">
              <w:rPr>
                <w:lang w:val="fr-FR"/>
              </w:rPr>
              <w:t>Activité 10.</w:t>
            </w:r>
            <w:r>
              <w:rPr>
                <w:lang w:val="fr-FR"/>
              </w:rPr>
              <w:t xml:space="preserve"> </w:t>
            </w:r>
            <w:r w:rsidRPr="00AD4617">
              <w:rPr>
                <w:lang w:val="fr-FR"/>
              </w:rPr>
              <w:br/>
              <w:t>Renforcement de la coopération dans des domaines spécifiques avec l’Union européenne, les</w:t>
            </w:r>
            <w:r>
              <w:rPr>
                <w:lang w:val="fr-FR"/>
              </w:rPr>
              <w:t xml:space="preserve"> </w:t>
            </w:r>
            <w:r w:rsidRPr="00AD4617">
              <w:rPr>
                <w:lang w:val="fr-FR"/>
              </w:rPr>
              <w:t>commissions fluviales et d’autres acteurs (domaine : concertation politique)</w:t>
            </w:r>
            <w:r>
              <w:rPr>
                <w:lang w:val="fr-FR"/>
              </w:rPr>
              <w:t xml:space="preserve"> </w:t>
            </w:r>
            <w:r>
              <w:rPr>
                <w:lang w:val="fr-FR"/>
              </w:rPr>
              <w:br/>
            </w:r>
            <w:r w:rsidRPr="00AD4617">
              <w:rPr>
                <w:lang w:val="fr-FR"/>
              </w:rPr>
              <w:t>Activité permanente</w:t>
            </w:r>
          </w:p>
        </w:tc>
        <w:tc>
          <w:tcPr>
            <w:tcW w:w="5913" w:type="dxa"/>
            <w:tcBorders>
              <w:top w:val="single" w:sz="4" w:space="0" w:color="auto"/>
            </w:tcBorders>
            <w:shd w:val="clear" w:color="auto" w:fill="auto"/>
          </w:tcPr>
          <w:p w:rsidR="00AD4617" w:rsidRPr="00AD4617" w:rsidRDefault="00AD4617" w:rsidP="00CF3C8A">
            <w:pPr>
              <w:tabs>
                <w:tab w:val="left" w:pos="288"/>
                <w:tab w:val="left" w:pos="576"/>
                <w:tab w:val="left" w:pos="864"/>
                <w:tab w:val="left" w:pos="1152"/>
              </w:tabs>
              <w:suppressAutoHyphens/>
              <w:spacing w:before="40" w:after="80"/>
              <w:ind w:left="43" w:right="43"/>
              <w:rPr>
                <w:lang w:val="fr-FR"/>
              </w:rPr>
            </w:pPr>
            <w:r w:rsidRPr="00AD4617">
              <w:rPr>
                <w:lang w:val="fr-FR"/>
              </w:rPr>
              <w:t>10.1</w:t>
            </w:r>
            <w:r w:rsidRPr="00AD4617">
              <w:rPr>
                <w:lang w:val="fr-FR"/>
              </w:rPr>
              <w:tab/>
              <w:t>Coopération avec l’Union européenne (UE)</w:t>
            </w:r>
            <w:r>
              <w:rPr>
                <w:lang w:val="fr-FR"/>
              </w:rPr>
              <w:t> </w:t>
            </w:r>
            <w:r w:rsidRPr="00AD4617">
              <w:rPr>
                <w:lang w:val="fr-FR"/>
              </w:rPr>
              <w:t>:</w:t>
            </w:r>
          </w:p>
          <w:p w:rsidR="00AD4617" w:rsidRPr="00AD4617" w:rsidRDefault="00AD4617" w:rsidP="00CF3C8A">
            <w:pPr>
              <w:tabs>
                <w:tab w:val="left" w:pos="288"/>
                <w:tab w:val="left" w:pos="576"/>
                <w:tab w:val="left" w:pos="864"/>
                <w:tab w:val="left" w:pos="1152"/>
              </w:tabs>
              <w:suppressAutoHyphens/>
              <w:spacing w:before="40" w:after="80"/>
              <w:ind w:left="43" w:right="43"/>
              <w:rPr>
                <w:lang w:val="fr-FR"/>
              </w:rPr>
            </w:pPr>
            <w:r w:rsidRPr="00AD4617">
              <w:rPr>
                <w:lang w:val="fr-FR"/>
              </w:rPr>
              <w:tab/>
              <w:t>a)</w:t>
            </w:r>
            <w:r w:rsidRPr="00AD4617">
              <w:rPr>
                <w:lang w:val="fr-FR"/>
              </w:rPr>
              <w:tab/>
              <w:t>Poursuite de la concertation avec la Direction générale de la</w:t>
            </w:r>
            <w:r w:rsidR="00840BC5">
              <w:rPr>
                <w:lang w:val="fr-FR"/>
              </w:rPr>
              <w:t> </w:t>
            </w:r>
            <w:r w:rsidRPr="00AD4617">
              <w:rPr>
                <w:lang w:val="fr-FR"/>
              </w:rPr>
              <w:t>mobilité et des transports sur des questions d’intérêt commun;</w:t>
            </w:r>
          </w:p>
          <w:p w:rsidR="00AD4617" w:rsidRPr="00AD4617" w:rsidRDefault="00AD4617" w:rsidP="00CF3C8A">
            <w:pPr>
              <w:tabs>
                <w:tab w:val="left" w:pos="288"/>
                <w:tab w:val="left" w:pos="576"/>
                <w:tab w:val="left" w:pos="864"/>
                <w:tab w:val="left" w:pos="1152"/>
              </w:tabs>
              <w:suppressAutoHyphens/>
              <w:spacing w:before="40" w:after="80"/>
              <w:ind w:left="43" w:right="43"/>
              <w:rPr>
                <w:lang w:val="fr-FR"/>
              </w:rPr>
            </w:pPr>
            <w:r w:rsidRPr="00AD4617">
              <w:rPr>
                <w:lang w:val="fr-FR"/>
              </w:rPr>
              <w:tab/>
              <w:t>b)</w:t>
            </w:r>
            <w:r w:rsidRPr="00AD4617">
              <w:rPr>
                <w:lang w:val="fr-FR"/>
              </w:rPr>
              <w:tab/>
              <w:t>Participation régulière aux réunions respectives des</w:t>
            </w:r>
            <w:r w:rsidR="00840BC5">
              <w:rPr>
                <w:lang w:val="fr-FR"/>
              </w:rPr>
              <w:t xml:space="preserve"> </w:t>
            </w:r>
            <w:r w:rsidRPr="00AD4617">
              <w:rPr>
                <w:lang w:val="fr-FR"/>
              </w:rPr>
              <w:t>uns et des autres;</w:t>
            </w:r>
          </w:p>
          <w:p w:rsidR="007640B1" w:rsidRPr="007640B1" w:rsidRDefault="00AD4617" w:rsidP="00840BC5">
            <w:pPr>
              <w:tabs>
                <w:tab w:val="left" w:pos="288"/>
                <w:tab w:val="left" w:pos="576"/>
                <w:tab w:val="left" w:pos="864"/>
                <w:tab w:val="left" w:pos="1152"/>
              </w:tabs>
              <w:suppressAutoHyphens/>
              <w:spacing w:before="40" w:after="80"/>
              <w:ind w:left="43" w:right="43"/>
              <w:rPr>
                <w:lang w:val="fr-FR"/>
              </w:rPr>
            </w:pPr>
            <w:r w:rsidRPr="00AD4617">
              <w:rPr>
                <w:lang w:val="fr-FR"/>
              </w:rPr>
              <w:tab/>
              <w:t>c)</w:t>
            </w:r>
            <w:r w:rsidRPr="00AD4617">
              <w:rPr>
                <w:lang w:val="fr-FR"/>
              </w:rPr>
              <w:tab/>
              <w:t>Établissement d’un mécanisme viable pour les consultations entre</w:t>
            </w:r>
            <w:r>
              <w:rPr>
                <w:lang w:val="fr-FR"/>
              </w:rPr>
              <w:t xml:space="preserve"> </w:t>
            </w:r>
            <w:r w:rsidRPr="00AD4617">
              <w:rPr>
                <w:lang w:val="fr-FR"/>
              </w:rPr>
              <w:t>le SC.3/WP.3 et l’UE lors de l’élaboration et</w:t>
            </w:r>
            <w:r w:rsidR="00840BC5">
              <w:rPr>
                <w:lang w:val="fr-FR"/>
              </w:rPr>
              <w:t xml:space="preserve"> </w:t>
            </w:r>
            <w:r w:rsidRPr="00AD4617">
              <w:rPr>
                <w:lang w:val="fr-FR"/>
              </w:rPr>
              <w:t>de la révision des normes techniques.</w:t>
            </w:r>
          </w:p>
        </w:tc>
      </w:tr>
      <w:tr w:rsidR="00FC0446" w:rsidRPr="007640B1" w:rsidTr="00C63BDC">
        <w:tc>
          <w:tcPr>
            <w:tcW w:w="2885" w:type="dxa"/>
            <w:shd w:val="clear" w:color="auto" w:fill="auto"/>
          </w:tcPr>
          <w:p w:rsidR="00FC0446" w:rsidRPr="00AD4617" w:rsidRDefault="00FC0446"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FC0446" w:rsidRPr="00AD4617" w:rsidRDefault="00FC0446" w:rsidP="00FC0446">
            <w:pPr>
              <w:tabs>
                <w:tab w:val="left" w:pos="288"/>
                <w:tab w:val="left" w:pos="576"/>
                <w:tab w:val="left" w:pos="864"/>
                <w:tab w:val="left" w:pos="1152"/>
              </w:tabs>
              <w:suppressAutoHyphens/>
              <w:spacing w:before="40" w:after="80"/>
              <w:ind w:left="43" w:right="43"/>
              <w:rPr>
                <w:lang w:val="fr-FR"/>
              </w:rPr>
            </w:pPr>
            <w:r w:rsidRPr="00AD4617">
              <w:rPr>
                <w:lang w:val="fr-FR"/>
              </w:rPr>
              <w:t>10.2</w:t>
            </w:r>
            <w:r w:rsidRPr="00AD4617">
              <w:rPr>
                <w:lang w:val="fr-FR"/>
              </w:rPr>
              <w:tab/>
              <w:t>Renforcement de la coopération avec les commissions fluviales</w:t>
            </w:r>
            <w:r>
              <w:rPr>
                <w:lang w:val="fr-FR"/>
              </w:rPr>
              <w:t> </w:t>
            </w:r>
            <w:r w:rsidRPr="00AD4617">
              <w:rPr>
                <w:lang w:val="fr-FR"/>
              </w:rPr>
              <w:t>:</w:t>
            </w:r>
          </w:p>
        </w:tc>
      </w:tr>
      <w:tr w:rsidR="00FC0446" w:rsidRPr="007640B1" w:rsidTr="00C63BDC">
        <w:tc>
          <w:tcPr>
            <w:tcW w:w="2885" w:type="dxa"/>
            <w:shd w:val="clear" w:color="auto" w:fill="auto"/>
          </w:tcPr>
          <w:p w:rsidR="00FC0446" w:rsidRPr="00AD4617" w:rsidRDefault="00FC0446"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FC0446" w:rsidRPr="00AD4617" w:rsidRDefault="00FC0446" w:rsidP="003007D1">
            <w:pPr>
              <w:tabs>
                <w:tab w:val="left" w:pos="288"/>
                <w:tab w:val="left" w:pos="576"/>
                <w:tab w:val="left" w:pos="864"/>
                <w:tab w:val="left" w:pos="1152"/>
              </w:tabs>
              <w:suppressAutoHyphens/>
              <w:spacing w:before="40" w:after="80"/>
              <w:ind w:left="43" w:right="43"/>
              <w:rPr>
                <w:lang w:val="fr-FR"/>
              </w:rPr>
            </w:pPr>
            <w:r w:rsidRPr="00AD4617">
              <w:rPr>
                <w:lang w:val="fr-FR"/>
              </w:rPr>
              <w:tab/>
              <w:t>a)</w:t>
            </w:r>
            <w:r w:rsidRPr="00AD4617">
              <w:rPr>
                <w:lang w:val="fr-FR"/>
              </w:rPr>
              <w:tab/>
              <w:t>Participation aux sessions de la Commission centrale pour la</w:t>
            </w:r>
            <w:r w:rsidR="003007D1">
              <w:rPr>
                <w:lang w:val="fr-FR"/>
              </w:rPr>
              <w:t> </w:t>
            </w:r>
            <w:r w:rsidRPr="00AD4617">
              <w:rPr>
                <w:lang w:val="fr-FR"/>
              </w:rPr>
              <w:t>navigation du Rhin et de la Commission du Danube;</w:t>
            </w:r>
          </w:p>
        </w:tc>
      </w:tr>
      <w:tr w:rsidR="00FC0446" w:rsidRPr="007640B1" w:rsidTr="00C63BDC">
        <w:tc>
          <w:tcPr>
            <w:tcW w:w="2885" w:type="dxa"/>
            <w:shd w:val="clear" w:color="auto" w:fill="auto"/>
          </w:tcPr>
          <w:p w:rsidR="00FC0446" w:rsidRPr="00AD4617" w:rsidRDefault="00FC0446"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FC0446" w:rsidRPr="00AD4617" w:rsidRDefault="00FC0446" w:rsidP="00FC0446">
            <w:pPr>
              <w:tabs>
                <w:tab w:val="left" w:pos="288"/>
                <w:tab w:val="left" w:pos="576"/>
                <w:tab w:val="left" w:pos="864"/>
                <w:tab w:val="left" w:pos="1152"/>
              </w:tabs>
              <w:suppressAutoHyphens/>
              <w:spacing w:before="40" w:after="80"/>
              <w:ind w:left="43" w:right="43"/>
              <w:rPr>
                <w:lang w:val="fr-FR"/>
              </w:rPr>
            </w:pPr>
            <w:r w:rsidRPr="00AD4617">
              <w:rPr>
                <w:lang w:val="fr-FR"/>
              </w:rPr>
              <w:tab/>
              <w:t>b)</w:t>
            </w:r>
            <w:r w:rsidRPr="00AD4617">
              <w:rPr>
                <w:lang w:val="fr-FR"/>
              </w:rPr>
              <w:tab/>
              <w:t>Poursuite de la coopération et étude d’éventuelles nouvelles activités d’intérêt commun.</w:t>
            </w:r>
          </w:p>
        </w:tc>
      </w:tr>
      <w:tr w:rsidR="00FC0446" w:rsidRPr="007640B1" w:rsidTr="00C63BDC">
        <w:tc>
          <w:tcPr>
            <w:tcW w:w="2885" w:type="dxa"/>
            <w:shd w:val="clear" w:color="auto" w:fill="auto"/>
          </w:tcPr>
          <w:p w:rsidR="00FC0446" w:rsidRPr="00AD4617" w:rsidRDefault="00FC0446"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FC0446" w:rsidRPr="00AD4617" w:rsidRDefault="00FC0446" w:rsidP="003007D1">
            <w:pPr>
              <w:tabs>
                <w:tab w:val="left" w:pos="288"/>
                <w:tab w:val="left" w:pos="576"/>
                <w:tab w:val="left" w:pos="864"/>
                <w:tab w:val="left" w:pos="1152"/>
              </w:tabs>
              <w:suppressAutoHyphens/>
              <w:spacing w:before="40" w:after="80"/>
              <w:ind w:left="43" w:right="43"/>
              <w:rPr>
                <w:lang w:val="fr-FR"/>
              </w:rPr>
            </w:pPr>
            <w:r w:rsidRPr="00AD4617">
              <w:rPr>
                <w:lang w:val="fr-FR"/>
              </w:rPr>
              <w:t>10.3</w:t>
            </w:r>
            <w:r w:rsidRPr="00AD4617">
              <w:rPr>
                <w:lang w:val="fr-FR"/>
              </w:rPr>
              <w:tab/>
              <w:t>Établissement ou poursuite de la coopération avec des organisations intergouvernementales et non gouvernementales en</w:t>
            </w:r>
            <w:r w:rsidR="003007D1">
              <w:rPr>
                <w:lang w:val="fr-FR"/>
              </w:rPr>
              <w:t> </w:t>
            </w:r>
            <w:r w:rsidRPr="00AD4617">
              <w:rPr>
                <w:lang w:val="fr-FR"/>
              </w:rPr>
              <w:t>vue de</w:t>
            </w:r>
            <w:r>
              <w:rPr>
                <w:lang w:val="fr-FR"/>
              </w:rPr>
              <w:t xml:space="preserve"> </w:t>
            </w:r>
            <w:r w:rsidRPr="00AD4617">
              <w:rPr>
                <w:lang w:val="fr-FR"/>
              </w:rPr>
              <w:t>coordonner les politiques et activités relatives aux transports par</w:t>
            </w:r>
            <w:r>
              <w:rPr>
                <w:lang w:val="fr-FR"/>
              </w:rPr>
              <w:t xml:space="preserve"> </w:t>
            </w:r>
            <w:r w:rsidRPr="00AD4617">
              <w:rPr>
                <w:lang w:val="fr-FR"/>
              </w:rPr>
              <w:t>voie navigable.</w:t>
            </w:r>
          </w:p>
        </w:tc>
      </w:tr>
      <w:tr w:rsidR="00FC0446" w:rsidRPr="007640B1" w:rsidTr="00840BC5">
        <w:tc>
          <w:tcPr>
            <w:tcW w:w="2885" w:type="dxa"/>
            <w:tcBorders>
              <w:bottom w:val="nil"/>
            </w:tcBorders>
            <w:shd w:val="clear" w:color="auto" w:fill="auto"/>
          </w:tcPr>
          <w:p w:rsidR="00FC0446" w:rsidRPr="00AD4617" w:rsidRDefault="00FC0446" w:rsidP="00CF3C8A">
            <w:pPr>
              <w:tabs>
                <w:tab w:val="left" w:pos="288"/>
                <w:tab w:val="left" w:pos="576"/>
                <w:tab w:val="left" w:pos="864"/>
                <w:tab w:val="left" w:pos="1152"/>
              </w:tabs>
              <w:suppressAutoHyphens/>
              <w:spacing w:before="40" w:after="80"/>
              <w:ind w:left="43" w:right="43"/>
              <w:rPr>
                <w:lang w:val="fr-FR"/>
              </w:rPr>
            </w:pPr>
          </w:p>
        </w:tc>
        <w:tc>
          <w:tcPr>
            <w:tcW w:w="5913" w:type="dxa"/>
            <w:tcBorders>
              <w:bottom w:val="nil"/>
            </w:tcBorders>
            <w:shd w:val="clear" w:color="auto" w:fill="auto"/>
          </w:tcPr>
          <w:p w:rsidR="00FC0446" w:rsidRPr="00AD4617" w:rsidRDefault="00FC0446" w:rsidP="00FC0446">
            <w:pPr>
              <w:tabs>
                <w:tab w:val="left" w:pos="288"/>
                <w:tab w:val="left" w:pos="576"/>
                <w:tab w:val="left" w:pos="864"/>
                <w:tab w:val="left" w:pos="1152"/>
              </w:tabs>
              <w:suppressAutoHyphens/>
              <w:spacing w:before="40" w:after="80"/>
              <w:ind w:left="43" w:right="43"/>
              <w:rPr>
                <w:lang w:val="fr-FR"/>
              </w:rPr>
            </w:pPr>
            <w:r w:rsidRPr="00AD4617">
              <w:rPr>
                <w:lang w:val="fr-FR"/>
              </w:rPr>
              <w:t>10.4</w:t>
            </w:r>
            <w:r w:rsidRPr="00AD4617">
              <w:rPr>
                <w:lang w:val="fr-FR"/>
              </w:rPr>
              <w:tab/>
              <w:t>Examen de la possibilité de contacts directs avec les sociétés de</w:t>
            </w:r>
            <w:r>
              <w:rPr>
                <w:lang w:val="fr-FR"/>
              </w:rPr>
              <w:t xml:space="preserve"> </w:t>
            </w:r>
            <w:r w:rsidRPr="00AD4617">
              <w:rPr>
                <w:lang w:val="fr-FR"/>
              </w:rPr>
              <w:t>classification qui élaborent et gèrent les règlements applicables aux bateaux de navigation intérieure et fluviomaritime.</w:t>
            </w:r>
          </w:p>
        </w:tc>
      </w:tr>
      <w:tr w:rsidR="00FC0446" w:rsidRPr="007640B1" w:rsidTr="00840BC5">
        <w:tc>
          <w:tcPr>
            <w:tcW w:w="2885" w:type="dxa"/>
            <w:tcBorders>
              <w:top w:val="nil"/>
              <w:bottom w:val="single" w:sz="4" w:space="0" w:color="auto"/>
            </w:tcBorders>
            <w:shd w:val="clear" w:color="auto" w:fill="auto"/>
          </w:tcPr>
          <w:p w:rsidR="00FC0446" w:rsidRPr="00AD4617" w:rsidRDefault="00FC0446" w:rsidP="00CF3C8A">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single" w:sz="4" w:space="0" w:color="auto"/>
            </w:tcBorders>
            <w:shd w:val="clear" w:color="auto" w:fill="auto"/>
          </w:tcPr>
          <w:p w:rsidR="00FC0446" w:rsidRPr="00AD4617" w:rsidRDefault="00FC0446" w:rsidP="00CF3C8A">
            <w:pPr>
              <w:tabs>
                <w:tab w:val="left" w:pos="288"/>
                <w:tab w:val="left" w:pos="576"/>
                <w:tab w:val="left" w:pos="864"/>
                <w:tab w:val="left" w:pos="1152"/>
              </w:tabs>
              <w:suppressAutoHyphens/>
              <w:spacing w:before="40" w:after="80"/>
              <w:ind w:left="43" w:right="43"/>
              <w:rPr>
                <w:lang w:val="fr-FR"/>
              </w:rPr>
            </w:pPr>
            <w:r w:rsidRPr="00AD4617">
              <w:rPr>
                <w:lang w:val="fr-FR"/>
              </w:rPr>
              <w:t>10.5</w:t>
            </w:r>
            <w:r w:rsidRPr="00AD4617">
              <w:rPr>
                <w:lang w:val="fr-FR"/>
              </w:rPr>
              <w:tab/>
              <w:t>Examen de la possibilité d’un renforcement de la collaboration avec les sociétés de</w:t>
            </w:r>
            <w:r>
              <w:rPr>
                <w:lang w:val="fr-FR"/>
              </w:rPr>
              <w:t xml:space="preserve"> </w:t>
            </w:r>
            <w:r w:rsidRPr="00AD4617">
              <w:rPr>
                <w:lang w:val="fr-FR"/>
              </w:rPr>
              <w:t>classification.</w:t>
            </w:r>
          </w:p>
        </w:tc>
      </w:tr>
      <w:tr w:rsidR="007640B1" w:rsidRPr="007640B1" w:rsidTr="00840BC5">
        <w:tc>
          <w:tcPr>
            <w:tcW w:w="2885" w:type="dxa"/>
            <w:tcBorders>
              <w:top w:val="single" w:sz="4" w:space="0" w:color="auto"/>
              <w:bottom w:val="nil"/>
            </w:tcBorders>
            <w:shd w:val="clear" w:color="auto" w:fill="auto"/>
          </w:tcPr>
          <w:p w:rsidR="007640B1" w:rsidRPr="007640B1" w:rsidRDefault="009F2D4A" w:rsidP="000D1B99">
            <w:pPr>
              <w:tabs>
                <w:tab w:val="left" w:pos="288"/>
                <w:tab w:val="left" w:pos="576"/>
                <w:tab w:val="left" w:pos="864"/>
                <w:tab w:val="left" w:pos="1152"/>
              </w:tabs>
              <w:suppressAutoHyphens/>
              <w:spacing w:before="40" w:after="80"/>
              <w:ind w:left="43" w:right="43"/>
              <w:rPr>
                <w:lang w:val="fr-FR"/>
              </w:rPr>
            </w:pPr>
            <w:r w:rsidRPr="009F2D4A">
              <w:rPr>
                <w:lang w:val="fr-FR"/>
              </w:rPr>
              <w:t>Activité 11.</w:t>
            </w:r>
            <w:r>
              <w:rPr>
                <w:lang w:val="fr-FR"/>
              </w:rPr>
              <w:t xml:space="preserve"> </w:t>
            </w:r>
            <w:r w:rsidRPr="009F2D4A">
              <w:rPr>
                <w:lang w:val="fr-FR"/>
              </w:rPr>
              <w:br/>
              <w:t>Navigation de</w:t>
            </w:r>
            <w:r w:rsidR="000D1B99">
              <w:rPr>
                <w:lang w:val="fr-FR"/>
              </w:rPr>
              <w:t xml:space="preserve"> </w:t>
            </w:r>
            <w:r w:rsidRPr="009F2D4A">
              <w:rPr>
                <w:lang w:val="fr-FR"/>
              </w:rPr>
              <w:t>plaisance (domaines : réglementation et</w:t>
            </w:r>
            <w:r>
              <w:rPr>
                <w:lang w:val="fr-FR"/>
              </w:rPr>
              <w:t xml:space="preserve"> </w:t>
            </w:r>
            <w:r w:rsidRPr="009F2D4A">
              <w:rPr>
                <w:lang w:val="fr-FR"/>
              </w:rPr>
              <w:t>renforcement des</w:t>
            </w:r>
            <w:r>
              <w:rPr>
                <w:lang w:val="fr-FR"/>
              </w:rPr>
              <w:t xml:space="preserve"> </w:t>
            </w:r>
            <w:r w:rsidRPr="009F2D4A">
              <w:rPr>
                <w:lang w:val="fr-FR"/>
              </w:rPr>
              <w:t>capacités)</w:t>
            </w:r>
            <w:r>
              <w:rPr>
                <w:lang w:val="fr-FR"/>
              </w:rPr>
              <w:t xml:space="preserve"> </w:t>
            </w:r>
            <w:r>
              <w:rPr>
                <w:lang w:val="fr-FR"/>
              </w:rPr>
              <w:br/>
            </w:r>
            <w:r w:rsidRPr="009F2D4A">
              <w:rPr>
                <w:lang w:val="fr-FR"/>
              </w:rPr>
              <w:t>Activité permanente</w:t>
            </w:r>
          </w:p>
        </w:tc>
        <w:tc>
          <w:tcPr>
            <w:tcW w:w="5913" w:type="dxa"/>
            <w:tcBorders>
              <w:top w:val="single" w:sz="4" w:space="0" w:color="auto"/>
              <w:bottom w:val="nil"/>
            </w:tcBorders>
            <w:shd w:val="clear" w:color="auto" w:fill="auto"/>
          </w:tcPr>
          <w:p w:rsidR="009F2D4A" w:rsidRPr="009F2D4A" w:rsidRDefault="009F2D4A" w:rsidP="00CF3C8A">
            <w:pPr>
              <w:tabs>
                <w:tab w:val="left" w:pos="288"/>
                <w:tab w:val="left" w:pos="576"/>
                <w:tab w:val="left" w:pos="864"/>
                <w:tab w:val="left" w:pos="1152"/>
              </w:tabs>
              <w:suppressAutoHyphens/>
              <w:spacing w:before="40" w:after="80"/>
              <w:ind w:left="43" w:right="43"/>
              <w:rPr>
                <w:lang w:val="fr-FR"/>
              </w:rPr>
            </w:pPr>
            <w:r w:rsidRPr="009F2D4A">
              <w:rPr>
                <w:lang w:val="fr-FR"/>
              </w:rPr>
              <w:t>11.1</w:t>
            </w:r>
            <w:r w:rsidRPr="009F2D4A">
              <w:rPr>
                <w:lang w:val="fr-FR"/>
              </w:rPr>
              <w:tab/>
              <w:t>Promotion de la reconnaissance du certificat international de</w:t>
            </w:r>
            <w:r w:rsidR="00840BC5">
              <w:rPr>
                <w:lang w:val="fr-FR"/>
              </w:rPr>
              <w:t> </w:t>
            </w:r>
            <w:r w:rsidRPr="009F2D4A">
              <w:rPr>
                <w:lang w:val="fr-FR"/>
              </w:rPr>
              <w:t>conducteur de bateau de plaisance</w:t>
            </w:r>
            <w:r>
              <w:rPr>
                <w:lang w:val="fr-FR"/>
              </w:rPr>
              <w:t> </w:t>
            </w:r>
            <w:r w:rsidRPr="009F2D4A">
              <w:rPr>
                <w:lang w:val="fr-FR"/>
              </w:rPr>
              <w:t>:</w:t>
            </w:r>
          </w:p>
          <w:p w:rsidR="007640B1" w:rsidRPr="007640B1" w:rsidRDefault="009F2D4A" w:rsidP="00840BC5">
            <w:pPr>
              <w:tabs>
                <w:tab w:val="left" w:pos="288"/>
                <w:tab w:val="left" w:pos="576"/>
                <w:tab w:val="left" w:pos="864"/>
                <w:tab w:val="left" w:pos="1152"/>
              </w:tabs>
              <w:suppressAutoHyphens/>
              <w:spacing w:before="40" w:after="80"/>
              <w:ind w:left="43" w:right="43"/>
              <w:rPr>
                <w:lang w:val="fr-FR"/>
              </w:rPr>
            </w:pPr>
            <w:r w:rsidRPr="009F2D4A">
              <w:rPr>
                <w:lang w:val="fr-FR"/>
              </w:rPr>
              <w:tab/>
              <w:t>a)</w:t>
            </w:r>
            <w:r w:rsidRPr="009F2D4A">
              <w:rPr>
                <w:lang w:val="fr-FR"/>
              </w:rPr>
              <w:tab/>
              <w:t>Collecte de renseignements sur les conditions d’accès</w:t>
            </w:r>
            <w:r w:rsidR="00840BC5">
              <w:rPr>
                <w:lang w:val="fr-FR"/>
              </w:rPr>
              <w:t xml:space="preserve"> </w:t>
            </w:r>
            <w:r w:rsidRPr="009F2D4A">
              <w:rPr>
                <w:lang w:val="fr-FR"/>
              </w:rPr>
              <w:t>posées par les administrations nationales aux conducteurs de bateaux de plaisance possédant un certificat international de</w:t>
            </w:r>
            <w:r w:rsidR="000D1B99">
              <w:rPr>
                <w:lang w:val="fr-FR"/>
              </w:rPr>
              <w:t xml:space="preserve"> </w:t>
            </w:r>
            <w:r w:rsidRPr="009F2D4A">
              <w:rPr>
                <w:lang w:val="fr-FR"/>
              </w:rPr>
              <w:t>conducteur de bateau de</w:t>
            </w:r>
            <w:r>
              <w:rPr>
                <w:lang w:val="fr-FR"/>
              </w:rPr>
              <w:t xml:space="preserve"> plaisance valide;</w:t>
            </w:r>
          </w:p>
        </w:tc>
      </w:tr>
      <w:tr w:rsidR="000D1B99" w:rsidRPr="007640B1" w:rsidTr="00840BC5">
        <w:tc>
          <w:tcPr>
            <w:tcW w:w="2885" w:type="dxa"/>
            <w:tcBorders>
              <w:top w:val="nil"/>
              <w:left w:val="single" w:sz="4" w:space="0" w:color="auto"/>
              <w:bottom w:val="nil"/>
              <w:right w:val="single" w:sz="4" w:space="0" w:color="auto"/>
            </w:tcBorders>
            <w:shd w:val="clear" w:color="auto" w:fill="auto"/>
          </w:tcPr>
          <w:p w:rsidR="000D1B99" w:rsidRPr="009F2D4A" w:rsidRDefault="000D1B99" w:rsidP="000D1B99">
            <w:pPr>
              <w:tabs>
                <w:tab w:val="left" w:pos="288"/>
                <w:tab w:val="left" w:pos="576"/>
                <w:tab w:val="left" w:pos="864"/>
                <w:tab w:val="left" w:pos="1152"/>
              </w:tabs>
              <w:suppressAutoHyphens/>
              <w:spacing w:before="40" w:after="80"/>
              <w:ind w:left="43" w:right="43"/>
              <w:rPr>
                <w:lang w:val="fr-FR"/>
              </w:rPr>
            </w:pPr>
          </w:p>
        </w:tc>
        <w:tc>
          <w:tcPr>
            <w:tcW w:w="5913" w:type="dxa"/>
            <w:tcBorders>
              <w:top w:val="nil"/>
              <w:left w:val="single" w:sz="4" w:space="0" w:color="auto"/>
              <w:bottom w:val="nil"/>
              <w:right w:val="single" w:sz="4" w:space="0" w:color="auto"/>
            </w:tcBorders>
            <w:shd w:val="clear" w:color="auto" w:fill="auto"/>
          </w:tcPr>
          <w:p w:rsidR="000D1B99" w:rsidRPr="009F2D4A" w:rsidRDefault="000D1B99" w:rsidP="00840BC5">
            <w:pPr>
              <w:tabs>
                <w:tab w:val="left" w:pos="288"/>
                <w:tab w:val="left" w:pos="576"/>
                <w:tab w:val="left" w:pos="864"/>
                <w:tab w:val="left" w:pos="1152"/>
              </w:tabs>
              <w:suppressAutoHyphens/>
              <w:spacing w:before="40" w:after="80"/>
              <w:ind w:left="43" w:right="43"/>
              <w:rPr>
                <w:lang w:val="fr-FR"/>
              </w:rPr>
            </w:pPr>
            <w:r w:rsidRPr="009F2D4A">
              <w:rPr>
                <w:lang w:val="fr-FR"/>
              </w:rPr>
              <w:tab/>
              <w:t>b)</w:t>
            </w:r>
            <w:r w:rsidRPr="009F2D4A">
              <w:rPr>
                <w:lang w:val="fr-FR"/>
              </w:rPr>
              <w:tab/>
              <w:t>Amélioration des Directives par des précisions relatives aux</w:t>
            </w:r>
            <w:r w:rsidR="00840BC5">
              <w:rPr>
                <w:lang w:val="fr-FR"/>
              </w:rPr>
              <w:t> </w:t>
            </w:r>
            <w:r w:rsidRPr="009F2D4A">
              <w:rPr>
                <w:lang w:val="fr-FR"/>
              </w:rPr>
              <w:t>conducteurs de bateaux de plaisance;</w:t>
            </w:r>
          </w:p>
        </w:tc>
      </w:tr>
      <w:tr w:rsidR="000D1B99" w:rsidRPr="007640B1" w:rsidTr="00840BC5">
        <w:tc>
          <w:tcPr>
            <w:tcW w:w="2885" w:type="dxa"/>
            <w:tcBorders>
              <w:top w:val="nil"/>
            </w:tcBorders>
            <w:shd w:val="clear" w:color="auto" w:fill="auto"/>
          </w:tcPr>
          <w:p w:rsidR="000D1B99" w:rsidRPr="009F2D4A" w:rsidRDefault="000D1B99" w:rsidP="00840BC5">
            <w:pPr>
              <w:keepNext/>
              <w:keepLines/>
              <w:tabs>
                <w:tab w:val="left" w:pos="288"/>
                <w:tab w:val="left" w:pos="576"/>
                <w:tab w:val="left" w:pos="864"/>
                <w:tab w:val="left" w:pos="1152"/>
              </w:tabs>
              <w:suppressAutoHyphens/>
              <w:spacing w:before="40" w:after="80"/>
              <w:ind w:left="43" w:right="43"/>
              <w:rPr>
                <w:lang w:val="fr-FR"/>
              </w:rPr>
            </w:pPr>
          </w:p>
        </w:tc>
        <w:tc>
          <w:tcPr>
            <w:tcW w:w="5913" w:type="dxa"/>
            <w:tcBorders>
              <w:top w:val="nil"/>
            </w:tcBorders>
            <w:shd w:val="clear" w:color="auto" w:fill="auto"/>
          </w:tcPr>
          <w:p w:rsidR="000D1B99" w:rsidRPr="009F2D4A" w:rsidRDefault="000D1B99" w:rsidP="00840BC5">
            <w:pPr>
              <w:keepNext/>
              <w:keepLines/>
              <w:tabs>
                <w:tab w:val="left" w:pos="288"/>
                <w:tab w:val="left" w:pos="576"/>
                <w:tab w:val="left" w:pos="864"/>
                <w:tab w:val="left" w:pos="1152"/>
              </w:tabs>
              <w:suppressAutoHyphens/>
              <w:spacing w:before="40" w:after="80"/>
              <w:ind w:left="43" w:right="43"/>
              <w:rPr>
                <w:lang w:val="fr-FR"/>
              </w:rPr>
            </w:pPr>
            <w:r w:rsidRPr="009F2D4A">
              <w:rPr>
                <w:lang w:val="fr-FR"/>
              </w:rPr>
              <w:tab/>
              <w:t>c)</w:t>
            </w:r>
            <w:r w:rsidRPr="009F2D4A">
              <w:rPr>
                <w:lang w:val="fr-FR"/>
              </w:rPr>
              <w:tab/>
              <w:t>Examen d’une éventuelle actualisation du certificat international de conducteur de bateau de plaisance au moyen de</w:t>
            </w:r>
            <w:r>
              <w:rPr>
                <w:lang w:val="fr-FR"/>
              </w:rPr>
              <w:t xml:space="preserve"> </w:t>
            </w:r>
            <w:r w:rsidRPr="009F2D4A">
              <w:rPr>
                <w:lang w:val="fr-FR"/>
              </w:rPr>
              <w:t xml:space="preserve">l’ajout de nouveaux types de bateaux à la Résolution </w:t>
            </w:r>
            <w:r>
              <w:rPr>
                <w:lang w:val="fr-FR"/>
              </w:rPr>
              <w:t>n</w:t>
            </w:r>
            <w:r w:rsidRPr="009F2D4A">
              <w:rPr>
                <w:vertAlign w:val="superscript"/>
                <w:lang w:val="fr-FR"/>
              </w:rPr>
              <w:t>o</w:t>
            </w:r>
            <w:r>
              <w:rPr>
                <w:lang w:val="fr-FR"/>
              </w:rPr>
              <w:t> </w:t>
            </w:r>
            <w:r w:rsidRPr="009F2D4A">
              <w:rPr>
                <w:lang w:val="fr-FR"/>
              </w:rPr>
              <w:t>52.</w:t>
            </w:r>
          </w:p>
        </w:tc>
      </w:tr>
      <w:tr w:rsidR="000D1B99" w:rsidRPr="007640B1" w:rsidTr="00840BC5">
        <w:tc>
          <w:tcPr>
            <w:tcW w:w="2885" w:type="dxa"/>
            <w:tcBorders>
              <w:bottom w:val="nil"/>
            </w:tcBorders>
            <w:shd w:val="clear" w:color="auto" w:fill="auto"/>
          </w:tcPr>
          <w:p w:rsidR="000D1B99" w:rsidRPr="009F2D4A" w:rsidRDefault="000D1B99" w:rsidP="00840BC5">
            <w:pPr>
              <w:keepNext/>
              <w:keepLines/>
              <w:tabs>
                <w:tab w:val="left" w:pos="288"/>
                <w:tab w:val="left" w:pos="576"/>
                <w:tab w:val="left" w:pos="864"/>
                <w:tab w:val="left" w:pos="1152"/>
              </w:tabs>
              <w:suppressAutoHyphens/>
              <w:spacing w:before="40" w:after="80"/>
              <w:ind w:left="43" w:right="43"/>
              <w:rPr>
                <w:lang w:val="fr-FR"/>
              </w:rPr>
            </w:pPr>
          </w:p>
        </w:tc>
        <w:tc>
          <w:tcPr>
            <w:tcW w:w="5913" w:type="dxa"/>
            <w:tcBorders>
              <w:bottom w:val="nil"/>
            </w:tcBorders>
            <w:shd w:val="clear" w:color="auto" w:fill="auto"/>
          </w:tcPr>
          <w:p w:rsidR="000D1B99" w:rsidRPr="009F2D4A" w:rsidRDefault="000D1B99" w:rsidP="00840BC5">
            <w:pPr>
              <w:keepNext/>
              <w:keepLines/>
              <w:tabs>
                <w:tab w:val="left" w:pos="288"/>
                <w:tab w:val="left" w:pos="576"/>
                <w:tab w:val="left" w:pos="864"/>
                <w:tab w:val="left" w:pos="1152"/>
              </w:tabs>
              <w:suppressAutoHyphens/>
              <w:spacing w:before="40" w:after="80"/>
              <w:ind w:left="43" w:right="43"/>
              <w:rPr>
                <w:lang w:val="fr-FR"/>
              </w:rPr>
            </w:pPr>
            <w:r w:rsidRPr="009F2D4A">
              <w:rPr>
                <w:lang w:val="fr-FR"/>
              </w:rPr>
              <w:t>11.2</w:t>
            </w:r>
            <w:r w:rsidRPr="009F2D4A">
              <w:rPr>
                <w:lang w:val="fr-FR"/>
              </w:rPr>
              <w:tab/>
              <w:t>Actualisation régulière de la carte des voies navigables européennes pour la navigation de plaisance.</w:t>
            </w:r>
          </w:p>
        </w:tc>
      </w:tr>
      <w:tr w:rsidR="000D1B99" w:rsidRPr="007640B1" w:rsidTr="00E05BA7">
        <w:tc>
          <w:tcPr>
            <w:tcW w:w="2885" w:type="dxa"/>
            <w:tcBorders>
              <w:top w:val="nil"/>
              <w:bottom w:val="single" w:sz="4" w:space="0" w:color="auto"/>
            </w:tcBorders>
            <w:shd w:val="clear" w:color="auto" w:fill="auto"/>
          </w:tcPr>
          <w:p w:rsidR="000D1B99" w:rsidRPr="009F2D4A" w:rsidRDefault="000D1B99" w:rsidP="000D1B99">
            <w:pPr>
              <w:tabs>
                <w:tab w:val="left" w:pos="288"/>
                <w:tab w:val="left" w:pos="576"/>
                <w:tab w:val="left" w:pos="864"/>
                <w:tab w:val="left" w:pos="1152"/>
              </w:tabs>
              <w:suppressAutoHyphens/>
              <w:spacing w:before="40" w:after="80"/>
              <w:ind w:left="43" w:right="43"/>
              <w:rPr>
                <w:lang w:val="fr-FR"/>
              </w:rPr>
            </w:pPr>
          </w:p>
        </w:tc>
        <w:tc>
          <w:tcPr>
            <w:tcW w:w="5913" w:type="dxa"/>
            <w:tcBorders>
              <w:top w:val="nil"/>
              <w:bottom w:val="single" w:sz="4" w:space="0" w:color="auto"/>
            </w:tcBorders>
            <w:shd w:val="clear" w:color="auto" w:fill="auto"/>
          </w:tcPr>
          <w:p w:rsidR="000D1B99" w:rsidRPr="009F2D4A" w:rsidRDefault="000D1B99" w:rsidP="00CF3C8A">
            <w:pPr>
              <w:tabs>
                <w:tab w:val="left" w:pos="288"/>
                <w:tab w:val="left" w:pos="576"/>
                <w:tab w:val="left" w:pos="864"/>
                <w:tab w:val="left" w:pos="1152"/>
              </w:tabs>
              <w:suppressAutoHyphens/>
              <w:spacing w:before="40" w:after="80"/>
              <w:ind w:left="43" w:right="43"/>
              <w:rPr>
                <w:lang w:val="fr-FR"/>
              </w:rPr>
            </w:pPr>
            <w:r w:rsidRPr="009F2D4A">
              <w:rPr>
                <w:lang w:val="fr-FR"/>
              </w:rPr>
              <w:t>11.3</w:t>
            </w:r>
            <w:r w:rsidRPr="009F2D4A">
              <w:rPr>
                <w:lang w:val="fr-FR"/>
              </w:rPr>
              <w:tab/>
              <w:t>Promotion du développement de la navigation de plaisance en Europe; peut-être, réaliser une carte indiquant les lieux intéressant les touristes (en collaboration avec l’UNESCO et les centres internationaux et culturels).</w:t>
            </w:r>
          </w:p>
        </w:tc>
      </w:tr>
      <w:tr w:rsidR="007640B1" w:rsidRPr="007640B1" w:rsidTr="00E05BA7">
        <w:tc>
          <w:tcPr>
            <w:tcW w:w="2885" w:type="dxa"/>
            <w:tcBorders>
              <w:top w:val="single" w:sz="4" w:space="0" w:color="auto"/>
              <w:bottom w:val="single" w:sz="4" w:space="0" w:color="auto"/>
            </w:tcBorders>
            <w:shd w:val="clear" w:color="auto" w:fill="auto"/>
          </w:tcPr>
          <w:p w:rsidR="007640B1" w:rsidRPr="007640B1" w:rsidRDefault="006512D3" w:rsidP="00840BC5">
            <w:pPr>
              <w:tabs>
                <w:tab w:val="left" w:pos="288"/>
                <w:tab w:val="left" w:pos="576"/>
                <w:tab w:val="left" w:pos="864"/>
                <w:tab w:val="left" w:pos="1152"/>
              </w:tabs>
              <w:suppressAutoHyphens/>
              <w:spacing w:before="40" w:after="80"/>
              <w:ind w:left="43" w:right="43"/>
              <w:rPr>
                <w:lang w:val="fr-FR"/>
              </w:rPr>
            </w:pPr>
            <w:r w:rsidRPr="006512D3">
              <w:rPr>
                <w:lang w:val="fr-FR"/>
              </w:rPr>
              <w:t>Activité 12.</w:t>
            </w:r>
            <w:r>
              <w:rPr>
                <w:lang w:val="fr-FR"/>
              </w:rPr>
              <w:t xml:space="preserve"> </w:t>
            </w:r>
            <w:r w:rsidRPr="006512D3">
              <w:rPr>
                <w:lang w:val="fr-FR"/>
              </w:rPr>
              <w:br/>
              <w:t>Travaux préparatoires pour le</w:t>
            </w:r>
            <w:r w:rsidR="00840BC5">
              <w:rPr>
                <w:lang w:val="fr-FR"/>
              </w:rPr>
              <w:t xml:space="preserve"> </w:t>
            </w:r>
            <w:r w:rsidRPr="00840BC5">
              <w:rPr>
                <w:spacing w:val="0"/>
                <w:lang w:val="fr-FR"/>
              </w:rPr>
              <w:t>soixantième anniversaire du</w:t>
            </w:r>
            <w:r w:rsidR="00840BC5" w:rsidRPr="00840BC5">
              <w:rPr>
                <w:spacing w:val="0"/>
                <w:lang w:val="fr-FR"/>
              </w:rPr>
              <w:t xml:space="preserve"> </w:t>
            </w:r>
            <w:r w:rsidRPr="00840BC5">
              <w:rPr>
                <w:spacing w:val="0"/>
                <w:lang w:val="fr-FR"/>
              </w:rPr>
              <w:t>SC.3</w:t>
            </w:r>
            <w:r>
              <w:rPr>
                <w:lang w:val="fr-FR"/>
              </w:rPr>
              <w:t xml:space="preserve"> </w:t>
            </w:r>
            <w:r>
              <w:rPr>
                <w:lang w:val="fr-FR"/>
              </w:rPr>
              <w:br/>
            </w:r>
            <w:r w:rsidRPr="006512D3">
              <w:rPr>
                <w:lang w:val="fr-FR"/>
              </w:rPr>
              <w:t>Activité permanente</w:t>
            </w:r>
          </w:p>
        </w:tc>
        <w:tc>
          <w:tcPr>
            <w:tcW w:w="5913" w:type="dxa"/>
            <w:tcBorders>
              <w:top w:val="single" w:sz="4" w:space="0" w:color="auto"/>
              <w:bottom w:val="single" w:sz="4" w:space="0" w:color="auto"/>
            </w:tcBorders>
            <w:shd w:val="clear" w:color="auto" w:fill="auto"/>
          </w:tcPr>
          <w:p w:rsidR="006512D3" w:rsidRPr="006512D3" w:rsidRDefault="006512D3" w:rsidP="00CF3C8A">
            <w:pPr>
              <w:tabs>
                <w:tab w:val="left" w:pos="288"/>
                <w:tab w:val="left" w:pos="576"/>
                <w:tab w:val="left" w:pos="864"/>
                <w:tab w:val="left" w:pos="1152"/>
              </w:tabs>
              <w:suppressAutoHyphens/>
              <w:spacing w:before="40" w:after="80"/>
              <w:ind w:left="43" w:right="43"/>
              <w:rPr>
                <w:lang w:val="fr-FR"/>
              </w:rPr>
            </w:pPr>
            <w:r w:rsidRPr="006512D3">
              <w:rPr>
                <w:lang w:val="fr-FR"/>
              </w:rPr>
              <w:t>12.1</w:t>
            </w:r>
            <w:r w:rsidRPr="006512D3">
              <w:rPr>
                <w:lang w:val="fr-FR"/>
              </w:rPr>
              <w:tab/>
              <w:t>Établissement d’un bilan des principales réalisations du SC.3 pour sa</w:t>
            </w:r>
            <w:r w:rsidR="00CF39CA">
              <w:rPr>
                <w:lang w:val="fr-FR"/>
              </w:rPr>
              <w:t xml:space="preserve"> </w:t>
            </w:r>
            <w:r w:rsidRPr="006512D3">
              <w:rPr>
                <w:lang w:val="fr-FR"/>
              </w:rPr>
              <w:t>soixantième session.</w:t>
            </w:r>
          </w:p>
          <w:p w:rsidR="007640B1" w:rsidRPr="007640B1" w:rsidRDefault="006512D3" w:rsidP="00CF3C8A">
            <w:pPr>
              <w:tabs>
                <w:tab w:val="left" w:pos="288"/>
                <w:tab w:val="left" w:pos="576"/>
                <w:tab w:val="left" w:pos="864"/>
                <w:tab w:val="left" w:pos="1152"/>
              </w:tabs>
              <w:suppressAutoHyphens/>
              <w:spacing w:before="40" w:after="80"/>
              <w:ind w:left="43" w:right="43"/>
              <w:rPr>
                <w:lang w:val="fr-FR"/>
              </w:rPr>
            </w:pPr>
            <w:r w:rsidRPr="006512D3">
              <w:rPr>
                <w:lang w:val="fr-FR"/>
              </w:rPr>
              <w:t>12.2</w:t>
            </w:r>
            <w:r w:rsidRPr="006512D3">
              <w:rPr>
                <w:lang w:val="fr-FR"/>
              </w:rPr>
              <w:tab/>
              <w:t>Renforcement de la visibilité du SC.3.</w:t>
            </w:r>
          </w:p>
        </w:tc>
      </w:tr>
      <w:tr w:rsidR="007640B1" w:rsidRPr="007640B1" w:rsidTr="00E05BA7">
        <w:tc>
          <w:tcPr>
            <w:tcW w:w="2885" w:type="dxa"/>
            <w:tcBorders>
              <w:top w:val="single" w:sz="4" w:space="0" w:color="auto"/>
            </w:tcBorders>
            <w:shd w:val="clear" w:color="auto" w:fill="auto"/>
          </w:tcPr>
          <w:p w:rsidR="007640B1" w:rsidRPr="007640B1" w:rsidRDefault="006512D3" w:rsidP="00CF3C8A">
            <w:pPr>
              <w:tabs>
                <w:tab w:val="left" w:pos="288"/>
                <w:tab w:val="left" w:pos="576"/>
                <w:tab w:val="left" w:pos="864"/>
                <w:tab w:val="left" w:pos="1152"/>
              </w:tabs>
              <w:suppressAutoHyphens/>
              <w:spacing w:before="40" w:after="80"/>
              <w:ind w:left="43" w:right="43"/>
              <w:rPr>
                <w:lang w:val="fr-FR"/>
              </w:rPr>
            </w:pPr>
            <w:r w:rsidRPr="006512D3">
              <w:rPr>
                <w:lang w:val="fr-FR"/>
              </w:rPr>
              <w:t>Activité 13.</w:t>
            </w:r>
            <w:r>
              <w:rPr>
                <w:lang w:val="fr-FR"/>
              </w:rPr>
              <w:t xml:space="preserve"> </w:t>
            </w:r>
            <w:r>
              <w:rPr>
                <w:lang w:val="fr-FR"/>
              </w:rPr>
              <w:br/>
            </w:r>
            <w:r w:rsidRPr="006512D3">
              <w:rPr>
                <w:lang w:val="fr-FR"/>
              </w:rPr>
              <w:t>Atténuation du</w:t>
            </w:r>
            <w:r w:rsidR="00A211D2">
              <w:rPr>
                <w:lang w:val="fr-FR"/>
              </w:rPr>
              <w:t xml:space="preserve"> </w:t>
            </w:r>
            <w:r w:rsidRPr="006512D3">
              <w:rPr>
                <w:lang w:val="fr-FR"/>
              </w:rPr>
              <w:t>changement climatique et adaptation à ses effets (domaines : concertation politique et analyse)</w:t>
            </w:r>
            <w:r>
              <w:rPr>
                <w:lang w:val="fr-FR"/>
              </w:rPr>
              <w:t xml:space="preserve"> </w:t>
            </w:r>
            <w:r>
              <w:rPr>
                <w:lang w:val="fr-FR"/>
              </w:rPr>
              <w:br/>
            </w:r>
            <w:r w:rsidRPr="006512D3">
              <w:rPr>
                <w:lang w:val="fr-FR"/>
              </w:rPr>
              <w:t>Activité nouvelle</w:t>
            </w:r>
          </w:p>
        </w:tc>
        <w:tc>
          <w:tcPr>
            <w:tcW w:w="5913" w:type="dxa"/>
            <w:tcBorders>
              <w:top w:val="single" w:sz="4" w:space="0" w:color="auto"/>
            </w:tcBorders>
            <w:shd w:val="clear" w:color="auto" w:fill="auto"/>
          </w:tcPr>
          <w:p w:rsidR="006512D3" w:rsidRDefault="006512D3" w:rsidP="00CF3C8A">
            <w:pPr>
              <w:tabs>
                <w:tab w:val="left" w:pos="288"/>
                <w:tab w:val="left" w:pos="576"/>
                <w:tab w:val="left" w:pos="864"/>
                <w:tab w:val="left" w:pos="1152"/>
              </w:tabs>
              <w:suppressAutoHyphens/>
              <w:spacing w:before="40" w:after="80"/>
              <w:ind w:left="43" w:right="43"/>
              <w:rPr>
                <w:lang w:val="fr-FR"/>
              </w:rPr>
            </w:pPr>
            <w:r w:rsidRPr="006512D3">
              <w:rPr>
                <w:lang w:val="fr-FR"/>
              </w:rPr>
              <w:t>13.1</w:t>
            </w:r>
            <w:r w:rsidRPr="006512D3">
              <w:rPr>
                <w:lang w:val="fr-FR"/>
              </w:rPr>
              <w:tab/>
              <w:t>En collaboration avec le WP.5 et le Groupe d’experts chargé d’étudier les effets des changements climatiques et</w:t>
            </w:r>
            <w:r>
              <w:rPr>
                <w:lang w:val="fr-FR"/>
              </w:rPr>
              <w:t xml:space="preserve"> </w:t>
            </w:r>
            <w:r w:rsidRPr="006512D3">
              <w:rPr>
                <w:lang w:val="fr-FR"/>
              </w:rPr>
              <w:t>l’adaptation à ces changements dans les réseaux et nœuds de</w:t>
            </w:r>
            <w:r>
              <w:rPr>
                <w:lang w:val="fr-FR"/>
              </w:rPr>
              <w:t xml:space="preserve"> </w:t>
            </w:r>
            <w:r w:rsidRPr="006512D3">
              <w:rPr>
                <w:lang w:val="fr-FR"/>
              </w:rPr>
              <w:t>transport internationaux</w:t>
            </w:r>
            <w:r>
              <w:rPr>
                <w:lang w:val="fr-FR"/>
              </w:rPr>
              <w:t> </w:t>
            </w:r>
            <w:r w:rsidRPr="006512D3">
              <w:rPr>
                <w:lang w:val="fr-FR"/>
              </w:rPr>
              <w:t>:</w:t>
            </w:r>
          </w:p>
          <w:p w:rsidR="007640B1" w:rsidRPr="007640B1" w:rsidRDefault="003007D1" w:rsidP="00313F0B">
            <w:pPr>
              <w:tabs>
                <w:tab w:val="left" w:pos="288"/>
                <w:tab w:val="left" w:pos="576"/>
                <w:tab w:val="left" w:pos="864"/>
                <w:tab w:val="left" w:pos="1152"/>
              </w:tabs>
              <w:suppressAutoHyphens/>
              <w:spacing w:before="40" w:after="80"/>
              <w:ind w:left="43" w:right="43"/>
              <w:rPr>
                <w:lang w:val="fr-FR"/>
              </w:rPr>
            </w:pPr>
            <w:r>
              <w:rPr>
                <w:lang w:val="fr-FR"/>
              </w:rPr>
              <w:tab/>
              <w:t>•</w:t>
            </w:r>
            <w:r>
              <w:rPr>
                <w:lang w:val="fr-FR"/>
              </w:rPr>
              <w:tab/>
            </w:r>
            <w:r w:rsidR="006512D3" w:rsidRPr="006512D3">
              <w:rPr>
                <w:lang w:val="fr-FR"/>
              </w:rPr>
              <w:t>Recensement des points critiques, à savoir les lieux les plus vulnérables du réseau de grandes voies navigables d’importance internationale du point de vue de l’adaptation au</w:t>
            </w:r>
            <w:r w:rsidR="00CF39CA">
              <w:rPr>
                <w:lang w:val="fr-FR"/>
              </w:rPr>
              <w:t xml:space="preserve"> </w:t>
            </w:r>
            <w:r w:rsidR="006512D3" w:rsidRPr="006512D3">
              <w:rPr>
                <w:lang w:val="fr-FR"/>
              </w:rPr>
              <w:t>changement climatique;</w:t>
            </w:r>
          </w:p>
        </w:tc>
      </w:tr>
      <w:tr w:rsidR="00313F0B" w:rsidRPr="007640B1" w:rsidTr="00C63BDC">
        <w:tc>
          <w:tcPr>
            <w:tcW w:w="2885" w:type="dxa"/>
            <w:shd w:val="clear" w:color="auto" w:fill="auto"/>
          </w:tcPr>
          <w:p w:rsidR="00313F0B" w:rsidRPr="006512D3" w:rsidRDefault="00313F0B" w:rsidP="00CF3C8A">
            <w:pPr>
              <w:tabs>
                <w:tab w:val="left" w:pos="288"/>
                <w:tab w:val="left" w:pos="576"/>
                <w:tab w:val="left" w:pos="864"/>
                <w:tab w:val="left" w:pos="1152"/>
              </w:tabs>
              <w:suppressAutoHyphens/>
              <w:spacing w:before="40" w:after="80"/>
              <w:ind w:left="43" w:right="43"/>
              <w:rPr>
                <w:lang w:val="fr-FR"/>
              </w:rPr>
            </w:pPr>
          </w:p>
        </w:tc>
        <w:tc>
          <w:tcPr>
            <w:tcW w:w="5913" w:type="dxa"/>
            <w:shd w:val="clear" w:color="auto" w:fill="auto"/>
          </w:tcPr>
          <w:p w:rsidR="00313F0B" w:rsidRPr="006512D3" w:rsidRDefault="003007D1" w:rsidP="00CF3C8A">
            <w:pPr>
              <w:tabs>
                <w:tab w:val="left" w:pos="288"/>
                <w:tab w:val="left" w:pos="576"/>
                <w:tab w:val="left" w:pos="864"/>
                <w:tab w:val="left" w:pos="1152"/>
              </w:tabs>
              <w:suppressAutoHyphens/>
              <w:spacing w:before="40" w:after="80"/>
              <w:ind w:left="43" w:right="43"/>
              <w:rPr>
                <w:lang w:val="fr-FR"/>
              </w:rPr>
            </w:pPr>
            <w:r>
              <w:rPr>
                <w:lang w:val="fr-FR"/>
              </w:rPr>
              <w:tab/>
              <w:t>•</w:t>
            </w:r>
            <w:r>
              <w:rPr>
                <w:lang w:val="fr-FR"/>
              </w:rPr>
              <w:tab/>
            </w:r>
            <w:r w:rsidR="00313F0B" w:rsidRPr="006512D3">
              <w:rPr>
                <w:lang w:val="fr-FR"/>
              </w:rPr>
              <w:t>Examen des utilisations possibles de l’outil ForFITS pour définir des politiques d’atténuation du changement climatique en ce qui concerne la navigation intérieure en général.</w:t>
            </w:r>
          </w:p>
        </w:tc>
      </w:tr>
    </w:tbl>
    <w:p w:rsidR="0071462F" w:rsidRPr="0032514B" w:rsidRDefault="0071462F" w:rsidP="0032514B">
      <w:pPr>
        <w:pStyle w:val="SingleTxt"/>
        <w:spacing w:after="0" w:line="120" w:lineRule="exact"/>
        <w:rPr>
          <w:sz w:val="10"/>
        </w:rPr>
      </w:pPr>
    </w:p>
    <w:p w:rsidR="0032514B" w:rsidRPr="0032514B" w:rsidRDefault="0032514B" w:rsidP="0032514B">
      <w:pPr>
        <w:pStyle w:val="SingleTxt"/>
        <w:spacing w:after="0" w:line="120" w:lineRule="exact"/>
        <w:rPr>
          <w:sz w:val="10"/>
        </w:rPr>
      </w:pPr>
    </w:p>
    <w:p w:rsidR="0032514B" w:rsidRPr="0032514B" w:rsidRDefault="0032514B" w:rsidP="0032514B">
      <w:pPr>
        <w:pStyle w:val="SingleTxt"/>
        <w:spacing w:after="0" w:line="120" w:lineRule="exact"/>
        <w:rPr>
          <w:sz w:val="10"/>
        </w:rPr>
      </w:pPr>
    </w:p>
    <w:p w:rsidR="0032514B" w:rsidRDefault="0032514B" w:rsidP="003251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32514B">
        <w:rPr>
          <w:lang w:val="fr-FR"/>
        </w:rPr>
        <w:t>VII.</w:t>
      </w:r>
      <w:r w:rsidRPr="0032514B">
        <w:rPr>
          <w:lang w:val="fr-FR"/>
        </w:rPr>
        <w:tab/>
        <w:t>Orientations à donner par le Comité des transports intérieurs et</w:t>
      </w:r>
      <w:r>
        <w:rPr>
          <w:lang w:val="fr-FR"/>
        </w:rPr>
        <w:t xml:space="preserve"> </w:t>
      </w:r>
      <w:r w:rsidRPr="0032514B">
        <w:rPr>
          <w:lang w:val="fr-FR"/>
        </w:rPr>
        <w:t>prochaines étapes</w:t>
      </w:r>
    </w:p>
    <w:p w:rsidR="0032514B" w:rsidRPr="0032514B" w:rsidRDefault="0032514B" w:rsidP="0032514B">
      <w:pPr>
        <w:pStyle w:val="SingleTxt"/>
        <w:spacing w:after="0" w:line="120" w:lineRule="exact"/>
        <w:rPr>
          <w:sz w:val="10"/>
          <w:lang w:val="fr-FR"/>
        </w:rPr>
      </w:pPr>
    </w:p>
    <w:p w:rsidR="0032514B" w:rsidRPr="0032514B" w:rsidRDefault="0032514B" w:rsidP="0032514B">
      <w:pPr>
        <w:pStyle w:val="SingleTxt"/>
        <w:spacing w:after="0" w:line="120" w:lineRule="exact"/>
        <w:rPr>
          <w:sz w:val="10"/>
          <w:lang w:val="fr-FR"/>
        </w:rPr>
      </w:pPr>
    </w:p>
    <w:p w:rsidR="001C6040" w:rsidRDefault="0032514B" w:rsidP="001C6040">
      <w:pPr>
        <w:pStyle w:val="SingleTxt"/>
        <w:numPr>
          <w:ilvl w:val="0"/>
          <w:numId w:val="16"/>
        </w:numPr>
        <w:tabs>
          <w:tab w:val="clear" w:pos="475"/>
          <w:tab w:val="num" w:pos="1742"/>
        </w:tabs>
        <w:ind w:left="1267"/>
        <w:rPr>
          <w:lang w:val="fr-FR"/>
        </w:rPr>
      </w:pPr>
      <w:r w:rsidRPr="0032514B">
        <w:rPr>
          <w:lang w:val="fr-FR"/>
        </w:rPr>
        <w:t>Les informations fournies dans le présent document représentent une première étape de l’élaboration d’une stratégie concernant les transports par voie navigable. Afin de rendre cette stratégie concrète et fonctionnelle, le Comité des transports intérieurs souhaitera peut-être examiner le contenu du présent document, en débattre et donner des orientations pour la stratégie future du SC.3, l’objectif étant d’arrêter la future stratégie à la prochaine session du SC.3, qui doit se tenir en novembre 2016, pour adoption éventuelle à la session du Comité prévue en février 2017.</w:t>
      </w:r>
    </w:p>
    <w:p w:rsidR="00E2156A" w:rsidRPr="00E2156A" w:rsidRDefault="00E2156A" w:rsidP="00E2156A">
      <w:pPr>
        <w:pStyle w:val="SingleTxt"/>
        <w:spacing w:after="0" w:line="240" w:lineRule="auto"/>
        <w:rPr>
          <w:lang w:val="fr-FR"/>
        </w:rPr>
      </w:pPr>
      <w:r>
        <w:rPr>
          <w:noProof/>
          <w:w w:val="100"/>
          <w:lang w:val="en-US"/>
        </w:rPr>
        <mc:AlternateContent>
          <mc:Choice Requires="wps">
            <w:drawing>
              <wp:anchor distT="0" distB="0" distL="114300" distR="114300" simplePos="0" relativeHeight="251668480"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E2156A" w:rsidRPr="00E2156A" w:rsidSect="00386DD9">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2T12:26:00Z" w:initials="Start">
    <w:p w:rsidR="00674E7D" w:rsidRPr="00CF3C8A" w:rsidRDefault="00674E7D">
      <w:pPr>
        <w:pStyle w:val="CommentText"/>
        <w:rPr>
          <w:lang w:val="en-US"/>
        </w:rPr>
      </w:pPr>
      <w:r>
        <w:fldChar w:fldCharType="begin"/>
      </w:r>
      <w:r w:rsidRPr="00CF3C8A">
        <w:rPr>
          <w:rStyle w:val="CommentReference"/>
          <w:lang w:val="en-US"/>
        </w:rPr>
        <w:instrText xml:space="preserve"> </w:instrText>
      </w:r>
      <w:r w:rsidRPr="00CF3C8A">
        <w:rPr>
          <w:lang w:val="en-US"/>
        </w:rPr>
        <w:instrText>PAGE \# "'Page: '#'</w:instrText>
      </w:r>
      <w:r w:rsidRPr="00CF3C8A">
        <w:rPr>
          <w:lang w:val="en-US"/>
        </w:rPr>
        <w:br/>
        <w:instrText>'"</w:instrText>
      </w:r>
      <w:r w:rsidRPr="00CF3C8A">
        <w:rPr>
          <w:rStyle w:val="CommentReference"/>
          <w:lang w:val="en-US"/>
        </w:rPr>
        <w:instrText xml:space="preserve"> </w:instrText>
      </w:r>
      <w:r>
        <w:fldChar w:fldCharType="end"/>
      </w:r>
      <w:r>
        <w:rPr>
          <w:rStyle w:val="CommentReference"/>
        </w:rPr>
        <w:annotationRef/>
      </w:r>
      <w:r w:rsidRPr="00CF3C8A">
        <w:rPr>
          <w:lang w:val="en-US"/>
        </w:rPr>
        <w:t>&lt;&lt;ODS JOB NO&gt;&gt;N1528551F&lt;&lt;ODS JOB NO&gt;&gt;</w:t>
      </w:r>
    </w:p>
    <w:p w:rsidR="00674E7D" w:rsidRDefault="00674E7D">
      <w:pPr>
        <w:pStyle w:val="CommentText"/>
      </w:pPr>
      <w:r>
        <w:t>&lt;&lt;ODS DOC SYMBOL1&gt;&gt;ECE/TRANS/2016/21&lt;&lt;ODS DOC SYMBOL1&gt;&gt;</w:t>
      </w:r>
    </w:p>
    <w:p w:rsidR="00674E7D" w:rsidRDefault="00674E7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7D" w:rsidRDefault="00674E7D" w:rsidP="00F3330B">
      <w:pPr>
        <w:spacing w:line="240" w:lineRule="auto"/>
      </w:pPr>
      <w:r>
        <w:separator/>
      </w:r>
    </w:p>
  </w:endnote>
  <w:endnote w:type="continuationSeparator" w:id="0">
    <w:p w:rsidR="00674E7D" w:rsidRDefault="00674E7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74E7D" w:rsidTr="00386DD9">
      <w:trPr>
        <w:jc w:val="center"/>
      </w:trPr>
      <w:tc>
        <w:tcPr>
          <w:tcW w:w="5126" w:type="dxa"/>
          <w:shd w:val="clear" w:color="auto" w:fill="auto"/>
        </w:tcPr>
        <w:p w:rsidR="00674E7D" w:rsidRPr="00386DD9" w:rsidRDefault="00674E7D" w:rsidP="00386DD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5C9A">
            <w:rPr>
              <w:b w:val="0"/>
              <w:w w:val="103"/>
              <w:sz w:val="14"/>
            </w:rPr>
            <w:t>GE.15-22140</w:t>
          </w:r>
          <w:r>
            <w:rPr>
              <w:b w:val="0"/>
              <w:w w:val="103"/>
              <w:sz w:val="14"/>
            </w:rPr>
            <w:fldChar w:fldCharType="end"/>
          </w:r>
        </w:p>
      </w:tc>
      <w:tc>
        <w:tcPr>
          <w:tcW w:w="5127" w:type="dxa"/>
          <w:shd w:val="clear" w:color="auto" w:fill="auto"/>
        </w:tcPr>
        <w:p w:rsidR="00674E7D" w:rsidRPr="00386DD9" w:rsidRDefault="00674E7D" w:rsidP="00386DD9">
          <w:pPr>
            <w:pStyle w:val="Footer"/>
            <w:rPr>
              <w:w w:val="103"/>
            </w:rPr>
          </w:pPr>
          <w:r>
            <w:rPr>
              <w:w w:val="103"/>
            </w:rPr>
            <w:fldChar w:fldCharType="begin"/>
          </w:r>
          <w:r>
            <w:rPr>
              <w:w w:val="103"/>
            </w:rPr>
            <w:instrText xml:space="preserve"> PAGE  \* Arabic  \* MERGEFORMAT </w:instrText>
          </w:r>
          <w:r>
            <w:rPr>
              <w:w w:val="103"/>
            </w:rPr>
            <w:fldChar w:fldCharType="separate"/>
          </w:r>
          <w:r w:rsidR="008C2FC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2FC0">
            <w:rPr>
              <w:noProof/>
              <w:w w:val="103"/>
            </w:rPr>
            <w:t>4</w:t>
          </w:r>
          <w:r>
            <w:rPr>
              <w:w w:val="103"/>
            </w:rPr>
            <w:fldChar w:fldCharType="end"/>
          </w:r>
        </w:p>
      </w:tc>
    </w:tr>
  </w:tbl>
  <w:p w:rsidR="00674E7D" w:rsidRPr="00386DD9" w:rsidRDefault="00674E7D" w:rsidP="00386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74E7D" w:rsidTr="00386DD9">
      <w:trPr>
        <w:jc w:val="center"/>
      </w:trPr>
      <w:tc>
        <w:tcPr>
          <w:tcW w:w="5126" w:type="dxa"/>
          <w:shd w:val="clear" w:color="auto" w:fill="auto"/>
        </w:tcPr>
        <w:p w:rsidR="00674E7D" w:rsidRPr="00386DD9" w:rsidRDefault="00674E7D" w:rsidP="00386DD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C2FC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2FC0">
            <w:rPr>
              <w:noProof/>
              <w:w w:val="103"/>
            </w:rPr>
            <w:t>3</w:t>
          </w:r>
          <w:r>
            <w:rPr>
              <w:w w:val="103"/>
            </w:rPr>
            <w:fldChar w:fldCharType="end"/>
          </w:r>
        </w:p>
      </w:tc>
      <w:tc>
        <w:tcPr>
          <w:tcW w:w="5127" w:type="dxa"/>
          <w:shd w:val="clear" w:color="auto" w:fill="auto"/>
        </w:tcPr>
        <w:p w:rsidR="00674E7D" w:rsidRPr="00386DD9" w:rsidRDefault="00674E7D" w:rsidP="00386DD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5C9A">
            <w:rPr>
              <w:b w:val="0"/>
              <w:w w:val="103"/>
              <w:sz w:val="14"/>
            </w:rPr>
            <w:t>GE.15-22140</w:t>
          </w:r>
          <w:r>
            <w:rPr>
              <w:b w:val="0"/>
              <w:w w:val="103"/>
              <w:sz w:val="14"/>
            </w:rPr>
            <w:fldChar w:fldCharType="end"/>
          </w:r>
        </w:p>
      </w:tc>
    </w:tr>
  </w:tbl>
  <w:p w:rsidR="00674E7D" w:rsidRPr="00386DD9" w:rsidRDefault="00674E7D" w:rsidP="00386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D" w:rsidRDefault="00674E7D">
    <w:pPr>
      <w:pStyle w:val="Footer"/>
    </w:pPr>
    <w:r>
      <w:rPr>
        <w:noProof/>
      </w:rPr>
      <w:drawing>
        <wp:anchor distT="0" distB="0" distL="114300" distR="114300" simplePos="0" relativeHeight="251658240" behindDoc="0" locked="0" layoutInCell="1" allowOverlap="1" wp14:anchorId="0269C58D" wp14:editId="2ECC5F4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74E7D" w:rsidTr="00386DD9">
      <w:tc>
        <w:tcPr>
          <w:tcW w:w="3859" w:type="dxa"/>
        </w:tcPr>
        <w:p w:rsidR="00674E7D" w:rsidRDefault="00674E7D" w:rsidP="00386DD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E5C9A">
            <w:rPr>
              <w:b w:val="0"/>
              <w:sz w:val="20"/>
            </w:rPr>
            <w:t>GE.15-22140 (F)</w:t>
          </w:r>
          <w:r>
            <w:rPr>
              <w:b w:val="0"/>
              <w:sz w:val="20"/>
            </w:rPr>
            <w:fldChar w:fldCharType="end"/>
          </w:r>
          <w:r>
            <w:rPr>
              <w:b w:val="0"/>
              <w:sz w:val="20"/>
            </w:rPr>
            <w:t xml:space="preserve">    020216    030216</w:t>
          </w:r>
        </w:p>
        <w:p w:rsidR="00674E7D" w:rsidRPr="00386DD9" w:rsidRDefault="00674E7D" w:rsidP="00386DD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E5C9A">
            <w:rPr>
              <w:rFonts w:ascii="Barcode 3 of 9 by request" w:hAnsi="Barcode 3 of 9 by request"/>
              <w:b w:val="0"/>
              <w:spacing w:val="0"/>
              <w:w w:val="100"/>
              <w:sz w:val="24"/>
            </w:rPr>
            <w:t>*1522140*</w:t>
          </w:r>
          <w:r>
            <w:rPr>
              <w:rFonts w:ascii="Barcode 3 of 9 by request" w:hAnsi="Barcode 3 of 9 by request"/>
              <w:b w:val="0"/>
              <w:spacing w:val="0"/>
              <w:w w:val="100"/>
              <w:sz w:val="24"/>
            </w:rPr>
            <w:fldChar w:fldCharType="end"/>
          </w:r>
        </w:p>
      </w:tc>
      <w:tc>
        <w:tcPr>
          <w:tcW w:w="5127" w:type="dxa"/>
        </w:tcPr>
        <w:p w:rsidR="00674E7D" w:rsidRDefault="00674E7D" w:rsidP="00386DD9">
          <w:pPr>
            <w:pStyle w:val="Footer"/>
            <w:spacing w:line="240" w:lineRule="atLeast"/>
            <w:jc w:val="right"/>
            <w:rPr>
              <w:b w:val="0"/>
              <w:sz w:val="20"/>
            </w:rPr>
          </w:pPr>
          <w:r>
            <w:rPr>
              <w:b w:val="0"/>
              <w:noProof/>
              <w:sz w:val="20"/>
            </w:rPr>
            <w:drawing>
              <wp:inline distT="0" distB="0" distL="0" distR="0" wp14:anchorId="716F20D2" wp14:editId="4F4B11D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74E7D" w:rsidRPr="00386DD9" w:rsidRDefault="00674E7D" w:rsidP="00386DD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7D" w:rsidRPr="00EB1E7D" w:rsidRDefault="00674E7D" w:rsidP="00EB1E7D">
      <w:pPr>
        <w:pStyle w:val="Footer"/>
        <w:spacing w:after="80"/>
        <w:ind w:left="792"/>
        <w:rPr>
          <w:sz w:val="16"/>
        </w:rPr>
      </w:pPr>
      <w:r w:rsidRPr="00EB1E7D">
        <w:rPr>
          <w:sz w:val="16"/>
        </w:rPr>
        <w:t>__________________</w:t>
      </w:r>
    </w:p>
  </w:footnote>
  <w:footnote w:type="continuationSeparator" w:id="0">
    <w:p w:rsidR="00674E7D" w:rsidRPr="00EB1E7D" w:rsidRDefault="00674E7D" w:rsidP="00EB1E7D">
      <w:pPr>
        <w:pStyle w:val="Footer"/>
        <w:spacing w:after="80"/>
        <w:ind w:left="792"/>
        <w:rPr>
          <w:sz w:val="16"/>
        </w:rPr>
      </w:pPr>
      <w:r w:rsidRPr="00EB1E7D">
        <w:rPr>
          <w:sz w:val="16"/>
        </w:rPr>
        <w:t>__________________</w:t>
      </w:r>
    </w:p>
  </w:footnote>
  <w:footnote w:id="1">
    <w:p w:rsidR="00674E7D" w:rsidRPr="00EB1E7D" w:rsidRDefault="00674E7D" w:rsidP="00EB1E7D">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Pr>
          <w:lang w:val="fr-FR"/>
        </w:rPr>
        <w:t>On trouvera des</w:t>
      </w:r>
      <w:r w:rsidRPr="0088171B">
        <w:rPr>
          <w:lang w:val="fr-FR"/>
        </w:rPr>
        <w:t xml:space="preserve"> données </w:t>
      </w:r>
      <w:r>
        <w:rPr>
          <w:lang w:val="fr-FR"/>
        </w:rPr>
        <w:t>récentes</w:t>
      </w:r>
      <w:r w:rsidRPr="0088171B">
        <w:rPr>
          <w:lang w:val="fr-FR"/>
        </w:rPr>
        <w:t xml:space="preserve"> sur l</w:t>
      </w:r>
      <w:r>
        <w:rPr>
          <w:lang w:val="fr-FR"/>
        </w:rPr>
        <w:t>’</w:t>
      </w:r>
      <w:r w:rsidRPr="0088171B">
        <w:rPr>
          <w:lang w:val="fr-FR"/>
        </w:rPr>
        <w:t>application des résolutions de la CEE dans le document ECE/TRANS/SC.3/2015/14.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74E7D" w:rsidTr="00386DD9">
      <w:trPr>
        <w:trHeight w:hRule="exact" w:val="864"/>
        <w:jc w:val="center"/>
      </w:trPr>
      <w:tc>
        <w:tcPr>
          <w:tcW w:w="4882" w:type="dxa"/>
          <w:shd w:val="clear" w:color="auto" w:fill="auto"/>
          <w:vAlign w:val="bottom"/>
        </w:tcPr>
        <w:p w:rsidR="00674E7D" w:rsidRPr="00386DD9" w:rsidRDefault="00674E7D" w:rsidP="00386DD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5C9A">
            <w:rPr>
              <w:b/>
              <w:color w:val="000000"/>
            </w:rPr>
            <w:t>ECE/TRANS/2016/21</w:t>
          </w:r>
          <w:r>
            <w:rPr>
              <w:b/>
              <w:color w:val="000000"/>
            </w:rPr>
            <w:fldChar w:fldCharType="end"/>
          </w:r>
        </w:p>
      </w:tc>
      <w:tc>
        <w:tcPr>
          <w:tcW w:w="5127" w:type="dxa"/>
          <w:shd w:val="clear" w:color="auto" w:fill="auto"/>
          <w:vAlign w:val="bottom"/>
        </w:tcPr>
        <w:p w:rsidR="00674E7D" w:rsidRDefault="00674E7D" w:rsidP="00386DD9">
          <w:pPr>
            <w:pStyle w:val="Header"/>
          </w:pPr>
        </w:p>
      </w:tc>
    </w:tr>
  </w:tbl>
  <w:p w:rsidR="00674E7D" w:rsidRPr="00386DD9" w:rsidRDefault="00674E7D" w:rsidP="00386DD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74E7D" w:rsidTr="00386DD9">
      <w:trPr>
        <w:trHeight w:hRule="exact" w:val="864"/>
        <w:jc w:val="center"/>
      </w:trPr>
      <w:tc>
        <w:tcPr>
          <w:tcW w:w="4882" w:type="dxa"/>
          <w:shd w:val="clear" w:color="auto" w:fill="auto"/>
          <w:vAlign w:val="bottom"/>
        </w:tcPr>
        <w:p w:rsidR="00674E7D" w:rsidRDefault="00674E7D" w:rsidP="00386DD9">
          <w:pPr>
            <w:pStyle w:val="Header"/>
          </w:pPr>
        </w:p>
      </w:tc>
      <w:tc>
        <w:tcPr>
          <w:tcW w:w="5127" w:type="dxa"/>
          <w:shd w:val="clear" w:color="auto" w:fill="auto"/>
          <w:vAlign w:val="bottom"/>
        </w:tcPr>
        <w:p w:rsidR="00674E7D" w:rsidRPr="00386DD9" w:rsidRDefault="00674E7D" w:rsidP="00386DD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E5C9A">
            <w:rPr>
              <w:b/>
              <w:color w:val="000000"/>
            </w:rPr>
            <w:t>ECE/TRANS/2016/21</w:t>
          </w:r>
          <w:r>
            <w:rPr>
              <w:b/>
              <w:color w:val="000000"/>
            </w:rPr>
            <w:fldChar w:fldCharType="end"/>
          </w:r>
        </w:p>
      </w:tc>
    </w:tr>
  </w:tbl>
  <w:p w:rsidR="00674E7D" w:rsidRPr="00386DD9" w:rsidRDefault="00674E7D" w:rsidP="00386DD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74E7D" w:rsidTr="00386DD9">
      <w:trPr>
        <w:trHeight w:hRule="exact" w:val="864"/>
      </w:trPr>
      <w:tc>
        <w:tcPr>
          <w:tcW w:w="1267" w:type="dxa"/>
          <w:tcBorders>
            <w:bottom w:val="single" w:sz="4" w:space="0" w:color="auto"/>
          </w:tcBorders>
          <w:shd w:val="clear" w:color="auto" w:fill="auto"/>
          <w:vAlign w:val="bottom"/>
        </w:tcPr>
        <w:p w:rsidR="00674E7D" w:rsidRDefault="00674E7D" w:rsidP="00386DD9">
          <w:pPr>
            <w:pStyle w:val="Header"/>
            <w:spacing w:after="120"/>
          </w:pPr>
        </w:p>
      </w:tc>
      <w:tc>
        <w:tcPr>
          <w:tcW w:w="2059" w:type="dxa"/>
          <w:tcBorders>
            <w:bottom w:val="single" w:sz="4" w:space="0" w:color="auto"/>
          </w:tcBorders>
          <w:shd w:val="clear" w:color="auto" w:fill="auto"/>
          <w:vAlign w:val="bottom"/>
        </w:tcPr>
        <w:p w:rsidR="00674E7D" w:rsidRPr="00386DD9" w:rsidRDefault="00674E7D" w:rsidP="00386DD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74E7D" w:rsidRDefault="00674E7D" w:rsidP="00386DD9">
          <w:pPr>
            <w:pStyle w:val="Header"/>
            <w:spacing w:after="120"/>
          </w:pPr>
        </w:p>
      </w:tc>
      <w:tc>
        <w:tcPr>
          <w:tcW w:w="6653" w:type="dxa"/>
          <w:gridSpan w:val="4"/>
          <w:tcBorders>
            <w:bottom w:val="single" w:sz="4" w:space="0" w:color="auto"/>
          </w:tcBorders>
          <w:shd w:val="clear" w:color="auto" w:fill="auto"/>
          <w:vAlign w:val="bottom"/>
        </w:tcPr>
        <w:p w:rsidR="00674E7D" w:rsidRPr="00386DD9" w:rsidRDefault="00674E7D" w:rsidP="00386DD9">
          <w:pPr>
            <w:spacing w:after="80" w:line="240" w:lineRule="auto"/>
            <w:jc w:val="right"/>
            <w:rPr>
              <w:position w:val="-4"/>
            </w:rPr>
          </w:pPr>
          <w:r>
            <w:rPr>
              <w:position w:val="-4"/>
              <w:sz w:val="40"/>
            </w:rPr>
            <w:t>ECE</w:t>
          </w:r>
          <w:r>
            <w:rPr>
              <w:position w:val="-4"/>
            </w:rPr>
            <w:t>/TRANS/2016/21</w:t>
          </w:r>
        </w:p>
      </w:tc>
    </w:tr>
    <w:tr w:rsidR="00674E7D" w:rsidRPr="00386DD9" w:rsidTr="00386DD9">
      <w:trPr>
        <w:gridAfter w:val="1"/>
        <w:wAfter w:w="18" w:type="dxa"/>
        <w:trHeight w:hRule="exact" w:val="2880"/>
      </w:trPr>
      <w:tc>
        <w:tcPr>
          <w:tcW w:w="1267" w:type="dxa"/>
          <w:tcBorders>
            <w:top w:val="single" w:sz="4" w:space="0" w:color="auto"/>
            <w:bottom w:val="single" w:sz="12" w:space="0" w:color="auto"/>
          </w:tcBorders>
          <w:shd w:val="clear" w:color="auto" w:fill="auto"/>
        </w:tcPr>
        <w:p w:rsidR="00674E7D" w:rsidRPr="00386DD9" w:rsidRDefault="00674E7D" w:rsidP="00C136B1">
          <w:pPr>
            <w:pStyle w:val="Header"/>
            <w:spacing w:before="120" w:line="240" w:lineRule="auto"/>
            <w:ind w:left="-72"/>
            <w:jc w:val="center"/>
          </w:pPr>
          <w:r>
            <w:rPr>
              <w:noProof/>
            </w:rPr>
            <w:drawing>
              <wp:inline distT="0" distB="0" distL="0" distR="0" wp14:anchorId="5B913AD9" wp14:editId="6D8B8FB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74E7D" w:rsidRPr="00386DD9" w:rsidRDefault="00674E7D" w:rsidP="00386DD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674E7D" w:rsidRPr="00386DD9" w:rsidRDefault="00674E7D" w:rsidP="00386DD9">
          <w:pPr>
            <w:pStyle w:val="Header"/>
            <w:spacing w:before="109"/>
          </w:pPr>
        </w:p>
      </w:tc>
      <w:tc>
        <w:tcPr>
          <w:tcW w:w="3280" w:type="dxa"/>
          <w:tcBorders>
            <w:top w:val="single" w:sz="4" w:space="0" w:color="auto"/>
            <w:bottom w:val="single" w:sz="12" w:space="0" w:color="auto"/>
          </w:tcBorders>
          <w:shd w:val="clear" w:color="auto" w:fill="auto"/>
        </w:tcPr>
        <w:p w:rsidR="00674E7D" w:rsidRPr="00CF3C8A" w:rsidRDefault="00674E7D" w:rsidP="00386DD9">
          <w:pPr>
            <w:pStyle w:val="Distribution"/>
            <w:rPr>
              <w:color w:val="000000"/>
              <w:lang w:val="fr-CH"/>
            </w:rPr>
          </w:pPr>
          <w:r w:rsidRPr="00CF3C8A">
            <w:rPr>
              <w:color w:val="000000"/>
              <w:lang w:val="fr-CH"/>
            </w:rPr>
            <w:t>Distr. générale</w:t>
          </w:r>
        </w:p>
        <w:p w:rsidR="00674E7D" w:rsidRPr="00CF3C8A" w:rsidRDefault="00674E7D" w:rsidP="00386DD9">
          <w:pPr>
            <w:pStyle w:val="Publication"/>
            <w:rPr>
              <w:color w:val="000000"/>
              <w:lang w:val="fr-CH"/>
            </w:rPr>
          </w:pPr>
          <w:r w:rsidRPr="00CF3C8A">
            <w:rPr>
              <w:color w:val="000000"/>
              <w:lang w:val="fr-CH"/>
            </w:rPr>
            <w:t>15 décembre 2015</w:t>
          </w:r>
        </w:p>
        <w:p w:rsidR="00674E7D" w:rsidRPr="00CF3C8A" w:rsidRDefault="00674E7D" w:rsidP="00386DD9">
          <w:pPr>
            <w:rPr>
              <w:lang w:val="fr-CH"/>
            </w:rPr>
          </w:pPr>
          <w:r w:rsidRPr="00CF3C8A">
            <w:rPr>
              <w:lang w:val="fr-CH"/>
            </w:rPr>
            <w:t>Français</w:t>
          </w:r>
        </w:p>
        <w:p w:rsidR="00674E7D" w:rsidRPr="00CF3C8A" w:rsidRDefault="00674E7D" w:rsidP="00386DD9">
          <w:pPr>
            <w:pStyle w:val="Original"/>
            <w:rPr>
              <w:color w:val="000000"/>
              <w:lang w:val="fr-CH"/>
            </w:rPr>
          </w:pPr>
          <w:r w:rsidRPr="00CF3C8A">
            <w:rPr>
              <w:color w:val="000000"/>
              <w:lang w:val="fr-CH"/>
            </w:rPr>
            <w:t>Original : anglais</w:t>
          </w:r>
        </w:p>
      </w:tc>
    </w:tr>
  </w:tbl>
  <w:p w:rsidR="00674E7D" w:rsidRPr="00CF3C8A" w:rsidRDefault="00674E7D" w:rsidP="00386DD9">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23"/>
    <w:multiLevelType w:val="singleLevel"/>
    <w:tmpl w:val="78D633A6"/>
    <w:lvl w:ilvl="0">
      <w:start w:val="1"/>
      <w:numFmt w:val="decimal"/>
      <w:lvlRestart w:val="0"/>
      <w:lvlText w:val="%1."/>
      <w:lvlJc w:val="left"/>
      <w:pPr>
        <w:tabs>
          <w:tab w:val="num" w:pos="475"/>
        </w:tabs>
        <w:ind w:left="0" w:firstLine="0"/>
      </w:pPr>
      <w:rPr>
        <w:w w:val="10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6C97A39"/>
    <w:multiLevelType w:val="hybridMultilevel"/>
    <w:tmpl w:val="72B2B34C"/>
    <w:lvl w:ilvl="0" w:tplc="BD980A98">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804C9"/>
    <w:multiLevelType w:val="hybridMultilevel"/>
    <w:tmpl w:val="7AE06AD6"/>
    <w:lvl w:ilvl="0" w:tplc="7D6CFED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51114"/>
    <w:multiLevelType w:val="multilevel"/>
    <w:tmpl w:val="72B2B34C"/>
    <w:lvl w:ilvl="0">
      <w:start w:val="1"/>
      <w:numFmt w:val="bullet"/>
      <w:lvlText w:val=""/>
      <w:lvlJc w:val="left"/>
      <w:pPr>
        <w:ind w:left="454"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CE058DA"/>
    <w:multiLevelType w:val="hybridMultilevel"/>
    <w:tmpl w:val="EA1482D4"/>
    <w:lvl w:ilvl="0" w:tplc="ADECBAEA">
      <w:start w:val="1"/>
      <w:numFmt w:val="bullet"/>
      <w:lvlText w:val="•"/>
      <w:lvlJc w:val="left"/>
      <w:pPr>
        <w:tabs>
          <w:tab w:val="num" w:pos="737"/>
        </w:tabs>
        <w:ind w:left="737"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570E90"/>
    <w:multiLevelType w:val="singleLevel"/>
    <w:tmpl w:val="78D633A6"/>
    <w:lvl w:ilvl="0">
      <w:start w:val="1"/>
      <w:numFmt w:val="decimal"/>
      <w:lvlRestart w:val="0"/>
      <w:lvlText w:val="%1."/>
      <w:lvlJc w:val="left"/>
      <w:pPr>
        <w:tabs>
          <w:tab w:val="num" w:pos="475"/>
        </w:tabs>
        <w:ind w:left="0" w:firstLine="0"/>
      </w:pPr>
      <w:rPr>
        <w:w w:val="100"/>
      </w:rPr>
    </w:lvl>
  </w:abstractNum>
  <w:abstractNum w:abstractNumId="10">
    <w:nsid w:val="41E70670"/>
    <w:multiLevelType w:val="hybridMultilevel"/>
    <w:tmpl w:val="5D7E002A"/>
    <w:lvl w:ilvl="0" w:tplc="6AAEF482">
      <w:start w:val="1"/>
      <w:numFmt w:val="bullet"/>
      <w:lvlText w:val=""/>
      <w:lvlJc w:val="left"/>
      <w:pPr>
        <w:ind w:left="90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D239A"/>
    <w:multiLevelType w:val="hybridMultilevel"/>
    <w:tmpl w:val="FC6695A4"/>
    <w:lvl w:ilvl="0" w:tplc="6AAEF482">
      <w:start w:val="1"/>
      <w:numFmt w:val="bullet"/>
      <w:lvlText w:val=""/>
      <w:lvlJc w:val="left"/>
      <w:pPr>
        <w:ind w:left="90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F2D0A"/>
    <w:multiLevelType w:val="hybridMultilevel"/>
    <w:tmpl w:val="13286632"/>
    <w:lvl w:ilvl="0" w:tplc="6AAEF482">
      <w:start w:val="1"/>
      <w:numFmt w:val="bullet"/>
      <w:lvlText w:val=""/>
      <w:lvlJc w:val="left"/>
      <w:pPr>
        <w:ind w:left="90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7270B"/>
    <w:multiLevelType w:val="hybridMultilevel"/>
    <w:tmpl w:val="1220C096"/>
    <w:lvl w:ilvl="0" w:tplc="5E8ED356">
      <w:start w:val="1"/>
      <w:numFmt w:val="bullet"/>
      <w:lvlText w:val=""/>
      <w:lvlJc w:val="left"/>
      <w:pPr>
        <w:ind w:left="68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12"/>
  </w:num>
  <w:num w:numId="5">
    <w:abstractNumId w:val="1"/>
  </w:num>
  <w:num w:numId="6">
    <w:abstractNumId w:val="15"/>
  </w:num>
  <w:num w:numId="7">
    <w:abstractNumId w:val="8"/>
  </w:num>
  <w:num w:numId="8">
    <w:abstractNumId w:val="10"/>
  </w:num>
  <w:num w:numId="9">
    <w:abstractNumId w:val="13"/>
  </w:num>
  <w:num w:numId="10">
    <w:abstractNumId w:val="11"/>
  </w:num>
  <w:num w:numId="11">
    <w:abstractNumId w:val="2"/>
  </w:num>
  <w:num w:numId="12">
    <w:abstractNumId w:val="7"/>
  </w:num>
  <w:num w:numId="13">
    <w:abstractNumId w:val="14"/>
  </w:num>
  <w:num w:numId="14">
    <w:abstractNumId w:val="9"/>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hyphenationZone w:val="425"/>
  <w:doNotHyphenateCaps/>
  <w:evenAndOddHeaders/>
  <w:characterSpacingControl w:val="doNotCompress"/>
  <w:hdrShapeDefaults>
    <o:shapedefaults v:ext="edit" spidmax="1843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40*"/>
    <w:docVar w:name="CreationDt" w:val="2/2/2016 12:26 PM"/>
    <w:docVar w:name="DocCategory" w:val="Doc"/>
    <w:docVar w:name="DocType" w:val="Final"/>
    <w:docVar w:name="DutyStation" w:val="Geneva"/>
    <w:docVar w:name="FooterJN" w:val="GE.15-22140"/>
    <w:docVar w:name="jobn" w:val="GE.15-22140 (F)"/>
    <w:docVar w:name="jobnDT" w:val="GE.15-22140 (F)   020216"/>
    <w:docVar w:name="jobnDTDT" w:val="GE.15-22140 (F)   020216   020216"/>
    <w:docVar w:name="JobNo" w:val="GE.1522140F"/>
    <w:docVar w:name="JobNo2" w:val="GE.1528551F"/>
    <w:docVar w:name="LocalDrive" w:val="0"/>
    <w:docVar w:name="OandT" w:val="M. Deschamps"/>
    <w:docVar w:name="PaperSize" w:val="A4"/>
    <w:docVar w:name="sss1" w:val="ECE/TRANS/2016/21"/>
    <w:docVar w:name="sss2" w:val="-"/>
    <w:docVar w:name="Symbol1" w:val="ECE/TRANS/2016/21"/>
    <w:docVar w:name="Symbol2" w:val="-"/>
  </w:docVars>
  <w:rsids>
    <w:rsidRoot w:val="001243C4"/>
    <w:rsid w:val="000015B8"/>
    <w:rsid w:val="000046A5"/>
    <w:rsid w:val="000055FB"/>
    <w:rsid w:val="00010C97"/>
    <w:rsid w:val="00016483"/>
    <w:rsid w:val="00022173"/>
    <w:rsid w:val="0002226F"/>
    <w:rsid w:val="00022B4A"/>
    <w:rsid w:val="00023E37"/>
    <w:rsid w:val="000249FF"/>
    <w:rsid w:val="00025DE5"/>
    <w:rsid w:val="000274C2"/>
    <w:rsid w:val="00030076"/>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5F85"/>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C6F9F"/>
    <w:rsid w:val="000D1B99"/>
    <w:rsid w:val="000D44E3"/>
    <w:rsid w:val="000D5D82"/>
    <w:rsid w:val="000D66AC"/>
    <w:rsid w:val="000D7ED4"/>
    <w:rsid w:val="000E1550"/>
    <w:rsid w:val="000E1ABE"/>
    <w:rsid w:val="000F04A8"/>
    <w:rsid w:val="000F1B8A"/>
    <w:rsid w:val="000F299A"/>
    <w:rsid w:val="000F36A0"/>
    <w:rsid w:val="000F4E65"/>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43C4"/>
    <w:rsid w:val="001256F6"/>
    <w:rsid w:val="001262BA"/>
    <w:rsid w:val="00126D57"/>
    <w:rsid w:val="00126FB2"/>
    <w:rsid w:val="00127266"/>
    <w:rsid w:val="0013186C"/>
    <w:rsid w:val="00131F49"/>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441"/>
    <w:rsid w:val="001639FC"/>
    <w:rsid w:val="00163D26"/>
    <w:rsid w:val="00164BB5"/>
    <w:rsid w:val="00166384"/>
    <w:rsid w:val="001709F1"/>
    <w:rsid w:val="00171126"/>
    <w:rsid w:val="001712F0"/>
    <w:rsid w:val="00177D83"/>
    <w:rsid w:val="00180387"/>
    <w:rsid w:val="001818CC"/>
    <w:rsid w:val="00183EBF"/>
    <w:rsid w:val="00186793"/>
    <w:rsid w:val="0019082C"/>
    <w:rsid w:val="00192D05"/>
    <w:rsid w:val="00193A8C"/>
    <w:rsid w:val="00196FFE"/>
    <w:rsid w:val="001A2E2D"/>
    <w:rsid w:val="001A4BAA"/>
    <w:rsid w:val="001A4F4E"/>
    <w:rsid w:val="001A5D31"/>
    <w:rsid w:val="001A76F3"/>
    <w:rsid w:val="001B2AE3"/>
    <w:rsid w:val="001B5583"/>
    <w:rsid w:val="001B5A24"/>
    <w:rsid w:val="001C0599"/>
    <w:rsid w:val="001C3C57"/>
    <w:rsid w:val="001C4664"/>
    <w:rsid w:val="001C4EBE"/>
    <w:rsid w:val="001C5B90"/>
    <w:rsid w:val="001C6040"/>
    <w:rsid w:val="001D0E60"/>
    <w:rsid w:val="001D272D"/>
    <w:rsid w:val="001D280C"/>
    <w:rsid w:val="001D294E"/>
    <w:rsid w:val="001D2D00"/>
    <w:rsid w:val="001D688B"/>
    <w:rsid w:val="001E2D50"/>
    <w:rsid w:val="001E44F3"/>
    <w:rsid w:val="001F053A"/>
    <w:rsid w:val="001F2DA6"/>
    <w:rsid w:val="001F43AA"/>
    <w:rsid w:val="001F4DBE"/>
    <w:rsid w:val="001F5E92"/>
    <w:rsid w:val="001F62AF"/>
    <w:rsid w:val="001F62BB"/>
    <w:rsid w:val="001F793D"/>
    <w:rsid w:val="001F7E9D"/>
    <w:rsid w:val="002021E9"/>
    <w:rsid w:val="00202789"/>
    <w:rsid w:val="00202F1F"/>
    <w:rsid w:val="00204F72"/>
    <w:rsid w:val="00205199"/>
    <w:rsid w:val="0020521E"/>
    <w:rsid w:val="00206598"/>
    <w:rsid w:val="00207655"/>
    <w:rsid w:val="00207762"/>
    <w:rsid w:val="00207CAA"/>
    <w:rsid w:val="00207F6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57D94"/>
    <w:rsid w:val="002609E8"/>
    <w:rsid w:val="00261B13"/>
    <w:rsid w:val="00261E82"/>
    <w:rsid w:val="0026332C"/>
    <w:rsid w:val="0026552F"/>
    <w:rsid w:val="0026565F"/>
    <w:rsid w:val="00266AFD"/>
    <w:rsid w:val="00270780"/>
    <w:rsid w:val="002730C7"/>
    <w:rsid w:val="0027435B"/>
    <w:rsid w:val="00275778"/>
    <w:rsid w:val="00276E85"/>
    <w:rsid w:val="00280143"/>
    <w:rsid w:val="00280E2F"/>
    <w:rsid w:val="002810F0"/>
    <w:rsid w:val="00281BC7"/>
    <w:rsid w:val="0028264B"/>
    <w:rsid w:val="00285DC4"/>
    <w:rsid w:val="00286531"/>
    <w:rsid w:val="002867C7"/>
    <w:rsid w:val="0029018C"/>
    <w:rsid w:val="002A07EF"/>
    <w:rsid w:val="002A2122"/>
    <w:rsid w:val="002A27E5"/>
    <w:rsid w:val="002A530D"/>
    <w:rsid w:val="002A69DB"/>
    <w:rsid w:val="002A7EB8"/>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07D1"/>
    <w:rsid w:val="00303A3C"/>
    <w:rsid w:val="00303D82"/>
    <w:rsid w:val="00303E4E"/>
    <w:rsid w:val="003047D2"/>
    <w:rsid w:val="00306DE1"/>
    <w:rsid w:val="0030788D"/>
    <w:rsid w:val="00313F0B"/>
    <w:rsid w:val="00316628"/>
    <w:rsid w:val="00316B58"/>
    <w:rsid w:val="003235C7"/>
    <w:rsid w:val="0032514B"/>
    <w:rsid w:val="00326270"/>
    <w:rsid w:val="0032685C"/>
    <w:rsid w:val="0032728E"/>
    <w:rsid w:val="00332A87"/>
    <w:rsid w:val="003332F2"/>
    <w:rsid w:val="00333703"/>
    <w:rsid w:val="003342DF"/>
    <w:rsid w:val="00334FEB"/>
    <w:rsid w:val="00337015"/>
    <w:rsid w:val="003376CE"/>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3C37"/>
    <w:rsid w:val="003640A0"/>
    <w:rsid w:val="0036496B"/>
    <w:rsid w:val="00365932"/>
    <w:rsid w:val="0036655D"/>
    <w:rsid w:val="003738C0"/>
    <w:rsid w:val="003810FF"/>
    <w:rsid w:val="003824F9"/>
    <w:rsid w:val="00384511"/>
    <w:rsid w:val="00385D78"/>
    <w:rsid w:val="003864EE"/>
    <w:rsid w:val="00386953"/>
    <w:rsid w:val="00386DD9"/>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79C"/>
    <w:rsid w:val="004C1A6A"/>
    <w:rsid w:val="004C304C"/>
    <w:rsid w:val="004C38FF"/>
    <w:rsid w:val="004C5C41"/>
    <w:rsid w:val="004D13C8"/>
    <w:rsid w:val="004D4F44"/>
    <w:rsid w:val="004D5D20"/>
    <w:rsid w:val="004D6212"/>
    <w:rsid w:val="004D789D"/>
    <w:rsid w:val="004E0FB8"/>
    <w:rsid w:val="004E257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2E1B"/>
    <w:rsid w:val="00523069"/>
    <w:rsid w:val="00523378"/>
    <w:rsid w:val="0052413A"/>
    <w:rsid w:val="00525A3D"/>
    <w:rsid w:val="00527615"/>
    <w:rsid w:val="00527DD0"/>
    <w:rsid w:val="005329DB"/>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9BF"/>
    <w:rsid w:val="00590A88"/>
    <w:rsid w:val="00591AA0"/>
    <w:rsid w:val="0059357F"/>
    <w:rsid w:val="00593781"/>
    <w:rsid w:val="00594AE2"/>
    <w:rsid w:val="005958B3"/>
    <w:rsid w:val="00596647"/>
    <w:rsid w:val="00597A85"/>
    <w:rsid w:val="00597D2D"/>
    <w:rsid w:val="005A037D"/>
    <w:rsid w:val="005A0DEC"/>
    <w:rsid w:val="005A1E12"/>
    <w:rsid w:val="005A305D"/>
    <w:rsid w:val="005A626C"/>
    <w:rsid w:val="005A6A6E"/>
    <w:rsid w:val="005A6D92"/>
    <w:rsid w:val="005A6DD6"/>
    <w:rsid w:val="005A7976"/>
    <w:rsid w:val="005B317C"/>
    <w:rsid w:val="005B33A4"/>
    <w:rsid w:val="005B3C4C"/>
    <w:rsid w:val="005B4D33"/>
    <w:rsid w:val="005B5D99"/>
    <w:rsid w:val="005B6F27"/>
    <w:rsid w:val="005B74B8"/>
    <w:rsid w:val="005B7595"/>
    <w:rsid w:val="005C1353"/>
    <w:rsid w:val="005C1587"/>
    <w:rsid w:val="005C3A63"/>
    <w:rsid w:val="005C608A"/>
    <w:rsid w:val="005C65C2"/>
    <w:rsid w:val="005C765D"/>
    <w:rsid w:val="005C7B4D"/>
    <w:rsid w:val="005D7CA9"/>
    <w:rsid w:val="005E0F5F"/>
    <w:rsid w:val="005E10EB"/>
    <w:rsid w:val="005E350D"/>
    <w:rsid w:val="005E5C9A"/>
    <w:rsid w:val="005F12E0"/>
    <w:rsid w:val="005F1A0B"/>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519"/>
    <w:rsid w:val="00611860"/>
    <w:rsid w:val="00611DA0"/>
    <w:rsid w:val="00612407"/>
    <w:rsid w:val="006125AC"/>
    <w:rsid w:val="00615631"/>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D59"/>
    <w:rsid w:val="00646F60"/>
    <w:rsid w:val="0064762B"/>
    <w:rsid w:val="00650623"/>
    <w:rsid w:val="0065129E"/>
    <w:rsid w:val="006512C8"/>
    <w:rsid w:val="006512D3"/>
    <w:rsid w:val="00652FBF"/>
    <w:rsid w:val="00653CD3"/>
    <w:rsid w:val="00656E62"/>
    <w:rsid w:val="006573FC"/>
    <w:rsid w:val="00660C2D"/>
    <w:rsid w:val="00660D00"/>
    <w:rsid w:val="00662160"/>
    <w:rsid w:val="00662686"/>
    <w:rsid w:val="00665605"/>
    <w:rsid w:val="00665692"/>
    <w:rsid w:val="006660B5"/>
    <w:rsid w:val="00671687"/>
    <w:rsid w:val="00673F2C"/>
    <w:rsid w:val="00674E7D"/>
    <w:rsid w:val="00675A53"/>
    <w:rsid w:val="006770E8"/>
    <w:rsid w:val="006803F5"/>
    <w:rsid w:val="006817AB"/>
    <w:rsid w:val="00683C7E"/>
    <w:rsid w:val="006853D8"/>
    <w:rsid w:val="006866E8"/>
    <w:rsid w:val="00687FB1"/>
    <w:rsid w:val="00695C6C"/>
    <w:rsid w:val="0069608C"/>
    <w:rsid w:val="00697952"/>
    <w:rsid w:val="006A04E6"/>
    <w:rsid w:val="006A0B3D"/>
    <w:rsid w:val="006A2F71"/>
    <w:rsid w:val="006A5910"/>
    <w:rsid w:val="006B16EE"/>
    <w:rsid w:val="006B1ABC"/>
    <w:rsid w:val="006B2934"/>
    <w:rsid w:val="006B2CC8"/>
    <w:rsid w:val="006B4639"/>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7E"/>
    <w:rsid w:val="00707DF8"/>
    <w:rsid w:val="00711F00"/>
    <w:rsid w:val="0071328D"/>
    <w:rsid w:val="0071462F"/>
    <w:rsid w:val="00716186"/>
    <w:rsid w:val="00717865"/>
    <w:rsid w:val="00721866"/>
    <w:rsid w:val="0072327C"/>
    <w:rsid w:val="0072436A"/>
    <w:rsid w:val="007264D6"/>
    <w:rsid w:val="0073247F"/>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0B1"/>
    <w:rsid w:val="00764732"/>
    <w:rsid w:val="00765152"/>
    <w:rsid w:val="00766635"/>
    <w:rsid w:val="00767FBE"/>
    <w:rsid w:val="00770DEF"/>
    <w:rsid w:val="00770EB4"/>
    <w:rsid w:val="00772106"/>
    <w:rsid w:val="0077228A"/>
    <w:rsid w:val="00772CF6"/>
    <w:rsid w:val="00772EB1"/>
    <w:rsid w:val="00774368"/>
    <w:rsid w:val="0077589C"/>
    <w:rsid w:val="00775BFD"/>
    <w:rsid w:val="007769D2"/>
    <w:rsid w:val="00777CE6"/>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B5616"/>
    <w:rsid w:val="007C0C1F"/>
    <w:rsid w:val="007C1F58"/>
    <w:rsid w:val="007C206E"/>
    <w:rsid w:val="007C2936"/>
    <w:rsid w:val="007C4A36"/>
    <w:rsid w:val="007C662A"/>
    <w:rsid w:val="007C7D7F"/>
    <w:rsid w:val="007D06BD"/>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4EAC"/>
    <w:rsid w:val="00806A3B"/>
    <w:rsid w:val="00807CA4"/>
    <w:rsid w:val="008100FD"/>
    <w:rsid w:val="008114C3"/>
    <w:rsid w:val="00814C2A"/>
    <w:rsid w:val="00816ECE"/>
    <w:rsid w:val="008173CF"/>
    <w:rsid w:val="00817884"/>
    <w:rsid w:val="0082537E"/>
    <w:rsid w:val="00825C31"/>
    <w:rsid w:val="00831BD0"/>
    <w:rsid w:val="00833A79"/>
    <w:rsid w:val="00833BFF"/>
    <w:rsid w:val="00835CCF"/>
    <w:rsid w:val="0083677A"/>
    <w:rsid w:val="00837284"/>
    <w:rsid w:val="0083731D"/>
    <w:rsid w:val="00837549"/>
    <w:rsid w:val="0084084E"/>
    <w:rsid w:val="00840BC5"/>
    <w:rsid w:val="008415FE"/>
    <w:rsid w:val="00842319"/>
    <w:rsid w:val="008435C2"/>
    <w:rsid w:val="00844B5C"/>
    <w:rsid w:val="00845C9F"/>
    <w:rsid w:val="00846431"/>
    <w:rsid w:val="00850A6F"/>
    <w:rsid w:val="00851353"/>
    <w:rsid w:val="008555BA"/>
    <w:rsid w:val="00856155"/>
    <w:rsid w:val="008568B1"/>
    <w:rsid w:val="00856CD0"/>
    <w:rsid w:val="008579A6"/>
    <w:rsid w:val="00860226"/>
    <w:rsid w:val="00861D7A"/>
    <w:rsid w:val="00862E29"/>
    <w:rsid w:val="00863E44"/>
    <w:rsid w:val="0086499F"/>
    <w:rsid w:val="00865A5F"/>
    <w:rsid w:val="00867D33"/>
    <w:rsid w:val="00867F04"/>
    <w:rsid w:val="008703DB"/>
    <w:rsid w:val="008710A1"/>
    <w:rsid w:val="008737A9"/>
    <w:rsid w:val="0087489F"/>
    <w:rsid w:val="00875E49"/>
    <w:rsid w:val="0088158E"/>
    <w:rsid w:val="0088258D"/>
    <w:rsid w:val="008829F3"/>
    <w:rsid w:val="00882D4B"/>
    <w:rsid w:val="0088502C"/>
    <w:rsid w:val="00887256"/>
    <w:rsid w:val="00890BEA"/>
    <w:rsid w:val="00890EF0"/>
    <w:rsid w:val="0089184F"/>
    <w:rsid w:val="00891ADA"/>
    <w:rsid w:val="00892FDB"/>
    <w:rsid w:val="008962D4"/>
    <w:rsid w:val="008A3ABC"/>
    <w:rsid w:val="008A4C0E"/>
    <w:rsid w:val="008A5334"/>
    <w:rsid w:val="008A630B"/>
    <w:rsid w:val="008A734B"/>
    <w:rsid w:val="008B24ED"/>
    <w:rsid w:val="008B5932"/>
    <w:rsid w:val="008B6D9E"/>
    <w:rsid w:val="008C1225"/>
    <w:rsid w:val="008C1646"/>
    <w:rsid w:val="008C189A"/>
    <w:rsid w:val="008C1E51"/>
    <w:rsid w:val="008C2C0E"/>
    <w:rsid w:val="008C2FC0"/>
    <w:rsid w:val="008C5E6B"/>
    <w:rsid w:val="008C6672"/>
    <w:rsid w:val="008D2DCF"/>
    <w:rsid w:val="008D3043"/>
    <w:rsid w:val="008D3318"/>
    <w:rsid w:val="008D4C00"/>
    <w:rsid w:val="008D52CD"/>
    <w:rsid w:val="008D542C"/>
    <w:rsid w:val="008D5928"/>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0CD7"/>
    <w:rsid w:val="0090311E"/>
    <w:rsid w:val="0090438E"/>
    <w:rsid w:val="00905F5B"/>
    <w:rsid w:val="00906110"/>
    <w:rsid w:val="0090704E"/>
    <w:rsid w:val="0091108F"/>
    <w:rsid w:val="009133F5"/>
    <w:rsid w:val="00914786"/>
    <w:rsid w:val="00915680"/>
    <w:rsid w:val="00915FB9"/>
    <w:rsid w:val="0091610E"/>
    <w:rsid w:val="00916373"/>
    <w:rsid w:val="00916548"/>
    <w:rsid w:val="00916A77"/>
    <w:rsid w:val="00921BE8"/>
    <w:rsid w:val="00922E3D"/>
    <w:rsid w:val="00926D85"/>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0E62"/>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2518"/>
    <w:rsid w:val="009C3337"/>
    <w:rsid w:val="009C5249"/>
    <w:rsid w:val="009C70D0"/>
    <w:rsid w:val="009C7F1B"/>
    <w:rsid w:val="009D5A2E"/>
    <w:rsid w:val="009D702B"/>
    <w:rsid w:val="009E0573"/>
    <w:rsid w:val="009E06DE"/>
    <w:rsid w:val="009E09FA"/>
    <w:rsid w:val="009E246F"/>
    <w:rsid w:val="009E6877"/>
    <w:rsid w:val="009E76A1"/>
    <w:rsid w:val="009F004A"/>
    <w:rsid w:val="009F235E"/>
    <w:rsid w:val="009F29EB"/>
    <w:rsid w:val="009F2D3B"/>
    <w:rsid w:val="009F2D4A"/>
    <w:rsid w:val="009F3C78"/>
    <w:rsid w:val="009F5ACE"/>
    <w:rsid w:val="009F7FE9"/>
    <w:rsid w:val="00A00A92"/>
    <w:rsid w:val="00A02426"/>
    <w:rsid w:val="00A0589C"/>
    <w:rsid w:val="00A06CAB"/>
    <w:rsid w:val="00A12A69"/>
    <w:rsid w:val="00A12DBB"/>
    <w:rsid w:val="00A150A7"/>
    <w:rsid w:val="00A151B8"/>
    <w:rsid w:val="00A157E7"/>
    <w:rsid w:val="00A210DD"/>
    <w:rsid w:val="00A211D2"/>
    <w:rsid w:val="00A21443"/>
    <w:rsid w:val="00A22ED0"/>
    <w:rsid w:val="00A23006"/>
    <w:rsid w:val="00A24099"/>
    <w:rsid w:val="00A264B0"/>
    <w:rsid w:val="00A2768E"/>
    <w:rsid w:val="00A31AA5"/>
    <w:rsid w:val="00A329BC"/>
    <w:rsid w:val="00A33E3C"/>
    <w:rsid w:val="00A3426E"/>
    <w:rsid w:val="00A353ED"/>
    <w:rsid w:val="00A375D9"/>
    <w:rsid w:val="00A37FBB"/>
    <w:rsid w:val="00A4236C"/>
    <w:rsid w:val="00A43CAC"/>
    <w:rsid w:val="00A45E20"/>
    <w:rsid w:val="00A46DB8"/>
    <w:rsid w:val="00A52DF2"/>
    <w:rsid w:val="00A546A6"/>
    <w:rsid w:val="00A54973"/>
    <w:rsid w:val="00A54A5E"/>
    <w:rsid w:val="00A54DB7"/>
    <w:rsid w:val="00A55810"/>
    <w:rsid w:val="00A56CDD"/>
    <w:rsid w:val="00A56E3B"/>
    <w:rsid w:val="00A57C5A"/>
    <w:rsid w:val="00A64AD2"/>
    <w:rsid w:val="00A72C1F"/>
    <w:rsid w:val="00A72F5E"/>
    <w:rsid w:val="00A74EDD"/>
    <w:rsid w:val="00A75482"/>
    <w:rsid w:val="00A75A3C"/>
    <w:rsid w:val="00A761B5"/>
    <w:rsid w:val="00A83E5E"/>
    <w:rsid w:val="00A84C12"/>
    <w:rsid w:val="00A85CA4"/>
    <w:rsid w:val="00A85D04"/>
    <w:rsid w:val="00A85DB4"/>
    <w:rsid w:val="00A86044"/>
    <w:rsid w:val="00A90002"/>
    <w:rsid w:val="00A917BF"/>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12D4"/>
    <w:rsid w:val="00AC625F"/>
    <w:rsid w:val="00AC67C3"/>
    <w:rsid w:val="00AC6CA3"/>
    <w:rsid w:val="00AC6DB5"/>
    <w:rsid w:val="00AD3D04"/>
    <w:rsid w:val="00AD4617"/>
    <w:rsid w:val="00AD500D"/>
    <w:rsid w:val="00AD7C27"/>
    <w:rsid w:val="00AE0DF0"/>
    <w:rsid w:val="00AE10E9"/>
    <w:rsid w:val="00AE11C7"/>
    <w:rsid w:val="00AE164F"/>
    <w:rsid w:val="00AE2D40"/>
    <w:rsid w:val="00AE73A1"/>
    <w:rsid w:val="00AE7F88"/>
    <w:rsid w:val="00AF2B95"/>
    <w:rsid w:val="00AF4648"/>
    <w:rsid w:val="00AF4DD3"/>
    <w:rsid w:val="00AF6B78"/>
    <w:rsid w:val="00B01631"/>
    <w:rsid w:val="00B01D80"/>
    <w:rsid w:val="00B05198"/>
    <w:rsid w:val="00B0544B"/>
    <w:rsid w:val="00B06C4C"/>
    <w:rsid w:val="00B078C6"/>
    <w:rsid w:val="00B10BF5"/>
    <w:rsid w:val="00B145B5"/>
    <w:rsid w:val="00B152AC"/>
    <w:rsid w:val="00B15E0A"/>
    <w:rsid w:val="00B16C8B"/>
    <w:rsid w:val="00B20969"/>
    <w:rsid w:val="00B22BE8"/>
    <w:rsid w:val="00B2331A"/>
    <w:rsid w:val="00B2356B"/>
    <w:rsid w:val="00B249F3"/>
    <w:rsid w:val="00B25B74"/>
    <w:rsid w:val="00B2677B"/>
    <w:rsid w:val="00B26B93"/>
    <w:rsid w:val="00B26C0B"/>
    <w:rsid w:val="00B27126"/>
    <w:rsid w:val="00B275B9"/>
    <w:rsid w:val="00B27CAC"/>
    <w:rsid w:val="00B32CDE"/>
    <w:rsid w:val="00B34479"/>
    <w:rsid w:val="00B34D72"/>
    <w:rsid w:val="00B362BE"/>
    <w:rsid w:val="00B363A2"/>
    <w:rsid w:val="00B37213"/>
    <w:rsid w:val="00B41711"/>
    <w:rsid w:val="00B44EB6"/>
    <w:rsid w:val="00B47F94"/>
    <w:rsid w:val="00B503F3"/>
    <w:rsid w:val="00B504C9"/>
    <w:rsid w:val="00B520BB"/>
    <w:rsid w:val="00B52A47"/>
    <w:rsid w:val="00B53FB4"/>
    <w:rsid w:val="00B541C6"/>
    <w:rsid w:val="00B556DD"/>
    <w:rsid w:val="00B5714A"/>
    <w:rsid w:val="00B5798F"/>
    <w:rsid w:val="00B57EB0"/>
    <w:rsid w:val="00B61107"/>
    <w:rsid w:val="00B61CB4"/>
    <w:rsid w:val="00B65DB9"/>
    <w:rsid w:val="00B66644"/>
    <w:rsid w:val="00B67333"/>
    <w:rsid w:val="00B67756"/>
    <w:rsid w:val="00B70DA9"/>
    <w:rsid w:val="00B712B0"/>
    <w:rsid w:val="00B71478"/>
    <w:rsid w:val="00B71802"/>
    <w:rsid w:val="00B7200B"/>
    <w:rsid w:val="00B750D9"/>
    <w:rsid w:val="00B76414"/>
    <w:rsid w:val="00B77EB8"/>
    <w:rsid w:val="00B81A2A"/>
    <w:rsid w:val="00B82E95"/>
    <w:rsid w:val="00B84109"/>
    <w:rsid w:val="00B8520F"/>
    <w:rsid w:val="00B85BDA"/>
    <w:rsid w:val="00B870D6"/>
    <w:rsid w:val="00B874A9"/>
    <w:rsid w:val="00B913B0"/>
    <w:rsid w:val="00B92EBD"/>
    <w:rsid w:val="00B932C8"/>
    <w:rsid w:val="00B93B31"/>
    <w:rsid w:val="00B9457F"/>
    <w:rsid w:val="00B965BF"/>
    <w:rsid w:val="00BA06B1"/>
    <w:rsid w:val="00BA1BFF"/>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6B1"/>
    <w:rsid w:val="00C13C81"/>
    <w:rsid w:val="00C14A5C"/>
    <w:rsid w:val="00C14B0A"/>
    <w:rsid w:val="00C21731"/>
    <w:rsid w:val="00C2216E"/>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3BDC"/>
    <w:rsid w:val="00C66382"/>
    <w:rsid w:val="00C67F09"/>
    <w:rsid w:val="00C72788"/>
    <w:rsid w:val="00C75F9C"/>
    <w:rsid w:val="00C76A5E"/>
    <w:rsid w:val="00C770FD"/>
    <w:rsid w:val="00C80604"/>
    <w:rsid w:val="00C865D9"/>
    <w:rsid w:val="00C87110"/>
    <w:rsid w:val="00C90813"/>
    <w:rsid w:val="00C90C2B"/>
    <w:rsid w:val="00C9371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6887"/>
    <w:rsid w:val="00CD4A8B"/>
    <w:rsid w:val="00CE1548"/>
    <w:rsid w:val="00CE3799"/>
    <w:rsid w:val="00CE4AA9"/>
    <w:rsid w:val="00CE5477"/>
    <w:rsid w:val="00CE7ADD"/>
    <w:rsid w:val="00CF39CA"/>
    <w:rsid w:val="00CF3C8A"/>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1690"/>
    <w:rsid w:val="00D320C3"/>
    <w:rsid w:val="00D32316"/>
    <w:rsid w:val="00D33B40"/>
    <w:rsid w:val="00D35146"/>
    <w:rsid w:val="00D3596F"/>
    <w:rsid w:val="00D40C6F"/>
    <w:rsid w:val="00D4209E"/>
    <w:rsid w:val="00D42F04"/>
    <w:rsid w:val="00D447E5"/>
    <w:rsid w:val="00D457D0"/>
    <w:rsid w:val="00D463A4"/>
    <w:rsid w:val="00D4699C"/>
    <w:rsid w:val="00D47877"/>
    <w:rsid w:val="00D513A1"/>
    <w:rsid w:val="00D57291"/>
    <w:rsid w:val="00D57D07"/>
    <w:rsid w:val="00D60FEA"/>
    <w:rsid w:val="00D618E7"/>
    <w:rsid w:val="00D619A2"/>
    <w:rsid w:val="00D6375A"/>
    <w:rsid w:val="00D641A3"/>
    <w:rsid w:val="00D64A77"/>
    <w:rsid w:val="00D66AB5"/>
    <w:rsid w:val="00D67265"/>
    <w:rsid w:val="00D676A0"/>
    <w:rsid w:val="00D70856"/>
    <w:rsid w:val="00D73117"/>
    <w:rsid w:val="00D73D86"/>
    <w:rsid w:val="00D8335C"/>
    <w:rsid w:val="00D84BFA"/>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5BA7"/>
    <w:rsid w:val="00E0753F"/>
    <w:rsid w:val="00E10BF1"/>
    <w:rsid w:val="00E11B5C"/>
    <w:rsid w:val="00E13E2B"/>
    <w:rsid w:val="00E2156A"/>
    <w:rsid w:val="00E222E3"/>
    <w:rsid w:val="00E22DB7"/>
    <w:rsid w:val="00E23C1B"/>
    <w:rsid w:val="00E24D2B"/>
    <w:rsid w:val="00E25DDC"/>
    <w:rsid w:val="00E345BF"/>
    <w:rsid w:val="00E34D59"/>
    <w:rsid w:val="00E35C78"/>
    <w:rsid w:val="00E405EA"/>
    <w:rsid w:val="00E40877"/>
    <w:rsid w:val="00E474F9"/>
    <w:rsid w:val="00E510D2"/>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399D"/>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1E7D"/>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3AF4"/>
    <w:rsid w:val="00F2622B"/>
    <w:rsid w:val="00F26369"/>
    <w:rsid w:val="00F3006C"/>
    <w:rsid w:val="00F31671"/>
    <w:rsid w:val="00F3240D"/>
    <w:rsid w:val="00F328DE"/>
    <w:rsid w:val="00F3330B"/>
    <w:rsid w:val="00F357CB"/>
    <w:rsid w:val="00F35CA0"/>
    <w:rsid w:val="00F36A57"/>
    <w:rsid w:val="00F4019F"/>
    <w:rsid w:val="00F405BB"/>
    <w:rsid w:val="00F40946"/>
    <w:rsid w:val="00F419ED"/>
    <w:rsid w:val="00F422F7"/>
    <w:rsid w:val="00F4328A"/>
    <w:rsid w:val="00F44706"/>
    <w:rsid w:val="00F44A91"/>
    <w:rsid w:val="00F45420"/>
    <w:rsid w:val="00F50784"/>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15FA"/>
    <w:rsid w:val="00F730A9"/>
    <w:rsid w:val="00F735FC"/>
    <w:rsid w:val="00F738D2"/>
    <w:rsid w:val="00F73A7C"/>
    <w:rsid w:val="00F75136"/>
    <w:rsid w:val="00F75F3B"/>
    <w:rsid w:val="00F76509"/>
    <w:rsid w:val="00F77CB4"/>
    <w:rsid w:val="00F830ED"/>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523B"/>
    <w:rsid w:val="00FC0446"/>
    <w:rsid w:val="00FC0F57"/>
    <w:rsid w:val="00FC1BC9"/>
    <w:rsid w:val="00FC4133"/>
    <w:rsid w:val="00FC41DA"/>
    <w:rsid w:val="00FC5C65"/>
    <w:rsid w:val="00FC75B8"/>
    <w:rsid w:val="00FC75D3"/>
    <w:rsid w:val="00FD08EE"/>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unhideWhenUsed/>
    <w:rsid w:val="00386DD9"/>
    <w:rPr>
      <w:sz w:val="16"/>
      <w:szCs w:val="16"/>
    </w:rPr>
  </w:style>
  <w:style w:type="paragraph" w:styleId="CommentText">
    <w:name w:val="annotation text"/>
    <w:basedOn w:val="Normal"/>
    <w:link w:val="CommentTextChar"/>
    <w:uiPriority w:val="99"/>
    <w:unhideWhenUsed/>
    <w:rsid w:val="00386DD9"/>
    <w:pPr>
      <w:spacing w:line="240" w:lineRule="auto"/>
    </w:pPr>
    <w:rPr>
      <w:szCs w:val="20"/>
    </w:rPr>
  </w:style>
  <w:style w:type="character" w:customStyle="1" w:styleId="CommentTextChar">
    <w:name w:val="Comment Text Char"/>
    <w:basedOn w:val="DefaultParagraphFont"/>
    <w:link w:val="CommentText"/>
    <w:uiPriority w:val="99"/>
    <w:rsid w:val="00386DD9"/>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386DD9"/>
    <w:rPr>
      <w:b/>
      <w:bCs/>
    </w:rPr>
  </w:style>
  <w:style w:type="character" w:customStyle="1" w:styleId="CommentSubjectChar">
    <w:name w:val="Comment Subject Char"/>
    <w:basedOn w:val="CommentTextChar"/>
    <w:link w:val="CommentSubject"/>
    <w:rsid w:val="00386DD9"/>
    <w:rPr>
      <w:rFonts w:ascii="Times New Roman" w:hAnsi="Times New Roman"/>
      <w:b/>
      <w:bCs/>
      <w:spacing w:val="4"/>
      <w:w w:val="103"/>
      <w:kern w:val="14"/>
      <w:lang w:val="fr-CA"/>
    </w:rPr>
  </w:style>
  <w:style w:type="table" w:styleId="TableGrid">
    <w:name w:val="Table Grid"/>
    <w:basedOn w:val="TableNormal"/>
    <w:uiPriority w:val="59"/>
    <w:rsid w:val="0036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36655D"/>
    <w:rPr>
      <w:rFonts w:ascii="Times New Roman" w:hAnsi="Times New Roman"/>
      <w:b/>
      <w:sz w:val="18"/>
    </w:rPr>
  </w:style>
  <w:style w:type="character" w:styleId="Hyperlink">
    <w:name w:val="Hyperlink"/>
    <w:semiHidden/>
    <w:rsid w:val="0036655D"/>
    <w:rPr>
      <w:color w:val="auto"/>
      <w:u w:val="none"/>
    </w:rPr>
  </w:style>
  <w:style w:type="character" w:styleId="FollowedHyperlink">
    <w:name w:val="FollowedHyperlink"/>
    <w:semiHidden/>
    <w:rsid w:val="0036655D"/>
    <w:rPr>
      <w:color w:val="auto"/>
      <w:u w:val="none"/>
    </w:rPr>
  </w:style>
  <w:style w:type="paragraph" w:styleId="Revision">
    <w:name w:val="Revision"/>
    <w:hidden/>
    <w:uiPriority w:val="99"/>
    <w:semiHidden/>
    <w:rsid w:val="0036655D"/>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unhideWhenUsed/>
    <w:rsid w:val="00386DD9"/>
    <w:rPr>
      <w:sz w:val="16"/>
      <w:szCs w:val="16"/>
    </w:rPr>
  </w:style>
  <w:style w:type="paragraph" w:styleId="CommentText">
    <w:name w:val="annotation text"/>
    <w:basedOn w:val="Normal"/>
    <w:link w:val="CommentTextChar"/>
    <w:uiPriority w:val="99"/>
    <w:unhideWhenUsed/>
    <w:rsid w:val="00386DD9"/>
    <w:pPr>
      <w:spacing w:line="240" w:lineRule="auto"/>
    </w:pPr>
    <w:rPr>
      <w:szCs w:val="20"/>
    </w:rPr>
  </w:style>
  <w:style w:type="character" w:customStyle="1" w:styleId="CommentTextChar">
    <w:name w:val="Comment Text Char"/>
    <w:basedOn w:val="DefaultParagraphFont"/>
    <w:link w:val="CommentText"/>
    <w:uiPriority w:val="99"/>
    <w:rsid w:val="00386DD9"/>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386DD9"/>
    <w:rPr>
      <w:b/>
      <w:bCs/>
    </w:rPr>
  </w:style>
  <w:style w:type="character" w:customStyle="1" w:styleId="CommentSubjectChar">
    <w:name w:val="Comment Subject Char"/>
    <w:basedOn w:val="CommentTextChar"/>
    <w:link w:val="CommentSubject"/>
    <w:rsid w:val="00386DD9"/>
    <w:rPr>
      <w:rFonts w:ascii="Times New Roman" w:hAnsi="Times New Roman"/>
      <w:b/>
      <w:bCs/>
      <w:spacing w:val="4"/>
      <w:w w:val="103"/>
      <w:kern w:val="14"/>
      <w:lang w:val="fr-CA"/>
    </w:rPr>
  </w:style>
  <w:style w:type="table" w:styleId="TableGrid">
    <w:name w:val="Table Grid"/>
    <w:basedOn w:val="TableNormal"/>
    <w:uiPriority w:val="59"/>
    <w:rsid w:val="0036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36655D"/>
    <w:rPr>
      <w:rFonts w:ascii="Times New Roman" w:hAnsi="Times New Roman"/>
      <w:b/>
      <w:sz w:val="18"/>
    </w:rPr>
  </w:style>
  <w:style w:type="character" w:styleId="Hyperlink">
    <w:name w:val="Hyperlink"/>
    <w:semiHidden/>
    <w:rsid w:val="0036655D"/>
    <w:rPr>
      <w:color w:val="auto"/>
      <w:u w:val="none"/>
    </w:rPr>
  </w:style>
  <w:style w:type="character" w:styleId="FollowedHyperlink">
    <w:name w:val="FollowedHyperlink"/>
    <w:semiHidden/>
    <w:rsid w:val="0036655D"/>
    <w:rPr>
      <w:color w:val="auto"/>
      <w:u w:val="none"/>
    </w:rPr>
  </w:style>
  <w:style w:type="paragraph" w:styleId="Revision">
    <w:name w:val="Revision"/>
    <w:hidden/>
    <w:uiPriority w:val="99"/>
    <w:semiHidden/>
    <w:rsid w:val="0036655D"/>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Conventions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numRef>
              <c:f>Лист1!$A$2:$A$13</c:f>
              <c:numCache>
                <c:formatCode>General</c:formatCode>
                <c:ptCount val="12"/>
                <c:pt idx="0">
                  <c:v>1960</c:v>
                </c:pt>
                <c:pt idx="1">
                  <c:v>1965</c:v>
                </c:pt>
                <c:pt idx="2">
                  <c:v>1970</c:v>
                </c:pt>
                <c:pt idx="3">
                  <c:v>1975</c:v>
                </c:pt>
                <c:pt idx="4">
                  <c:v>1980</c:v>
                </c:pt>
                <c:pt idx="5">
                  <c:v>1985</c:v>
                </c:pt>
                <c:pt idx="6">
                  <c:v>1990</c:v>
                </c:pt>
                <c:pt idx="7">
                  <c:v>1995</c:v>
                </c:pt>
                <c:pt idx="8">
                  <c:v>2000</c:v>
                </c:pt>
                <c:pt idx="9">
                  <c:v>2005</c:v>
                </c:pt>
                <c:pt idx="10">
                  <c:v>2010</c:v>
                </c:pt>
                <c:pt idx="11">
                  <c:v>2015</c:v>
                </c:pt>
              </c:numCache>
            </c:numRef>
          </c:cat>
          <c:val>
            <c:numRef>
              <c:f>Лист1!$B$2:$B$13</c:f>
              <c:numCache>
                <c:formatCode>General</c:formatCode>
                <c:ptCount val="12"/>
                <c:pt idx="0">
                  <c:v>1</c:v>
                </c:pt>
                <c:pt idx="1">
                  <c:v>2</c:v>
                </c:pt>
                <c:pt idx="2">
                  <c:v>3</c:v>
                </c:pt>
                <c:pt idx="3">
                  <c:v>4</c:v>
                </c:pt>
                <c:pt idx="4">
                  <c:v>7</c:v>
                </c:pt>
                <c:pt idx="5">
                  <c:v>7</c:v>
                </c:pt>
                <c:pt idx="6">
                  <c:v>7</c:v>
                </c:pt>
                <c:pt idx="7">
                  <c:v>7</c:v>
                </c:pt>
                <c:pt idx="8">
                  <c:v>10</c:v>
                </c:pt>
                <c:pt idx="9">
                  <c:v>11</c:v>
                </c:pt>
                <c:pt idx="10">
                  <c:v>11</c:v>
                </c:pt>
                <c:pt idx="11">
                  <c:v>11</c:v>
                </c:pt>
              </c:numCache>
            </c:numRef>
          </c:val>
        </c:ser>
        <c:ser>
          <c:idx val="1"/>
          <c:order val="1"/>
          <c:tx>
            <c:strRef>
              <c:f>Лист1!$C$1</c:f>
              <c:strCache>
                <c:ptCount val="1"/>
                <c:pt idx="0">
                  <c:v>Conventions in force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numRef>
              <c:f>Лист1!$A$2:$A$13</c:f>
              <c:numCache>
                <c:formatCode>General</c:formatCode>
                <c:ptCount val="12"/>
                <c:pt idx="0">
                  <c:v>1960</c:v>
                </c:pt>
                <c:pt idx="1">
                  <c:v>1965</c:v>
                </c:pt>
                <c:pt idx="2">
                  <c:v>1970</c:v>
                </c:pt>
                <c:pt idx="3">
                  <c:v>1975</c:v>
                </c:pt>
                <c:pt idx="4">
                  <c:v>1980</c:v>
                </c:pt>
                <c:pt idx="5">
                  <c:v>1985</c:v>
                </c:pt>
                <c:pt idx="6">
                  <c:v>1990</c:v>
                </c:pt>
                <c:pt idx="7">
                  <c:v>1995</c:v>
                </c:pt>
                <c:pt idx="8">
                  <c:v>2000</c:v>
                </c:pt>
                <c:pt idx="9">
                  <c:v>2005</c:v>
                </c:pt>
                <c:pt idx="10">
                  <c:v>2010</c:v>
                </c:pt>
                <c:pt idx="11">
                  <c:v>2015</c:v>
                </c:pt>
              </c:numCache>
            </c:numRef>
          </c:cat>
          <c:val>
            <c:numRef>
              <c:f>Лист1!$C$2:$C$13</c:f>
              <c:numCache>
                <c:formatCode>General</c:formatCode>
                <c:ptCount val="12"/>
                <c:pt idx="1">
                  <c:v>0</c:v>
                </c:pt>
                <c:pt idx="2">
                  <c:v>1</c:v>
                </c:pt>
                <c:pt idx="3">
                  <c:v>2</c:v>
                </c:pt>
                <c:pt idx="4">
                  <c:v>2</c:v>
                </c:pt>
                <c:pt idx="5">
                  <c:v>3</c:v>
                </c:pt>
                <c:pt idx="6">
                  <c:v>3</c:v>
                </c:pt>
                <c:pt idx="7">
                  <c:v>3</c:v>
                </c:pt>
                <c:pt idx="8">
                  <c:v>4</c:v>
                </c:pt>
                <c:pt idx="9">
                  <c:v>5</c:v>
                </c:pt>
                <c:pt idx="10">
                  <c:v>7</c:v>
                </c:pt>
                <c:pt idx="11">
                  <c:v>7</c:v>
                </c:pt>
              </c:numCache>
            </c:numRef>
          </c:val>
        </c:ser>
        <c:dLbls>
          <c:showLegendKey val="0"/>
          <c:showVal val="0"/>
          <c:showCatName val="0"/>
          <c:showSerName val="0"/>
          <c:showPercent val="0"/>
          <c:showBubbleSize val="0"/>
        </c:dLbls>
        <c:gapWidth val="150"/>
        <c:overlap val="-25"/>
        <c:axId val="142982144"/>
        <c:axId val="84190912"/>
      </c:barChart>
      <c:lineChart>
        <c:grouping val="standard"/>
        <c:varyColors val="0"/>
        <c:ser>
          <c:idx val="2"/>
          <c:order val="2"/>
          <c:tx>
            <c:strRef>
              <c:f>Лист1!$D$1</c:f>
              <c:strCache>
                <c:ptCount val="1"/>
                <c:pt idx="0">
                  <c:v>Parties to Conventions</c:v>
                </c:pt>
              </c:strCache>
            </c:strRef>
          </c:tx>
          <c:spPr>
            <a:ln w="28570" cap="rnd">
              <a:solidFill>
                <a:schemeClr val="accent3"/>
              </a:solidFill>
              <a:round/>
            </a:ln>
            <a:effectLst/>
          </c:spPr>
          <c:marker>
            <c:symbol val="none"/>
          </c:marker>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numRef>
              <c:f>Лист1!$A$2:$A$13</c:f>
              <c:numCache>
                <c:formatCode>General</c:formatCode>
                <c:ptCount val="12"/>
                <c:pt idx="0">
                  <c:v>1960</c:v>
                </c:pt>
                <c:pt idx="1">
                  <c:v>1965</c:v>
                </c:pt>
                <c:pt idx="2">
                  <c:v>1970</c:v>
                </c:pt>
                <c:pt idx="3">
                  <c:v>1975</c:v>
                </c:pt>
                <c:pt idx="4">
                  <c:v>1980</c:v>
                </c:pt>
                <c:pt idx="5">
                  <c:v>1985</c:v>
                </c:pt>
                <c:pt idx="6">
                  <c:v>1990</c:v>
                </c:pt>
                <c:pt idx="7">
                  <c:v>1995</c:v>
                </c:pt>
                <c:pt idx="8">
                  <c:v>2000</c:v>
                </c:pt>
                <c:pt idx="9">
                  <c:v>2005</c:v>
                </c:pt>
                <c:pt idx="10">
                  <c:v>2010</c:v>
                </c:pt>
                <c:pt idx="11">
                  <c:v>2015</c:v>
                </c:pt>
              </c:numCache>
            </c:numRef>
          </c:cat>
          <c:val>
            <c:numRef>
              <c:f>Лист1!$D$2:$D$13</c:f>
              <c:numCache>
                <c:formatCode>General</c:formatCode>
                <c:ptCount val="12"/>
                <c:pt idx="1">
                  <c:v>3</c:v>
                </c:pt>
                <c:pt idx="2">
                  <c:v>6</c:v>
                </c:pt>
                <c:pt idx="3">
                  <c:v>16</c:v>
                </c:pt>
                <c:pt idx="4">
                  <c:v>22</c:v>
                </c:pt>
                <c:pt idx="5">
                  <c:v>24</c:v>
                </c:pt>
                <c:pt idx="6">
                  <c:v>24</c:v>
                </c:pt>
                <c:pt idx="7">
                  <c:v>26</c:v>
                </c:pt>
                <c:pt idx="8">
                  <c:v>38</c:v>
                </c:pt>
                <c:pt idx="9">
                  <c:v>56</c:v>
                </c:pt>
                <c:pt idx="10">
                  <c:v>83</c:v>
                </c:pt>
                <c:pt idx="11">
                  <c:v>88</c:v>
                </c:pt>
              </c:numCache>
            </c:numRef>
          </c:val>
          <c:smooth val="0"/>
        </c:ser>
        <c:dLbls>
          <c:showLegendKey val="0"/>
          <c:showVal val="0"/>
          <c:showCatName val="0"/>
          <c:showSerName val="0"/>
          <c:showPercent val="0"/>
          <c:showBubbleSize val="0"/>
        </c:dLbls>
        <c:marker val="1"/>
        <c:smooth val="0"/>
        <c:axId val="142982144"/>
        <c:axId val="84190912"/>
      </c:lineChart>
      <c:catAx>
        <c:axId val="142982144"/>
        <c:scaling>
          <c:orientation val="minMax"/>
        </c:scaling>
        <c:delete val="0"/>
        <c:axPos val="b"/>
        <c:numFmt formatCode="General" sourceLinked="1"/>
        <c:majorTickMark val="none"/>
        <c:minorTickMark val="none"/>
        <c:tickLblPos val="nextTo"/>
        <c:spPr>
          <a:noFill/>
          <a:ln w="19046"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90912"/>
        <c:crosses val="autoZero"/>
        <c:auto val="1"/>
        <c:lblAlgn val="ctr"/>
        <c:lblOffset val="100"/>
        <c:noMultiLvlLbl val="0"/>
      </c:catAx>
      <c:valAx>
        <c:axId val="84190912"/>
        <c:scaling>
          <c:orientation val="minMax"/>
        </c:scaling>
        <c:delete val="1"/>
        <c:axPos val="l"/>
        <c:numFmt formatCode="General" sourceLinked="1"/>
        <c:majorTickMark val="out"/>
        <c:minorTickMark val="none"/>
        <c:tickLblPos val="nextTo"/>
        <c:crossAx val="142982144"/>
        <c:crosses val="autoZero"/>
        <c:crossBetween val="between"/>
      </c:valAx>
      <c:spPr>
        <a:noFill/>
        <a:ln w="25395">
          <a:noFill/>
        </a:ln>
      </c:spPr>
    </c:plotArea>
    <c:legend>
      <c:legendPos val="t"/>
      <c:overlay val="0"/>
      <c:spPr>
        <a:noFill/>
        <a:ln w="25395">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3" cap="flat" cmpd="sng" algn="ctr">
      <a:solidFill>
        <a:sysClr val="windowText" lastClr="000000">
          <a:lumMod val="15000"/>
          <a:lumOff val="85000"/>
        </a:sys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0.06228</cdr:x>
      <cdr:y>0.31956</cdr:y>
    </cdr:from>
    <cdr:to>
      <cdr:x>0.06636</cdr:x>
      <cdr:y>0.89532</cdr:y>
    </cdr:to>
    <cdr:cxnSp macro="">
      <cdr:nvCxnSpPr>
        <cdr:cNvPr id="2" name="Straight Connector 1"/>
        <cdr:cNvCxnSpPr/>
      </cdr:nvCxnSpPr>
      <cdr:spPr>
        <a:xfrm xmlns:a="http://schemas.openxmlformats.org/drawingml/2006/main">
          <a:off x="344066" y="1104899"/>
          <a:ext cx="22549" cy="1990725"/>
        </a:xfrm>
        <a:prstGeom xmlns:a="http://schemas.openxmlformats.org/drawingml/2006/main" prst="line">
          <a:avLst/>
        </a:prstGeom>
        <a:ln xmlns:a="http://schemas.openxmlformats.org/drawingml/2006/main">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0.69213</cdr:x>
      <cdr:y>0.33701</cdr:y>
    </cdr:from>
    <cdr:to>
      <cdr:x>0.69621</cdr:x>
      <cdr:y>0.91276</cdr:y>
    </cdr:to>
    <cdr:cxnSp macro="">
      <cdr:nvCxnSpPr>
        <cdr:cNvPr id="3" name="Straight Connector 2"/>
        <cdr:cNvCxnSpPr/>
      </cdr:nvCxnSpPr>
      <cdr:spPr>
        <a:xfrm xmlns:a="http://schemas.openxmlformats.org/drawingml/2006/main">
          <a:off x="3823672" y="1165224"/>
          <a:ext cx="22549" cy="1990725"/>
        </a:xfrm>
        <a:prstGeom xmlns:a="http://schemas.openxmlformats.org/drawingml/2006/main" prst="line">
          <a:avLst/>
        </a:prstGeom>
        <a:ln xmlns:a="http://schemas.openxmlformats.org/drawingml/2006/main">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0.2979</cdr:x>
      <cdr:y>0.32599</cdr:y>
    </cdr:from>
    <cdr:to>
      <cdr:x>0.30198</cdr:x>
      <cdr:y>0.90174</cdr:y>
    </cdr:to>
    <cdr:cxnSp macro="">
      <cdr:nvCxnSpPr>
        <cdr:cNvPr id="4" name="Straight Connector 3"/>
        <cdr:cNvCxnSpPr/>
      </cdr:nvCxnSpPr>
      <cdr:spPr>
        <a:xfrm xmlns:a="http://schemas.openxmlformats.org/drawingml/2006/main">
          <a:off x="1645752" y="1127124"/>
          <a:ext cx="22549" cy="1990725"/>
        </a:xfrm>
        <a:prstGeom xmlns:a="http://schemas.openxmlformats.org/drawingml/2006/main" prst="line">
          <a:avLst/>
        </a:prstGeom>
        <a:ln xmlns:a="http://schemas.openxmlformats.org/drawingml/2006/main">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F9DC-CB36-4FF7-86A9-4B3FE2AB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8332</Words>
  <Characters>47495</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Anastasia Barinova</cp:lastModifiedBy>
  <cp:revision>2</cp:revision>
  <cp:lastPrinted>2016-02-03T11:11:00Z</cp:lastPrinted>
  <dcterms:created xsi:type="dcterms:W3CDTF">2016-02-03T13:32:00Z</dcterms:created>
  <dcterms:modified xsi:type="dcterms:W3CDTF">2016-02-03T13:32:00Z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1522140F</vt:lpwstr>
  </property>
  <property fmtid="{D5CDD505-2E9C-101B-9397-08002B2CF9AE}" pid="3" name="ODSRefJobNo">
    <vt:lpwstr>1528551F</vt:lpwstr>
  </property>
  <property fmtid="{D5CDD505-2E9C-101B-9397-08002B2CF9AE}" pid="4" name="Symbol1">
    <vt:lpwstr>ECE/TRANS/2016/21</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020216</vt:lpwstr>
  </property>
</Properties>
</file>