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7B6C73">
              <w:fldChar w:fldCharType="begin"/>
            </w:r>
            <w:r w:rsidR="007B6C73">
              <w:instrText xml:space="preserve"> FILLIN  "Введите символ после ЕCE/"  \* MERGEFORMAT </w:instrText>
            </w:r>
            <w:r w:rsidR="007B6C73">
              <w:fldChar w:fldCharType="separate"/>
            </w:r>
            <w:r w:rsidR="00E83900">
              <w:t>TRANS/WP.15/AC.2/2016/47</w:t>
            </w:r>
            <w:r w:rsidR="007B6C73">
              <w:fldChar w:fldCharType="end"/>
            </w:r>
            <w:r w:rsidR="00A853DC">
              <w:t xml:space="preserve">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7B6C73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E83900">
                <w:t>8 June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7B6C73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E5331" w:rsidRPr="00A55E98" w:rsidRDefault="00AE5331" w:rsidP="00A55E98">
      <w:pPr>
        <w:spacing w:before="120" w:after="120"/>
        <w:rPr>
          <w:sz w:val="28"/>
          <w:szCs w:val="28"/>
        </w:rPr>
      </w:pPr>
      <w:r w:rsidRPr="00A55E98">
        <w:rPr>
          <w:sz w:val="28"/>
          <w:szCs w:val="28"/>
        </w:rPr>
        <w:t>Комитет по внутреннему транспорту</w:t>
      </w:r>
    </w:p>
    <w:p w:rsidR="00AE5331" w:rsidRPr="00A55E98" w:rsidRDefault="00AE5331" w:rsidP="00A55E98">
      <w:pPr>
        <w:spacing w:after="120"/>
        <w:rPr>
          <w:b/>
          <w:sz w:val="24"/>
        </w:rPr>
      </w:pPr>
      <w:r w:rsidRPr="00A55E98">
        <w:rPr>
          <w:b/>
          <w:sz w:val="24"/>
        </w:rPr>
        <w:t>Рабочая группа по перевозкам опасных грузов</w:t>
      </w:r>
    </w:p>
    <w:p w:rsidR="00AE5331" w:rsidRPr="00A55E98" w:rsidRDefault="00AE5331" w:rsidP="004B7F18">
      <w:pPr>
        <w:rPr>
          <w:b/>
        </w:rPr>
      </w:pPr>
      <w:r w:rsidRPr="00A55E98">
        <w:rPr>
          <w:b/>
        </w:rPr>
        <w:t xml:space="preserve">Совместное совещание экспертов по Правилам, </w:t>
      </w:r>
      <w:r w:rsidRPr="00A55E98">
        <w:rPr>
          <w:b/>
        </w:rPr>
        <w:br/>
        <w:t xml:space="preserve">прилагаемым к Европейскому соглашению </w:t>
      </w:r>
      <w:r w:rsidRPr="00A55E98">
        <w:rPr>
          <w:b/>
        </w:rPr>
        <w:br/>
        <w:t xml:space="preserve">о международной перевозке опасных грузов </w:t>
      </w:r>
      <w:r w:rsidRPr="00A55E98">
        <w:rPr>
          <w:b/>
        </w:rPr>
        <w:br/>
        <w:t xml:space="preserve">по внутренним водным путям (ВОПОГ) </w:t>
      </w:r>
      <w:r w:rsidRPr="00A55E98">
        <w:rPr>
          <w:b/>
        </w:rPr>
        <w:br/>
        <w:t>(Комитет по вопросам безопасности ВОПОГ)</w:t>
      </w:r>
    </w:p>
    <w:p w:rsidR="00AE5331" w:rsidRPr="00A55E98" w:rsidRDefault="00AE5331" w:rsidP="00A55E98">
      <w:pPr>
        <w:spacing w:before="120"/>
        <w:rPr>
          <w:b/>
        </w:rPr>
      </w:pPr>
      <w:r w:rsidRPr="00A55E98">
        <w:rPr>
          <w:b/>
        </w:rPr>
        <w:t>Двадцать девятая сессия</w:t>
      </w:r>
    </w:p>
    <w:p w:rsidR="00AE5331" w:rsidRPr="004B7F18" w:rsidRDefault="00AE5331" w:rsidP="004B7F18">
      <w:r w:rsidRPr="004B7F18">
        <w:t>Женева, 22−26 августа 2016 года</w:t>
      </w:r>
    </w:p>
    <w:p w:rsidR="00AE5331" w:rsidRPr="004B7F18" w:rsidRDefault="00AE5331" w:rsidP="004B7F18">
      <w:r w:rsidRPr="004B7F18">
        <w:t>Пункт 3 с) предварительной повестки дня</w:t>
      </w:r>
    </w:p>
    <w:p w:rsidR="00AE5331" w:rsidRPr="00A55E98" w:rsidRDefault="00AE5331" w:rsidP="004B7F18">
      <w:pPr>
        <w:rPr>
          <w:b/>
        </w:rPr>
      </w:pPr>
      <w:r w:rsidRPr="00A55E98">
        <w:rPr>
          <w:b/>
        </w:rPr>
        <w:t xml:space="preserve">Применение Европейского соглашения о международной </w:t>
      </w:r>
      <w:r w:rsidRPr="00A55E98">
        <w:rPr>
          <w:b/>
        </w:rPr>
        <w:br/>
        <w:t xml:space="preserve">перевозке опасных грузов по внутренним водным путям </w:t>
      </w:r>
      <w:r w:rsidRPr="00A55E98">
        <w:rPr>
          <w:b/>
        </w:rPr>
        <w:br/>
        <w:t>(ВОПОГ): толкование Правил, прилагаемых к ВОПОГ</w:t>
      </w:r>
    </w:p>
    <w:p w:rsidR="00AE5331" w:rsidRPr="00AE5331" w:rsidRDefault="00AE5331" w:rsidP="00A55E98">
      <w:pPr>
        <w:pStyle w:val="HChGR"/>
      </w:pPr>
      <w:r w:rsidRPr="00AE5331">
        <w:tab/>
      </w:r>
      <w:r w:rsidRPr="00AE5331">
        <w:tab/>
        <w:t>Определение термина «Баржа»</w:t>
      </w:r>
    </w:p>
    <w:p w:rsidR="00AE5331" w:rsidRPr="00AE5331" w:rsidRDefault="00AE5331" w:rsidP="00A55E98">
      <w:pPr>
        <w:pStyle w:val="H1GR"/>
        <w:rPr>
          <w:vertAlign w:val="superscript"/>
        </w:rPr>
      </w:pPr>
      <w:r w:rsidRPr="00AE5331">
        <w:tab/>
      </w:r>
      <w:r w:rsidRPr="00AE5331">
        <w:tab/>
        <w:t>Передано Рекомендованными классификационными обществами ВОПОГ</w:t>
      </w:r>
      <w:r w:rsidRPr="00FC1AC2">
        <w:rPr>
          <w:rStyle w:val="FootnoteReference"/>
          <w:b w:val="0"/>
        </w:rPr>
        <w:footnoteReference w:id="1"/>
      </w:r>
      <w:r w:rsidRPr="00E35E14">
        <w:rPr>
          <w:b w:val="0"/>
          <w:vertAlign w:val="superscript"/>
        </w:rPr>
        <w:t>,</w:t>
      </w:r>
      <w:r w:rsidRPr="00AE5331">
        <w:rPr>
          <w:vertAlign w:val="superscript"/>
        </w:rPr>
        <w:t xml:space="preserve"> </w:t>
      </w:r>
      <w:r w:rsidRPr="00FC1AC2">
        <w:rPr>
          <w:rStyle w:val="FootnoteReference"/>
          <w:b w:val="0"/>
        </w:rPr>
        <w:footnoteReference w:id="2"/>
      </w:r>
    </w:p>
    <w:p w:rsidR="00AE5331" w:rsidRPr="00AE5331" w:rsidRDefault="00AE5331" w:rsidP="00B414C9">
      <w:pPr>
        <w:pStyle w:val="SingleTxtGR"/>
      </w:pPr>
      <w:r w:rsidRPr="00AE5331">
        <w:t>1.</w:t>
      </w:r>
      <w:r w:rsidRPr="00AE5331">
        <w:tab/>
        <w:t>На двадцать восьмой сессии Комитета по вопросам безопасности ВОПОГ Рекомендованным классификационным обществам ВОПОГ было предложено (</w:t>
      </w:r>
      <w:r w:rsidRPr="00AE5331">
        <w:rPr>
          <w:lang w:val="en-GB"/>
        </w:rPr>
        <w:t>ECE</w:t>
      </w:r>
      <w:r w:rsidRPr="00AE5331">
        <w:t>/</w:t>
      </w:r>
      <w:r w:rsidRPr="00AE5331">
        <w:rPr>
          <w:lang w:val="en-GB"/>
        </w:rPr>
        <w:t>TRANS</w:t>
      </w:r>
      <w:r w:rsidRPr="00AE5331">
        <w:t>/</w:t>
      </w:r>
      <w:r w:rsidRPr="00AE5331">
        <w:rPr>
          <w:lang w:val="en-GB"/>
        </w:rPr>
        <w:t>WP</w:t>
      </w:r>
      <w:r w:rsidRPr="00AE5331">
        <w:t>.15/</w:t>
      </w:r>
      <w:r w:rsidRPr="00AE5331">
        <w:rPr>
          <w:lang w:val="en-GB"/>
        </w:rPr>
        <w:t>AC</w:t>
      </w:r>
      <w:r w:rsidRPr="00AE5331">
        <w:t>.2/58, пункт 40)</w:t>
      </w:r>
      <w:r w:rsidRPr="00AE5331">
        <w:rPr>
          <w:b/>
        </w:rPr>
        <w:t xml:space="preserve"> </w:t>
      </w:r>
      <w:r w:rsidRPr="00AE5331">
        <w:t>подумать над надлежащим определением термина «баржа» с учетом требований, которые применимы к данным судам в рамках Правил, прилагаемых к ВОПОГ (</w:t>
      </w:r>
      <w:r w:rsidRPr="00AE5331">
        <w:rPr>
          <w:lang w:val="en-GB"/>
        </w:rPr>
        <w:t>ECE</w:t>
      </w:r>
      <w:r w:rsidRPr="00AE5331">
        <w:t>/</w:t>
      </w:r>
      <w:r w:rsidRPr="00AE5331">
        <w:rPr>
          <w:lang w:val="en-GB"/>
        </w:rPr>
        <w:t>TRANS</w:t>
      </w:r>
      <w:r w:rsidRPr="00AE5331">
        <w:t>/</w:t>
      </w:r>
      <w:r w:rsidRPr="00AE5331">
        <w:rPr>
          <w:lang w:val="en-GB"/>
        </w:rPr>
        <w:t>WP</w:t>
      </w:r>
      <w:r w:rsidRPr="00AE5331">
        <w:t>.15/</w:t>
      </w:r>
      <w:r w:rsidRPr="00AE5331">
        <w:rPr>
          <w:lang w:val="en-GB"/>
        </w:rPr>
        <w:t>AC</w:t>
      </w:r>
      <w:r w:rsidRPr="00AE5331">
        <w:t>.2/2016/20, приложение 2, пункт 2).</w:t>
      </w:r>
      <w:r w:rsidRPr="00AE5331">
        <w:rPr>
          <w:b/>
        </w:rPr>
        <w:t xml:space="preserve"> </w:t>
      </w:r>
      <w:r w:rsidRPr="00AE5331">
        <w:t>Было отмечено, что одни баржи могут быть толкаемыми, другие – буксируемыми, а третьи – толкаемыми и буксируемыми и что поэтому предлагаемое определение следует пересмотреть.</w:t>
      </w:r>
    </w:p>
    <w:p w:rsidR="00AE5331" w:rsidRPr="00AE5331" w:rsidRDefault="00AE5331" w:rsidP="00AE5331">
      <w:pPr>
        <w:pStyle w:val="SingleTxtGR"/>
      </w:pPr>
      <w:r w:rsidRPr="00AE5331">
        <w:t>2.</w:t>
      </w:r>
      <w:r w:rsidRPr="00AE5331">
        <w:tab/>
        <w:t xml:space="preserve">Этот вопрос обсуждался в ходе одиннадцатого совещания (16 </w:t>
      </w:r>
      <w:r w:rsidR="00FC1AC2">
        <w:t>марта 2016</w:t>
      </w:r>
      <w:r w:rsidR="00FC1AC2">
        <w:rPr>
          <w:lang w:val="en-US"/>
        </w:rPr>
        <w:t> </w:t>
      </w:r>
      <w:r w:rsidRPr="00AE5331">
        <w:t>года) Рекомендованных классификационных обществ ВОПОГ. Предлагае</w:t>
      </w:r>
      <w:r w:rsidRPr="00AE5331">
        <w:lastRenderedPageBreak/>
        <w:t>мое определение основано на эквивалентных определениях, содержащихся в стандарте ЕС-ТТСВП:</w:t>
      </w:r>
    </w:p>
    <w:p w:rsidR="00AE5331" w:rsidRPr="00AE5331" w:rsidRDefault="00AE5331" w:rsidP="00AE5331">
      <w:pPr>
        <w:pStyle w:val="SingleTxtGR"/>
      </w:pPr>
      <w:r w:rsidRPr="00AE5331">
        <w:t>«</w:t>
      </w:r>
      <w:r w:rsidRPr="00AE5331">
        <w:rPr>
          <w:b/>
        </w:rPr>
        <w:t>Баржа</w:t>
      </w:r>
      <w:r w:rsidRPr="00AE5331">
        <w:t xml:space="preserve"> – судно, предназначенное для перевозки грузов и построенное или специально оборудованное для эксплуатации методом толкания или буксировки либо методом толкания и буксировки, не имеющее собственной тяги или имеющее тягу только для выполнения ограниченных маневров, когда оно не является частью толкаемого </w:t>
      </w:r>
      <w:r w:rsidR="00B414C9">
        <w:t>состава</w:t>
      </w:r>
      <w:r w:rsidR="00B414C9" w:rsidRPr="00B414C9">
        <w:t>.</w:t>
      </w:r>
      <w:r w:rsidRPr="00AE5331">
        <w:t>».</w:t>
      </w:r>
    </w:p>
    <w:p w:rsidR="008E1674" w:rsidRPr="00B414C9" w:rsidRDefault="00B414C9" w:rsidP="00B414C9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E1674" w:rsidRPr="00B414C9" w:rsidSect="004D639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00" w:rsidRDefault="00E83900" w:rsidP="00B471C5">
      <w:r>
        <w:separator/>
      </w:r>
    </w:p>
  </w:endnote>
  <w:endnote w:type="continuationSeparator" w:id="0">
    <w:p w:rsidR="00E83900" w:rsidRDefault="00E83900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7B6C73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531DBF" w:rsidRPr="00531DBF">
      <w:rPr>
        <w:lang w:val="en-US"/>
      </w:rPr>
      <w:t>09299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6F49F1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 w:rsidR="00531DBF" w:rsidRPr="00531DBF">
            <w:rPr>
              <w:lang w:val="en-US"/>
            </w:rPr>
            <w:t>09299</w:t>
          </w:r>
          <w:r w:rsidRPr="001C3ABC">
            <w:rPr>
              <w:lang w:val="en-US"/>
            </w:rPr>
            <w:t xml:space="preserve"> (R)</w:t>
          </w:r>
          <w:r w:rsidR="00F7366E">
            <w:rPr>
              <w:lang w:val="en-US"/>
            </w:rPr>
            <w:t xml:space="preserve">  270616  28</w:t>
          </w:r>
          <w:r w:rsidR="00531DBF">
            <w:rPr>
              <w:lang w:val="en-US"/>
            </w:rPr>
            <w:t>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27B54DE7" wp14:editId="717A4D3D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Pr="00B414C9" w:rsidRDefault="00B414C9" w:rsidP="007B199D">
          <w:pPr>
            <w:jc w:val="right"/>
            <w:rPr>
              <w:rFonts w:ascii="C39T30Lfz" w:hAnsi="C39T30Lfz"/>
              <w:sz w:val="56"/>
            </w:rPr>
          </w:pPr>
          <w:r>
            <w:rPr>
              <w:rFonts w:ascii="C39T30Lfz" w:hAnsi="C39T30Lfz"/>
              <w:noProof/>
              <w:sz w:val="56"/>
              <w:lang w:val="en-US"/>
            </w:rPr>
            <w:drawing>
              <wp:inline distT="0" distB="0" distL="0" distR="0" wp14:anchorId="7BF21172" wp14:editId="10943F06">
                <wp:extent cx="583565" cy="583565"/>
                <wp:effectExtent l="0" t="0" r="6985" b="6985"/>
                <wp:docPr id="3" name="Рисунок 3" descr="http://undocs.org/m2/QRCode.ashx?DS=ECE/TRANS/WP.15/AC.2/2016/47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15/AC.2/2016/47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3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531DBF" w:rsidRDefault="00531DBF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31D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31D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31D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531D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31D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31D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</w:t>
          </w:r>
          <w:r w:rsidRPr="00531D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31D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531DBF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00" w:rsidRPr="009141DC" w:rsidRDefault="00E83900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83900" w:rsidRPr="00D1261C" w:rsidRDefault="00E83900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AE5331" w:rsidRPr="00F7366E" w:rsidRDefault="00AE5331" w:rsidP="00AE5331">
      <w:pPr>
        <w:pStyle w:val="FootnoteText"/>
        <w:rPr>
          <w:lang w:val="ru-RU"/>
        </w:rPr>
      </w:pPr>
      <w:r>
        <w:tab/>
      </w:r>
      <w:r>
        <w:rPr>
          <w:rStyle w:val="FootnoteReference"/>
        </w:rPr>
        <w:footnoteRef/>
      </w:r>
      <w:r w:rsidRPr="002828A3">
        <w:rPr>
          <w:lang w:val="ru-RU"/>
        </w:rPr>
        <w:tab/>
      </w:r>
      <w:r w:rsidRPr="00F7366E">
        <w:rPr>
          <w:lang w:val="ru-RU"/>
        </w:rPr>
        <w:t>Распространено на немецком языке Центральной комиссией судоходства по Рейну в</w:t>
      </w:r>
      <w:r w:rsidRPr="00A55E98">
        <w:rPr>
          <w:lang w:val="en-US"/>
        </w:rPr>
        <w:t> </w:t>
      </w:r>
      <w:r w:rsidRPr="00F7366E">
        <w:rPr>
          <w:lang w:val="ru-RU"/>
        </w:rPr>
        <w:t xml:space="preserve">качестве документа </w:t>
      </w:r>
      <w:r w:rsidRPr="00A55E98">
        <w:rPr>
          <w:lang w:val="en-US"/>
        </w:rPr>
        <w:t>CCNR</w:t>
      </w:r>
      <w:r w:rsidRPr="00F7366E">
        <w:rPr>
          <w:lang w:val="ru-RU"/>
        </w:rPr>
        <w:t>-</w:t>
      </w:r>
      <w:r w:rsidRPr="00A55E98">
        <w:rPr>
          <w:lang w:val="en-US"/>
        </w:rPr>
        <w:t>ZKR</w:t>
      </w:r>
      <w:r w:rsidRPr="00F7366E">
        <w:rPr>
          <w:lang w:val="ru-RU"/>
        </w:rPr>
        <w:t>/</w:t>
      </w:r>
      <w:r w:rsidRPr="00A55E98">
        <w:rPr>
          <w:lang w:val="en-US"/>
        </w:rPr>
        <w:t>ADN</w:t>
      </w:r>
      <w:r w:rsidRPr="00F7366E">
        <w:rPr>
          <w:lang w:val="ru-RU"/>
        </w:rPr>
        <w:t>/</w:t>
      </w:r>
      <w:r w:rsidRPr="00A55E98">
        <w:rPr>
          <w:lang w:val="en-US"/>
        </w:rPr>
        <w:t>WP</w:t>
      </w:r>
      <w:r w:rsidRPr="00F7366E">
        <w:rPr>
          <w:lang w:val="ru-RU"/>
        </w:rPr>
        <w:t>.15/</w:t>
      </w:r>
      <w:r w:rsidRPr="00A55E98">
        <w:rPr>
          <w:lang w:val="en-US"/>
        </w:rPr>
        <w:t>AC</w:t>
      </w:r>
      <w:r w:rsidRPr="00F7366E">
        <w:rPr>
          <w:lang w:val="ru-RU"/>
        </w:rPr>
        <w:t>.2/2016/47.</w:t>
      </w:r>
    </w:p>
  </w:footnote>
  <w:footnote w:id="2">
    <w:p w:rsidR="00AE5331" w:rsidRPr="00A55E98" w:rsidRDefault="00AE5331" w:rsidP="00AE5331">
      <w:pPr>
        <w:pStyle w:val="FootnoteText"/>
        <w:rPr>
          <w:lang w:val="en-US"/>
        </w:rPr>
      </w:pPr>
      <w:r w:rsidRPr="005A3CCB">
        <w:rPr>
          <w:lang w:val="ru-RU"/>
        </w:rPr>
        <w:tab/>
      </w:r>
      <w:r>
        <w:rPr>
          <w:rStyle w:val="FootnoteReference"/>
        </w:rPr>
        <w:footnoteRef/>
      </w:r>
      <w:r w:rsidRPr="002828A3">
        <w:rPr>
          <w:lang w:val="ru-RU"/>
        </w:rPr>
        <w:tab/>
      </w:r>
      <w:r w:rsidRPr="00A55E98">
        <w:rPr>
          <w:lang w:val="en-US"/>
        </w:rPr>
        <w:t xml:space="preserve">В соответствии с программой работы Комитета по внутреннему транспорту </w:t>
      </w:r>
      <w:r w:rsidRPr="00A55E98">
        <w:rPr>
          <w:lang w:val="en-US"/>
        </w:rPr>
        <w:br/>
        <w:t>на 2016–2017 годы (ECE/TRANS/2016/28/Add.1 (9.3)).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7005EE" w:rsidRDefault="00531DBF">
    <w:pPr>
      <w:pStyle w:val="Header"/>
      <w:rPr>
        <w:lang w:val="en-US"/>
      </w:rPr>
    </w:pPr>
    <w:r w:rsidRPr="00531DBF">
      <w:rPr>
        <w:lang w:val="en-US"/>
      </w:rPr>
      <w:t>ECE/TRANS/WP.15/AC.2/2016/47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4D639B" w:rsidRDefault="004D639B" w:rsidP="007005EE">
    <w:pPr>
      <w:pStyle w:val="Header"/>
      <w:jc w:val="right"/>
      <w:rPr>
        <w:lang w:val="en-US"/>
      </w:rPr>
    </w:pPr>
    <w:r>
      <w:rPr>
        <w:lang w:val="en-US"/>
      </w:rPr>
      <w:t>ECE/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ru-RU" w:vendorID="1" w:dllVersion="512" w:checkStyle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00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45C79"/>
    <w:rsid w:val="00366A39"/>
    <w:rsid w:val="00453EB5"/>
    <w:rsid w:val="0048005C"/>
    <w:rsid w:val="004B7F18"/>
    <w:rsid w:val="004D639B"/>
    <w:rsid w:val="004E242B"/>
    <w:rsid w:val="00531DBF"/>
    <w:rsid w:val="00536064"/>
    <w:rsid w:val="00544379"/>
    <w:rsid w:val="00566944"/>
    <w:rsid w:val="005D56BF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B6C73"/>
    <w:rsid w:val="007D76DD"/>
    <w:rsid w:val="008717E8"/>
    <w:rsid w:val="008D01AE"/>
    <w:rsid w:val="008E0423"/>
    <w:rsid w:val="008E1674"/>
    <w:rsid w:val="009141DC"/>
    <w:rsid w:val="009174A1"/>
    <w:rsid w:val="0098674D"/>
    <w:rsid w:val="00997ACA"/>
    <w:rsid w:val="00A03FB7"/>
    <w:rsid w:val="00A55C56"/>
    <w:rsid w:val="00A55E98"/>
    <w:rsid w:val="00A658DB"/>
    <w:rsid w:val="00A75A11"/>
    <w:rsid w:val="00A853DC"/>
    <w:rsid w:val="00A9606E"/>
    <w:rsid w:val="00AD7EAD"/>
    <w:rsid w:val="00AE5331"/>
    <w:rsid w:val="00B35A32"/>
    <w:rsid w:val="00B414C9"/>
    <w:rsid w:val="00B432C6"/>
    <w:rsid w:val="00B471C5"/>
    <w:rsid w:val="00B6474A"/>
    <w:rsid w:val="00BE1742"/>
    <w:rsid w:val="00C76434"/>
    <w:rsid w:val="00D1261C"/>
    <w:rsid w:val="00D26030"/>
    <w:rsid w:val="00D75DCE"/>
    <w:rsid w:val="00DD35AC"/>
    <w:rsid w:val="00DD479F"/>
    <w:rsid w:val="00E15E48"/>
    <w:rsid w:val="00E35E14"/>
    <w:rsid w:val="00E83900"/>
    <w:rsid w:val="00EB0723"/>
    <w:rsid w:val="00EB2957"/>
    <w:rsid w:val="00EE6F37"/>
    <w:rsid w:val="00F1599F"/>
    <w:rsid w:val="00F31EF2"/>
    <w:rsid w:val="00F7366E"/>
    <w:rsid w:val="00FC1AC2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D6F7F4A-A165-40D8-B0EF-0881A0FB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BE1E-0CB3-4DF0-B675-DF51E6F5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Caillot</cp:lastModifiedBy>
  <cp:revision>2</cp:revision>
  <cp:lastPrinted>2016-06-28T08:13:00Z</cp:lastPrinted>
  <dcterms:created xsi:type="dcterms:W3CDTF">2016-06-30T15:03:00Z</dcterms:created>
  <dcterms:modified xsi:type="dcterms:W3CDTF">2016-06-30T15:03:00Z</dcterms:modified>
</cp:coreProperties>
</file>