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D238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D2388" w:rsidP="008D2388">
            <w:pPr>
              <w:jc w:val="right"/>
            </w:pPr>
            <w:r w:rsidRPr="008D2388">
              <w:rPr>
                <w:sz w:val="40"/>
              </w:rPr>
              <w:t>ECE</w:t>
            </w:r>
            <w:r>
              <w:t>/TRANS/WP.15/AC.2/2016/44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D2388" w:rsidP="00892A2F">
            <w:pPr>
              <w:spacing w:before="240"/>
            </w:pPr>
            <w:r>
              <w:t>Distr. générale</w:t>
            </w:r>
          </w:p>
          <w:p w:rsidR="008D2388" w:rsidRDefault="009F265B" w:rsidP="008D2388">
            <w:pPr>
              <w:spacing w:line="240" w:lineRule="exact"/>
            </w:pPr>
            <w:r>
              <w:t>8 juin 2016</w:t>
            </w:r>
          </w:p>
          <w:p w:rsidR="008D2388" w:rsidRDefault="008D2388" w:rsidP="008D2388">
            <w:pPr>
              <w:spacing w:line="240" w:lineRule="exact"/>
            </w:pPr>
            <w:r>
              <w:t>Français</w:t>
            </w:r>
          </w:p>
          <w:p w:rsidR="008D2388" w:rsidRPr="00DB58B5" w:rsidRDefault="008D2388" w:rsidP="008D238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47066" w:rsidRPr="00A22B5C" w:rsidRDefault="00A47066" w:rsidP="00A22B5C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  <w:lang w:val="fr-FR"/>
        </w:rPr>
      </w:pPr>
      <w:r w:rsidRPr="00A22B5C">
        <w:rPr>
          <w:b/>
          <w:sz w:val="24"/>
          <w:szCs w:val="24"/>
          <w:lang w:val="fr-FR"/>
        </w:rPr>
        <w:t>Groupe de travail des transports de marchandises dangereuses</w:t>
      </w:r>
    </w:p>
    <w:p w:rsidR="00A47066" w:rsidRPr="00A22B5C" w:rsidRDefault="00A47066" w:rsidP="00A22B5C">
      <w:pPr>
        <w:spacing w:before="120"/>
        <w:rPr>
          <w:b/>
          <w:lang w:val="fr-FR"/>
        </w:rPr>
      </w:pPr>
      <w:r w:rsidRPr="00A22B5C">
        <w:rPr>
          <w:b/>
          <w:lang w:val="fr-FR"/>
        </w:rPr>
        <w:t>Réunion commune d’experts sur le Règlement annexé</w:t>
      </w:r>
      <w:r w:rsidR="00A22B5C">
        <w:rPr>
          <w:b/>
          <w:lang w:val="fr-FR"/>
        </w:rPr>
        <w:br/>
      </w:r>
      <w:r w:rsidRPr="00A22B5C">
        <w:rPr>
          <w:b/>
          <w:lang w:val="fr-FR"/>
        </w:rPr>
        <w:t>à</w:t>
      </w:r>
      <w:r w:rsidR="00A22B5C">
        <w:rPr>
          <w:b/>
          <w:lang w:val="fr-FR"/>
        </w:rPr>
        <w:t xml:space="preserve"> </w:t>
      </w:r>
      <w:r w:rsidRPr="00A22B5C">
        <w:rPr>
          <w:b/>
          <w:lang w:val="fr-FR"/>
        </w:rPr>
        <w:t>l’Accord européen relatif au transport international</w:t>
      </w:r>
      <w:r w:rsidR="00A22B5C">
        <w:rPr>
          <w:b/>
          <w:lang w:val="fr-FR"/>
        </w:rPr>
        <w:br/>
      </w:r>
      <w:r w:rsidRPr="00A22B5C">
        <w:rPr>
          <w:b/>
          <w:lang w:val="fr-FR"/>
        </w:rPr>
        <w:t>des marchandises dangereuses par voies de navigation intérieures (ADN)</w:t>
      </w:r>
    </w:p>
    <w:p w:rsidR="00A47066" w:rsidRPr="00A22B5C" w:rsidRDefault="00A47066" w:rsidP="00A22B5C">
      <w:pPr>
        <w:rPr>
          <w:b/>
          <w:bCs/>
          <w:lang w:val="fr-FR"/>
        </w:rPr>
      </w:pPr>
      <w:r w:rsidRPr="00A22B5C">
        <w:rPr>
          <w:b/>
          <w:lang w:val="fr-FR"/>
        </w:rPr>
        <w:t>(Comité de sécurité de l’ADN)</w:t>
      </w:r>
    </w:p>
    <w:p w:rsidR="00A47066" w:rsidRPr="00A22B5C" w:rsidRDefault="00A47066" w:rsidP="00A22B5C">
      <w:pPr>
        <w:spacing w:before="120"/>
        <w:rPr>
          <w:b/>
          <w:bCs/>
          <w:lang w:val="fr-FR"/>
        </w:rPr>
      </w:pPr>
      <w:r w:rsidRPr="00A22B5C">
        <w:rPr>
          <w:b/>
          <w:lang w:val="fr-FR"/>
        </w:rPr>
        <w:t>Vingt-neuvième session</w:t>
      </w:r>
    </w:p>
    <w:p w:rsidR="00A47066" w:rsidRPr="002E3BD1" w:rsidRDefault="00A47066" w:rsidP="00A22B5C">
      <w:pPr>
        <w:rPr>
          <w:lang w:val="fr-FR"/>
        </w:rPr>
      </w:pPr>
      <w:r w:rsidRPr="002E3BD1">
        <w:rPr>
          <w:lang w:val="fr-FR"/>
        </w:rPr>
        <w:t>Genève, 22-26 août 2016</w:t>
      </w:r>
    </w:p>
    <w:p w:rsidR="00A47066" w:rsidRPr="002E3BD1" w:rsidRDefault="00A47066" w:rsidP="00A22B5C">
      <w:pPr>
        <w:rPr>
          <w:lang w:val="fr-FR"/>
        </w:rPr>
      </w:pPr>
      <w:r w:rsidRPr="002E3BD1">
        <w:rPr>
          <w:lang w:val="fr-FR"/>
        </w:rPr>
        <w:t>Point 4 b) de l</w:t>
      </w:r>
      <w:r>
        <w:rPr>
          <w:lang w:val="fr-FR"/>
        </w:rPr>
        <w:t>’</w:t>
      </w:r>
      <w:r w:rsidRPr="002E3BD1">
        <w:rPr>
          <w:lang w:val="fr-FR"/>
        </w:rPr>
        <w:t>ordre du jour provisoire</w:t>
      </w:r>
    </w:p>
    <w:p w:rsidR="00A47066" w:rsidRPr="00A22B5C" w:rsidRDefault="00A47066" w:rsidP="00A22B5C">
      <w:pPr>
        <w:rPr>
          <w:b/>
          <w:bCs/>
          <w:lang w:val="fr-FR"/>
        </w:rPr>
      </w:pPr>
      <w:r w:rsidRPr="00A22B5C">
        <w:rPr>
          <w:b/>
          <w:lang w:val="fr-FR"/>
        </w:rPr>
        <w:t>Propositions d’amendements au Règlement annexé à l’ADN</w:t>
      </w:r>
      <w:r w:rsidR="00A22B5C">
        <w:rPr>
          <w:b/>
          <w:lang w:val="fr-FR"/>
        </w:rPr>
        <w:t> </w:t>
      </w:r>
      <w:r w:rsidRPr="00A22B5C">
        <w:rPr>
          <w:b/>
          <w:lang w:val="fr-FR"/>
        </w:rPr>
        <w:t>:</w:t>
      </w:r>
    </w:p>
    <w:p w:rsidR="00A47066" w:rsidRPr="00A22B5C" w:rsidRDefault="00A47066" w:rsidP="00A22B5C">
      <w:pPr>
        <w:rPr>
          <w:b/>
          <w:bCs/>
          <w:lang w:val="fr-FR"/>
        </w:rPr>
      </w:pPr>
      <w:r w:rsidRPr="00A22B5C">
        <w:rPr>
          <w:b/>
          <w:lang w:val="fr-FR"/>
        </w:rPr>
        <w:t>autres propositions</w:t>
      </w:r>
    </w:p>
    <w:p w:rsidR="00A47066" w:rsidRPr="002E3BD1" w:rsidRDefault="00A47066" w:rsidP="00A22B5C">
      <w:pPr>
        <w:pStyle w:val="HChG"/>
        <w:rPr>
          <w:lang w:val="fr-FR"/>
        </w:rPr>
      </w:pPr>
      <w:r w:rsidRPr="002E3BD1">
        <w:rPr>
          <w:lang w:val="fr-FR"/>
        </w:rPr>
        <w:tab/>
      </w:r>
      <w:r w:rsidRPr="002E3BD1">
        <w:rPr>
          <w:lang w:val="fr-FR"/>
        </w:rPr>
        <w:tab/>
        <w:t>Proposition d</w:t>
      </w:r>
      <w:r>
        <w:rPr>
          <w:lang w:val="fr-FR"/>
        </w:rPr>
        <w:t>’</w:t>
      </w:r>
      <w:r w:rsidRPr="002E3BD1">
        <w:rPr>
          <w:lang w:val="fr-FR"/>
        </w:rPr>
        <w:t>amendement au 7.2.4.25.5</w:t>
      </w:r>
    </w:p>
    <w:p w:rsidR="00A47066" w:rsidRDefault="00A47066" w:rsidP="00A22B5C">
      <w:pPr>
        <w:pStyle w:val="H1G"/>
        <w:rPr>
          <w:lang w:val="fr-FR"/>
        </w:rPr>
      </w:pPr>
      <w:r w:rsidRPr="002E3BD1">
        <w:rPr>
          <w:lang w:val="fr-FR"/>
        </w:rPr>
        <w:tab/>
      </w:r>
      <w:r w:rsidRPr="002E3BD1">
        <w:rPr>
          <w:lang w:val="fr-FR"/>
        </w:rPr>
        <w:tab/>
        <w:t>Communication des Gouvernements des Pays-Bas et de la France</w:t>
      </w:r>
      <w:r w:rsidRPr="00E55CF9">
        <w:rPr>
          <w:rStyle w:val="FootnoteReference"/>
          <w:b w:val="0"/>
        </w:rPr>
        <w:footnoteReference w:id="2"/>
      </w:r>
      <w:r w:rsidRPr="00A22B5C">
        <w:rPr>
          <w:b w:val="0"/>
          <w:vertAlign w:val="superscript"/>
          <w:lang w:val="fr-FR"/>
        </w:rPr>
        <w:t>,</w:t>
      </w:r>
      <w:r w:rsidRPr="002E3BD1">
        <w:rPr>
          <w:vertAlign w:val="superscript"/>
          <w:lang w:val="fr-FR"/>
        </w:rPr>
        <w:t xml:space="preserve"> </w:t>
      </w:r>
      <w:r w:rsidRPr="00E55CF9">
        <w:rPr>
          <w:rStyle w:val="FootnoteReference"/>
          <w:b w:val="0"/>
        </w:rPr>
        <w:footnoteReference w:id="3"/>
      </w:r>
      <w:r w:rsidRPr="002E3BD1">
        <w:rPr>
          <w:lang w:val="fr-FR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34EC0" w:rsidTr="00FC1EFD">
        <w:trPr>
          <w:jc w:val="center"/>
        </w:trPr>
        <w:tc>
          <w:tcPr>
            <w:tcW w:w="9637" w:type="dxa"/>
            <w:shd w:val="clear" w:color="auto" w:fill="auto"/>
          </w:tcPr>
          <w:p w:rsidR="00B34EC0" w:rsidRPr="00B34EC0" w:rsidRDefault="00B34EC0" w:rsidP="00FC1EFD">
            <w:pPr>
              <w:tabs>
                <w:tab w:val="right" w:pos="8505"/>
              </w:tabs>
              <w:spacing w:before="240" w:after="120"/>
              <w:ind w:left="255"/>
              <w:rPr>
                <w:i/>
                <w:sz w:val="24"/>
              </w:rPr>
            </w:pPr>
            <w:r w:rsidRPr="002A566C">
              <w:rPr>
                <w:i/>
                <w:sz w:val="24"/>
              </w:rPr>
              <w:t>Résumé</w:t>
            </w:r>
            <w:r>
              <w:rPr>
                <w:i/>
                <w:sz w:val="24"/>
              </w:rPr>
              <w:tab/>
            </w:r>
          </w:p>
        </w:tc>
      </w:tr>
      <w:tr w:rsidR="00B34EC0" w:rsidTr="00FC1EFD">
        <w:trPr>
          <w:jc w:val="center"/>
        </w:trPr>
        <w:tc>
          <w:tcPr>
            <w:tcW w:w="9637" w:type="dxa"/>
            <w:shd w:val="clear" w:color="auto" w:fill="auto"/>
          </w:tcPr>
          <w:p w:rsidR="00B34EC0" w:rsidRDefault="00B34EC0" w:rsidP="00FC1EFD">
            <w:pPr>
              <w:pStyle w:val="SingleTxtG"/>
              <w:ind w:left="2552" w:hanging="2268"/>
            </w:pPr>
            <w:r w:rsidRPr="002A566C">
              <w:rPr>
                <w:b/>
              </w:rPr>
              <w:t>Résumé analytique</w:t>
            </w:r>
            <w:r w:rsidR="00E55CF9">
              <w:rPr>
                <w:b/>
              </w:rPr>
              <w:t> </w:t>
            </w:r>
            <w:r w:rsidRPr="002A566C">
              <w:rPr>
                <w:b/>
              </w:rPr>
              <w:t>:</w:t>
            </w:r>
            <w:r>
              <w:rPr>
                <w:b/>
              </w:rPr>
              <w:tab/>
            </w:r>
            <w:r w:rsidRPr="00B34EC0">
              <w:rPr>
                <w:rFonts w:eastAsia="SimSun"/>
                <w:bCs/>
                <w:szCs w:val="24"/>
                <w:lang w:val="fr-FR"/>
              </w:rPr>
              <w:t>Suite donnée aux propositions faites initialement à la réunion d’août 2015 du Comité de sécurité de l’ADN, compte tenu du débat ayant eu lieu à la réunion de janvier 2016 du Comité</w:t>
            </w:r>
          </w:p>
        </w:tc>
      </w:tr>
      <w:tr w:rsidR="00B34EC0" w:rsidTr="00FC1EFD">
        <w:trPr>
          <w:jc w:val="center"/>
        </w:trPr>
        <w:tc>
          <w:tcPr>
            <w:tcW w:w="9637" w:type="dxa"/>
            <w:shd w:val="clear" w:color="auto" w:fill="auto"/>
          </w:tcPr>
          <w:p w:rsidR="00B34EC0" w:rsidRDefault="00B34EC0" w:rsidP="00FC1EFD">
            <w:pPr>
              <w:pStyle w:val="SingleTxtG"/>
              <w:ind w:left="2552" w:hanging="2268"/>
            </w:pPr>
            <w:r w:rsidRPr="002A566C">
              <w:rPr>
                <w:b/>
              </w:rPr>
              <w:t>Mesure à prendre</w:t>
            </w:r>
            <w:r w:rsidR="00E55CF9">
              <w:rPr>
                <w:b/>
              </w:rPr>
              <w:t> </w:t>
            </w:r>
            <w:r w:rsidRPr="002A566C">
              <w:rPr>
                <w:b/>
              </w:rPr>
              <w:t>:</w:t>
            </w:r>
            <w:r>
              <w:rPr>
                <w:b/>
              </w:rPr>
              <w:tab/>
            </w:r>
            <w:r w:rsidRPr="00B34EC0">
              <w:rPr>
                <w:szCs w:val="24"/>
                <w:lang w:val="fr-FR"/>
              </w:rPr>
              <w:t>Voir le paragraphe 8.</w:t>
            </w:r>
          </w:p>
        </w:tc>
      </w:tr>
      <w:tr w:rsidR="00B34EC0" w:rsidTr="00FC1EFD">
        <w:trPr>
          <w:jc w:val="center"/>
        </w:trPr>
        <w:tc>
          <w:tcPr>
            <w:tcW w:w="9637" w:type="dxa"/>
            <w:shd w:val="clear" w:color="auto" w:fill="auto"/>
          </w:tcPr>
          <w:p w:rsidR="00B34EC0" w:rsidRPr="00B34EC0" w:rsidRDefault="00B34EC0" w:rsidP="00FC1EFD">
            <w:pPr>
              <w:pStyle w:val="SingleTxtG"/>
              <w:ind w:left="2552" w:hanging="2268"/>
              <w:rPr>
                <w:szCs w:val="24"/>
                <w:lang w:val="fr-FR"/>
              </w:rPr>
            </w:pPr>
            <w:r w:rsidRPr="002A566C">
              <w:rPr>
                <w:b/>
              </w:rPr>
              <w:t>Documents de référence</w:t>
            </w:r>
            <w:r w:rsidR="00E55CF9">
              <w:rPr>
                <w:b/>
              </w:rPr>
              <w:t> </w:t>
            </w:r>
            <w:r w:rsidRPr="002A566C">
              <w:rPr>
                <w:b/>
              </w:rPr>
              <w:t>:</w:t>
            </w:r>
            <w:r>
              <w:rPr>
                <w:b/>
              </w:rPr>
              <w:tab/>
            </w:r>
            <w:r w:rsidRPr="00B34EC0">
              <w:rPr>
                <w:szCs w:val="24"/>
                <w:lang w:val="fr-FR"/>
              </w:rPr>
              <w:t>ECE/TRANS/WP.15/AC.2/2015/18</w:t>
            </w:r>
            <w:r w:rsidR="009F265B">
              <w:rPr>
                <w:szCs w:val="24"/>
                <w:lang w:val="fr-FR"/>
              </w:rPr>
              <w:t> </w:t>
            </w:r>
            <w:r w:rsidRPr="00B34EC0">
              <w:rPr>
                <w:szCs w:val="24"/>
                <w:lang w:val="fr-FR"/>
              </w:rPr>
              <w:t>;</w:t>
            </w:r>
          </w:p>
          <w:p w:rsidR="00B34EC0" w:rsidRPr="00B34EC0" w:rsidRDefault="00B34EC0" w:rsidP="00FC1EFD">
            <w:pPr>
              <w:pStyle w:val="SingleTxtG"/>
              <w:ind w:left="2552" w:hanging="2268"/>
              <w:rPr>
                <w:szCs w:val="24"/>
                <w:lang w:val="fr-FR"/>
              </w:rPr>
            </w:pPr>
            <w:r w:rsidRPr="00B34EC0">
              <w:rPr>
                <w:szCs w:val="24"/>
                <w:lang w:val="fr-FR"/>
              </w:rPr>
              <w:tab/>
              <w:t>ECE/TRANS/WP.15/AC.2/56 (par</w:t>
            </w:r>
            <w:r w:rsidR="009F265B">
              <w:rPr>
                <w:szCs w:val="24"/>
                <w:lang w:val="fr-FR"/>
              </w:rPr>
              <w:t>. </w:t>
            </w:r>
            <w:r w:rsidRPr="00B34EC0">
              <w:rPr>
                <w:szCs w:val="24"/>
                <w:lang w:val="fr-FR"/>
              </w:rPr>
              <w:t>16 et 17)</w:t>
            </w:r>
            <w:r w:rsidR="009F265B">
              <w:rPr>
                <w:szCs w:val="24"/>
                <w:lang w:val="fr-FR"/>
              </w:rPr>
              <w:t> </w:t>
            </w:r>
            <w:r w:rsidRPr="00B34EC0">
              <w:rPr>
                <w:szCs w:val="24"/>
                <w:lang w:val="fr-FR"/>
              </w:rPr>
              <w:t>;</w:t>
            </w:r>
          </w:p>
          <w:p w:rsidR="00B34EC0" w:rsidRDefault="00B34EC0" w:rsidP="009F265B">
            <w:pPr>
              <w:pStyle w:val="SingleTxtG"/>
              <w:ind w:left="2552" w:hanging="2268"/>
            </w:pPr>
            <w:r w:rsidRPr="00B34EC0">
              <w:rPr>
                <w:szCs w:val="24"/>
                <w:lang w:val="fr-FR"/>
              </w:rPr>
              <w:tab/>
              <w:t>ECE/TRANS/WP.15/AC.2/58 (par</w:t>
            </w:r>
            <w:r w:rsidR="009F265B">
              <w:rPr>
                <w:szCs w:val="24"/>
                <w:lang w:val="fr-FR"/>
              </w:rPr>
              <w:t>. </w:t>
            </w:r>
            <w:r w:rsidRPr="00B34EC0">
              <w:rPr>
                <w:szCs w:val="24"/>
                <w:lang w:val="fr-FR"/>
              </w:rPr>
              <w:t>55 à 57).</w:t>
            </w:r>
          </w:p>
        </w:tc>
      </w:tr>
      <w:tr w:rsidR="00B34EC0" w:rsidTr="00FC1EFD">
        <w:trPr>
          <w:jc w:val="center"/>
        </w:trPr>
        <w:tc>
          <w:tcPr>
            <w:tcW w:w="9637" w:type="dxa"/>
            <w:shd w:val="clear" w:color="auto" w:fill="auto"/>
          </w:tcPr>
          <w:p w:rsidR="00B34EC0" w:rsidRPr="00B34EC0" w:rsidRDefault="00B34EC0" w:rsidP="00FC1EFD">
            <w:pPr>
              <w:jc w:val="center"/>
              <w:rPr>
                <w:b/>
              </w:rPr>
            </w:pPr>
          </w:p>
        </w:tc>
      </w:tr>
    </w:tbl>
    <w:p w:rsidR="00B34EC0" w:rsidRDefault="00B34EC0" w:rsidP="00B34EC0">
      <w:pPr>
        <w:rPr>
          <w:lang w:val="fr-FR"/>
        </w:rPr>
      </w:pPr>
    </w:p>
    <w:p w:rsidR="00A47066" w:rsidRPr="002E3BD1" w:rsidRDefault="00A47066" w:rsidP="00A22B5C">
      <w:pPr>
        <w:pStyle w:val="HChG"/>
        <w:rPr>
          <w:lang w:val="fr-FR"/>
        </w:rPr>
      </w:pPr>
      <w:r w:rsidRPr="002E3BD1">
        <w:rPr>
          <w:lang w:val="fr-FR"/>
        </w:rPr>
        <w:tab/>
        <w:t>I.</w:t>
      </w:r>
      <w:r w:rsidRPr="002E3BD1">
        <w:rPr>
          <w:lang w:val="fr-FR"/>
        </w:rPr>
        <w:tab/>
        <w:t>Introduction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À la vingt-septième session du Comité de sécurité de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ADN (août 2015), les Pays</w:t>
      </w:r>
      <w:r w:rsidR="009F265B">
        <w:rPr>
          <w:rFonts w:eastAsia="SimSun"/>
          <w:lang w:val="fr-FR" w:eastAsia="zh-CN"/>
        </w:rPr>
        <w:noBreakHyphen/>
      </w:r>
      <w:r w:rsidRPr="002E3BD1">
        <w:rPr>
          <w:rFonts w:eastAsia="SimSun"/>
          <w:lang w:val="fr-FR" w:eastAsia="zh-CN"/>
        </w:rPr>
        <w:t>Bas ont soumis pour examen le document ECE/TRANS/WP.15/AC.2/2015/18, dans lequel figure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interprétation nationale (néerlandaise) relative au paragraphe 7.2.4.25.5.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 xml:space="preserve">La proposition néerlandaise visait à appliquer également les dispositions actuelles du paragraphe 7.2.4.25.5 dans le cas où la cargaison précédente aurait également nécessité un </w:t>
      </w:r>
      <w:r>
        <w:rPr>
          <w:rFonts w:eastAsia="SimSun"/>
          <w:lang w:val="fr-FR" w:eastAsia="zh-CN"/>
        </w:rPr>
        <w:t>«</w:t>
      </w:r>
      <w:r w:rsidR="00E55CF9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bateau du type fermé</w:t>
      </w:r>
      <w:r w:rsidR="00E55CF9">
        <w:rPr>
          <w:rFonts w:eastAsia="SimSun"/>
          <w:lang w:val="fr-FR" w:eastAsia="zh-CN"/>
        </w:rPr>
        <w:t> </w:t>
      </w:r>
      <w:r>
        <w:rPr>
          <w:rFonts w:eastAsia="SimSun"/>
          <w:lang w:val="fr-FR" w:eastAsia="zh-CN"/>
        </w:rPr>
        <w:t>»</w:t>
      </w:r>
      <w:r w:rsidRPr="002E3BD1">
        <w:rPr>
          <w:rFonts w:eastAsia="SimSun"/>
          <w:lang w:val="fr-FR" w:eastAsia="zh-CN"/>
        </w:rPr>
        <w:t xml:space="preserve"> conformément à la colonne (7) du tableau C du chapitre 3.2.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Le Comité a prié les Pays-Bas et la France de soumettre une proposition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amendement au 7.2.4.25.5 du Règlement annexé à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ADN (voir ECE/TRANS/</w:t>
      </w:r>
      <w:r w:rsidR="00B34EC0">
        <w:rPr>
          <w:rFonts w:eastAsia="SimSun"/>
          <w:lang w:val="fr-FR" w:eastAsia="zh-CN"/>
        </w:rPr>
        <w:t xml:space="preserve"> </w:t>
      </w:r>
      <w:r w:rsidRPr="002E3BD1">
        <w:rPr>
          <w:rFonts w:eastAsia="SimSun"/>
          <w:lang w:val="fr-FR" w:eastAsia="zh-CN"/>
        </w:rPr>
        <w:t>WP.15/AC.2/56, par</w:t>
      </w:r>
      <w:r w:rsidR="009F265B">
        <w:rPr>
          <w:rFonts w:eastAsia="SimSun"/>
          <w:lang w:val="fr-FR" w:eastAsia="zh-CN"/>
        </w:rPr>
        <w:t>. </w:t>
      </w:r>
      <w:r w:rsidRPr="002E3BD1">
        <w:rPr>
          <w:rFonts w:eastAsia="SimSun"/>
          <w:lang w:val="fr-FR" w:eastAsia="zh-CN"/>
        </w:rPr>
        <w:t>16 et 17).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À la vingt-huitième session toutefois, le Comité n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 pas pu prendre de décision sur la proposition, et le représentant des Pays-Bas a suggéré de soumettre une nouvelle proposition qui tiendrait compte des problèmes rencontrés dans la pratique (voir ECE/</w:t>
      </w:r>
      <w:r w:rsidR="00B34EC0">
        <w:rPr>
          <w:rFonts w:eastAsia="SimSun"/>
          <w:lang w:val="fr-FR" w:eastAsia="zh-CN"/>
        </w:rPr>
        <w:t xml:space="preserve"> </w:t>
      </w:r>
      <w:r w:rsidRPr="002E3BD1">
        <w:rPr>
          <w:rFonts w:eastAsia="SimSun"/>
          <w:lang w:val="fr-FR" w:eastAsia="zh-CN"/>
        </w:rPr>
        <w:t>TRANS/WP.15/AC.2/58, par</w:t>
      </w:r>
      <w:r w:rsidR="009F265B">
        <w:rPr>
          <w:rFonts w:eastAsia="SimSun"/>
          <w:lang w:val="fr-FR" w:eastAsia="zh-CN"/>
        </w:rPr>
        <w:t>. </w:t>
      </w:r>
      <w:r w:rsidRPr="002E3BD1">
        <w:rPr>
          <w:rFonts w:eastAsia="SimSun"/>
          <w:lang w:val="fr-FR" w:eastAsia="zh-CN"/>
        </w:rPr>
        <w:t>55 à 57).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Les Gouvernements de la France et des Pays-Bas sont parvenus à la conclusion que la remarque faite par le représentant du CEFIC allait à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encontre de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objet de la proposition. Dans cette situation, la seule façon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adapter la proposition, et de faire converger les positions de la France, des Pays-Bas et du CEFIC, est de remplacer «</w:t>
      </w:r>
      <w:r w:rsidR="00B34EC0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dégazée</w:t>
      </w:r>
      <w:r w:rsidR="00B34EC0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» par «</w:t>
      </w:r>
      <w:r w:rsidR="00B34EC0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dégazée jusqu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 xml:space="preserve">à moins </w:t>
      </w:r>
      <w:r w:rsidR="00B34EC0">
        <w:rPr>
          <w:rFonts w:eastAsia="SimSun"/>
          <w:lang w:val="fr-FR" w:eastAsia="zh-CN"/>
        </w:rPr>
        <w:t>de 10 </w:t>
      </w:r>
      <w:r w:rsidRPr="002E3BD1">
        <w:rPr>
          <w:rFonts w:eastAsia="SimSun"/>
          <w:lang w:val="fr-FR" w:eastAsia="zh-CN"/>
        </w:rPr>
        <w:t>% de la LIE et sans concentration notable de matières dangereuses</w:t>
      </w:r>
      <w:r w:rsidR="00B34EC0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». Ainsi, lorsque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installation à terre n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est pas équipée pour récupérer les gaz résiduels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une citerne avant le chargement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une cargaison, il n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est pas nécessaire de dégazer la citerne entièrement.</w:t>
      </w:r>
    </w:p>
    <w:p w:rsidR="00A47066" w:rsidRPr="002E3BD1" w:rsidRDefault="00A47066" w:rsidP="00A22B5C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À titre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observation supplémentaire par rapport à la proposition finale, il convient de noter que la colonne (7) du tableau C du chapitre 3.2 a trait à la conception des citernes à cargaison, et non aux bateaux, et que l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 xml:space="preserve">expression </w:t>
      </w:r>
      <w:r>
        <w:rPr>
          <w:rFonts w:eastAsia="SimSun"/>
          <w:lang w:val="fr-FR" w:eastAsia="zh-CN"/>
        </w:rPr>
        <w:t>«</w:t>
      </w:r>
      <w:r w:rsidR="00B34EC0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bateau de type fermé</w:t>
      </w:r>
      <w:r w:rsidR="00B34EC0">
        <w:rPr>
          <w:rFonts w:eastAsia="SimSun"/>
          <w:lang w:val="fr-FR" w:eastAsia="zh-CN"/>
        </w:rPr>
        <w:t> </w:t>
      </w:r>
      <w:r>
        <w:rPr>
          <w:rFonts w:eastAsia="SimSun"/>
          <w:lang w:val="fr-FR" w:eastAsia="zh-CN"/>
        </w:rPr>
        <w:t>»</w:t>
      </w:r>
      <w:r w:rsidRPr="002E3BD1">
        <w:rPr>
          <w:rFonts w:eastAsia="SimSun"/>
          <w:lang w:val="fr-FR" w:eastAsia="zh-CN"/>
        </w:rPr>
        <w:t xml:space="preserve"> est inappropriée.</w:t>
      </w:r>
    </w:p>
    <w:p w:rsidR="00A47066" w:rsidRPr="002E3BD1" w:rsidRDefault="00A47066" w:rsidP="00A22B5C">
      <w:pPr>
        <w:pStyle w:val="HChG"/>
        <w:rPr>
          <w:lang w:val="fr-FR"/>
        </w:rPr>
      </w:pPr>
      <w:r w:rsidRPr="002E3BD1">
        <w:rPr>
          <w:lang w:val="fr-FR"/>
        </w:rPr>
        <w:tab/>
        <w:t>II.</w:t>
      </w:r>
      <w:r w:rsidRPr="002E3BD1">
        <w:rPr>
          <w:lang w:val="fr-FR"/>
        </w:rPr>
        <w:tab/>
        <w:t>Proposition d</w:t>
      </w:r>
      <w:r>
        <w:rPr>
          <w:lang w:val="fr-FR"/>
        </w:rPr>
        <w:t>’</w:t>
      </w:r>
      <w:r w:rsidRPr="002E3BD1">
        <w:rPr>
          <w:lang w:val="fr-FR"/>
        </w:rPr>
        <w:t>amendement</w:t>
      </w:r>
    </w:p>
    <w:p w:rsidR="00A47066" w:rsidRPr="002E3BD1" w:rsidRDefault="00A47066" w:rsidP="00A22B5C">
      <w:pPr>
        <w:pStyle w:val="ParNoG"/>
        <w:rPr>
          <w:rFonts w:eastAsia="SimSun"/>
          <w:spacing w:val="-2"/>
          <w:lang w:val="fr-FR" w:eastAsia="zh-CN"/>
        </w:rPr>
      </w:pPr>
      <w:r w:rsidRPr="002E3BD1">
        <w:rPr>
          <w:rFonts w:eastAsia="SimSun"/>
          <w:lang w:val="fr-FR" w:eastAsia="zh-CN"/>
        </w:rPr>
        <w:t>La proposition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amendement tient compte de la remarque faite au paragraphe 4 ci</w:t>
      </w:r>
      <w:r w:rsidR="009F265B">
        <w:rPr>
          <w:rFonts w:eastAsia="SimSun"/>
          <w:lang w:val="fr-FR" w:eastAsia="zh-CN"/>
        </w:rPr>
        <w:noBreakHyphen/>
      </w:r>
      <w:r w:rsidRPr="002E3BD1">
        <w:rPr>
          <w:rFonts w:eastAsia="SimSun"/>
          <w:lang w:val="fr-FR" w:eastAsia="zh-CN"/>
        </w:rPr>
        <w:t>dessus et de la proposition néerlandaise énoncée dans le document ECE/TRANS/</w:t>
      </w:r>
      <w:r w:rsidR="00B34EC0">
        <w:rPr>
          <w:rFonts w:eastAsia="SimSun"/>
          <w:lang w:val="fr-FR" w:eastAsia="zh-CN"/>
        </w:rPr>
        <w:t xml:space="preserve"> </w:t>
      </w:r>
      <w:r w:rsidRPr="002E3BD1">
        <w:rPr>
          <w:rFonts w:eastAsia="SimSun"/>
          <w:lang w:val="fr-FR" w:eastAsia="zh-CN"/>
        </w:rPr>
        <w:t>WP.15/</w:t>
      </w:r>
      <w:r w:rsidR="00B34EC0">
        <w:rPr>
          <w:rFonts w:eastAsia="SimSun"/>
          <w:lang w:val="fr-FR" w:eastAsia="zh-CN"/>
        </w:rPr>
        <w:t xml:space="preserve"> </w:t>
      </w:r>
      <w:r w:rsidRPr="002E3BD1">
        <w:rPr>
          <w:rFonts w:eastAsia="SimSun"/>
          <w:lang w:val="fr-FR" w:eastAsia="zh-CN"/>
        </w:rPr>
        <w:t>AC.2/2015/18 (le texte supprimé est biffé et le texte ajouté est en caractères gras soulignés)</w:t>
      </w:r>
      <w:r w:rsidR="00A22B5C">
        <w:rPr>
          <w:rFonts w:eastAsia="SimSun"/>
          <w:lang w:val="fr-FR" w:eastAsia="zh-CN"/>
        </w:rPr>
        <w:t> </w:t>
      </w:r>
      <w:r>
        <w:rPr>
          <w:rFonts w:eastAsia="SimSun"/>
          <w:lang w:val="fr-FR" w:eastAsia="zh-CN"/>
        </w:rPr>
        <w:t>:</w:t>
      </w:r>
    </w:p>
    <w:p w:rsidR="00A47066" w:rsidRPr="002E3BD1" w:rsidRDefault="00A47066" w:rsidP="009F265B">
      <w:pPr>
        <w:pStyle w:val="SingleTxtG"/>
        <w:tabs>
          <w:tab w:val="left" w:pos="2835"/>
        </w:tabs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«</w:t>
      </w:r>
      <w:r w:rsidR="00A22B5C">
        <w:rPr>
          <w:rFonts w:eastAsia="SimSun"/>
          <w:lang w:val="fr-FR" w:eastAsia="zh-CN"/>
        </w:rPr>
        <w:t> 7.2.4.25.5</w:t>
      </w:r>
      <w:r w:rsidR="00A22B5C">
        <w:rPr>
          <w:rFonts w:eastAsia="SimSun"/>
          <w:lang w:val="fr-FR" w:eastAsia="zh-CN"/>
        </w:rPr>
        <w:tab/>
      </w:r>
      <w:r w:rsidR="009F265B">
        <w:rPr>
          <w:rFonts w:eastAsia="SimSun"/>
          <w:lang w:val="fr-FR" w:eastAsia="zh-CN"/>
        </w:rPr>
        <w:tab/>
      </w:r>
      <w:r w:rsidRPr="002E3BD1">
        <w:rPr>
          <w:rFonts w:eastAsia="SimSun"/>
          <w:lang w:val="fr-FR" w:eastAsia="zh-CN"/>
        </w:rPr>
        <w:t>Les mélanges gaz-air survenant lors du chargement doivent être renvoyés à terre au moyen d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une conduite de retour de gaz pour autant</w:t>
      </w:r>
      <w:r w:rsidR="00A22B5C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:</w:t>
      </w:r>
    </w:p>
    <w:p w:rsidR="00A47066" w:rsidRPr="002E3BD1" w:rsidRDefault="00A47066" w:rsidP="009F265B">
      <w:pPr>
        <w:pStyle w:val="Bullet2G"/>
        <w:rPr>
          <w:rFonts w:eastAsia="SimSun"/>
          <w:lang w:val="fr-FR" w:eastAsia="zh-CN"/>
        </w:rPr>
      </w:pPr>
      <w:r w:rsidRPr="002E3BD1">
        <w:rPr>
          <w:rFonts w:eastAsia="SimSun"/>
          <w:strike/>
          <w:lang w:val="fr-FR" w:eastAsia="zh-CN"/>
        </w:rPr>
        <w:t>qu</w:t>
      </w:r>
      <w:r>
        <w:rPr>
          <w:rFonts w:eastAsia="SimSun"/>
          <w:strike/>
          <w:lang w:val="fr-FR" w:eastAsia="zh-CN"/>
        </w:rPr>
        <w:t>’</w:t>
      </w:r>
      <w:r w:rsidRPr="002E3BD1">
        <w:rPr>
          <w:rFonts w:eastAsia="SimSun"/>
          <w:strike/>
          <w:lang w:val="fr-FR" w:eastAsia="zh-CN"/>
        </w:rPr>
        <w:t>un bateau du type fermé</w:t>
      </w:r>
      <w:r w:rsidRPr="002E3BD1">
        <w:rPr>
          <w:rFonts w:eastAsia="SimSun"/>
          <w:lang w:val="fr-FR" w:eastAsia="zh-CN"/>
        </w:rPr>
        <w:t xml:space="preserve"> </w:t>
      </w:r>
      <w:r w:rsidRPr="002E3BD1">
        <w:rPr>
          <w:rFonts w:eastAsia="SimSun"/>
          <w:b/>
          <w:u w:val="single"/>
          <w:lang w:val="fr-FR" w:eastAsia="zh-CN"/>
        </w:rPr>
        <w:t>qu</w:t>
      </w:r>
      <w:r>
        <w:rPr>
          <w:rFonts w:eastAsia="SimSun"/>
          <w:b/>
          <w:u w:val="single"/>
          <w:lang w:val="fr-FR" w:eastAsia="zh-CN"/>
        </w:rPr>
        <w:t>’</w:t>
      </w:r>
      <w:r w:rsidRPr="002E3BD1">
        <w:rPr>
          <w:rFonts w:eastAsia="SimSun"/>
          <w:b/>
          <w:u w:val="single"/>
          <w:lang w:val="fr-FR" w:eastAsia="zh-CN"/>
        </w:rPr>
        <w:t>une citerne à cargaison fermée</w:t>
      </w:r>
      <w:r w:rsidRPr="002E3BD1">
        <w:rPr>
          <w:rFonts w:eastAsia="SimSun"/>
          <w:lang w:val="fr-FR" w:eastAsia="zh-CN"/>
        </w:rPr>
        <w:t xml:space="preserve"> est exigée conformément à la colonne (7) du tableau C du chapitre 3.2</w:t>
      </w:r>
      <w:r w:rsidR="009F265B">
        <w:rPr>
          <w:rFonts w:eastAsia="SimSun"/>
          <w:lang w:val="fr-FR" w:eastAsia="zh-CN"/>
        </w:rPr>
        <w:t> </w:t>
      </w:r>
      <w:r w:rsidRPr="002E3BD1">
        <w:rPr>
          <w:rFonts w:eastAsia="SimSun"/>
          <w:lang w:val="fr-FR" w:eastAsia="zh-CN"/>
        </w:rPr>
        <w:t>;</w:t>
      </w:r>
    </w:p>
    <w:p w:rsidR="00A47066" w:rsidRPr="00B34EC0" w:rsidRDefault="00A47066" w:rsidP="009F265B">
      <w:pPr>
        <w:pStyle w:val="SingleTxtG"/>
        <w:ind w:left="1701" w:firstLine="567"/>
        <w:rPr>
          <w:rFonts w:eastAsia="SimSun"/>
          <w:b/>
          <w:bCs/>
          <w:u w:val="single"/>
          <w:lang w:val="fr-FR" w:eastAsia="zh-CN"/>
        </w:rPr>
      </w:pPr>
      <w:r w:rsidRPr="00B34EC0">
        <w:rPr>
          <w:rFonts w:eastAsia="SimSun"/>
          <w:b/>
          <w:u w:val="single"/>
          <w:lang w:val="fr-FR" w:eastAsia="zh-CN"/>
        </w:rPr>
        <w:t>ou</w:t>
      </w:r>
    </w:p>
    <w:p w:rsidR="00A47066" w:rsidRPr="00B34EC0" w:rsidRDefault="00A47066" w:rsidP="009F265B">
      <w:pPr>
        <w:pStyle w:val="Bullet2G"/>
        <w:rPr>
          <w:rFonts w:eastAsia="SimSun"/>
          <w:b/>
          <w:u w:val="single"/>
          <w:lang w:val="fr-FR" w:eastAsia="zh-CN"/>
        </w:rPr>
      </w:pPr>
      <w:r w:rsidRPr="00B34EC0">
        <w:rPr>
          <w:rFonts w:eastAsia="SimSun"/>
          <w:b/>
          <w:u w:val="single"/>
          <w:lang w:val="fr-FR" w:eastAsia="zh-CN"/>
        </w:rPr>
        <w:t>qu’une citerne à cargaison fermée était exigée pour la cargaison précédente, conformément à la colonne (7) du tableau C du chapitre 3.2, et qu’après le déchargement de la cargaison précédente, la concentration de gaz inflammables dans ladite citerne était supérieure à 10</w:t>
      </w:r>
      <w:r w:rsidR="00B34EC0">
        <w:rPr>
          <w:rFonts w:eastAsia="SimSun"/>
          <w:b/>
          <w:u w:val="single"/>
          <w:lang w:val="fr-FR" w:eastAsia="zh-CN"/>
        </w:rPr>
        <w:t> </w:t>
      </w:r>
      <w:r w:rsidRPr="00B34EC0">
        <w:rPr>
          <w:rFonts w:eastAsia="SimSun"/>
          <w:b/>
          <w:u w:val="single"/>
          <w:lang w:val="fr-FR" w:eastAsia="zh-CN"/>
        </w:rPr>
        <w:t>% de la LIE ou que la citerne contenait une concentration notable d’autres gaz dangereux.</w:t>
      </w:r>
      <w:r w:rsidR="00B34EC0">
        <w:rPr>
          <w:rFonts w:eastAsia="SimSun"/>
          <w:b/>
          <w:u w:val="single"/>
          <w:lang w:val="fr-FR" w:eastAsia="zh-CN"/>
        </w:rPr>
        <w:t> </w:t>
      </w:r>
      <w:r w:rsidRPr="009F265B">
        <w:rPr>
          <w:rFonts w:eastAsia="SimSun"/>
          <w:u w:val="single"/>
          <w:lang w:val="fr-FR" w:eastAsia="zh-CN"/>
        </w:rPr>
        <w:t>»</w:t>
      </w:r>
      <w:r w:rsidRPr="00E55CF9">
        <w:rPr>
          <w:rFonts w:eastAsia="SimSun"/>
          <w:u w:val="single"/>
          <w:lang w:val="fr-FR" w:eastAsia="zh-CN"/>
        </w:rPr>
        <w:t>.</w:t>
      </w:r>
    </w:p>
    <w:p w:rsidR="00A47066" w:rsidRPr="002E3BD1" w:rsidRDefault="00A47066" w:rsidP="00B34EC0">
      <w:pPr>
        <w:pStyle w:val="HChG"/>
        <w:rPr>
          <w:lang w:val="fr-FR"/>
        </w:rPr>
      </w:pPr>
      <w:r w:rsidRPr="002E3BD1">
        <w:rPr>
          <w:lang w:val="fr-FR"/>
        </w:rPr>
        <w:lastRenderedPageBreak/>
        <w:tab/>
        <w:t>III.</w:t>
      </w:r>
      <w:r w:rsidRPr="002E3BD1">
        <w:rPr>
          <w:lang w:val="fr-FR"/>
        </w:rPr>
        <w:tab/>
        <w:t>Suite à donner</w:t>
      </w:r>
    </w:p>
    <w:p w:rsidR="00A47066" w:rsidRPr="002E3BD1" w:rsidRDefault="00A47066" w:rsidP="00B34EC0">
      <w:pPr>
        <w:pStyle w:val="ParNoG"/>
        <w:rPr>
          <w:rFonts w:eastAsia="SimSun"/>
          <w:lang w:val="fr-FR" w:eastAsia="zh-CN"/>
        </w:rPr>
      </w:pPr>
      <w:r w:rsidRPr="002E3BD1">
        <w:rPr>
          <w:rFonts w:eastAsia="SimSun"/>
          <w:lang w:val="fr-FR" w:eastAsia="zh-CN"/>
        </w:rPr>
        <w:t>Le Comité de sécurité est invité à examiner la pro</w:t>
      </w:r>
      <w:r w:rsidR="00B34EC0">
        <w:rPr>
          <w:rFonts w:eastAsia="SimSun"/>
          <w:lang w:val="fr-FR" w:eastAsia="zh-CN"/>
        </w:rPr>
        <w:t>position formulée au paragraphe </w:t>
      </w:r>
      <w:r w:rsidRPr="002E3BD1">
        <w:rPr>
          <w:rFonts w:eastAsia="SimSun"/>
          <w:lang w:val="fr-FR" w:eastAsia="zh-CN"/>
        </w:rPr>
        <w:t>7 ci-dessus et à lui donner la suite qu</w:t>
      </w:r>
      <w:r>
        <w:rPr>
          <w:rFonts w:eastAsia="SimSun"/>
          <w:lang w:val="fr-FR" w:eastAsia="zh-CN"/>
        </w:rPr>
        <w:t>’</w:t>
      </w:r>
      <w:r w:rsidRPr="002E3BD1">
        <w:rPr>
          <w:rFonts w:eastAsia="SimSun"/>
          <w:lang w:val="fr-FR" w:eastAsia="zh-CN"/>
        </w:rPr>
        <w:t>il jugera appropriée.</w:t>
      </w:r>
    </w:p>
    <w:p w:rsidR="00F9573C" w:rsidRPr="00A47066" w:rsidRDefault="00A47066" w:rsidP="00A4706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47066" w:rsidSect="008D23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60" w:rsidRDefault="00BA6860" w:rsidP="00F95C08">
      <w:pPr>
        <w:spacing w:line="240" w:lineRule="auto"/>
      </w:pPr>
    </w:p>
  </w:endnote>
  <w:endnote w:type="continuationSeparator" w:id="0">
    <w:p w:rsidR="00BA6860" w:rsidRPr="00AC3823" w:rsidRDefault="00BA6860" w:rsidP="00AC3823">
      <w:pPr>
        <w:pStyle w:val="Footer"/>
      </w:pPr>
    </w:p>
  </w:endnote>
  <w:endnote w:type="continuationNotice" w:id="1">
    <w:p w:rsidR="00BA6860" w:rsidRDefault="00BA68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8" w:rsidRPr="008D2388" w:rsidRDefault="008D2388" w:rsidP="008D2388">
    <w:pPr>
      <w:pStyle w:val="Footer"/>
      <w:tabs>
        <w:tab w:val="right" w:pos="9638"/>
      </w:tabs>
    </w:pPr>
    <w:r w:rsidRPr="008D2388">
      <w:rPr>
        <w:b/>
        <w:sz w:val="18"/>
      </w:rPr>
      <w:fldChar w:fldCharType="begin"/>
    </w:r>
    <w:r w:rsidRPr="008D2388">
      <w:rPr>
        <w:b/>
        <w:sz w:val="18"/>
      </w:rPr>
      <w:instrText xml:space="preserve"> PAGE  \* MERGEFORMAT </w:instrText>
    </w:r>
    <w:r w:rsidRPr="008D2388">
      <w:rPr>
        <w:b/>
        <w:sz w:val="18"/>
      </w:rPr>
      <w:fldChar w:fldCharType="separate"/>
    </w:r>
    <w:r w:rsidR="003C27F5">
      <w:rPr>
        <w:b/>
        <w:noProof/>
        <w:sz w:val="18"/>
      </w:rPr>
      <w:t>2</w:t>
    </w:r>
    <w:r w:rsidRPr="008D2388">
      <w:rPr>
        <w:b/>
        <w:sz w:val="18"/>
      </w:rPr>
      <w:fldChar w:fldCharType="end"/>
    </w:r>
    <w:r>
      <w:rPr>
        <w:b/>
        <w:sz w:val="18"/>
      </w:rPr>
      <w:tab/>
    </w:r>
    <w:r>
      <w:t>GE.16-09293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8" w:rsidRPr="008D2388" w:rsidRDefault="008D2388" w:rsidP="008D2388">
    <w:pPr>
      <w:pStyle w:val="Footer"/>
      <w:tabs>
        <w:tab w:val="right" w:pos="9638"/>
      </w:tabs>
      <w:rPr>
        <w:b/>
        <w:sz w:val="18"/>
      </w:rPr>
    </w:pPr>
    <w:r>
      <w:t>GE.16-09293</w:t>
    </w:r>
    <w:r>
      <w:tab/>
    </w:r>
    <w:r w:rsidRPr="008D2388">
      <w:rPr>
        <w:b/>
        <w:sz w:val="18"/>
      </w:rPr>
      <w:fldChar w:fldCharType="begin"/>
    </w:r>
    <w:r w:rsidRPr="008D2388">
      <w:rPr>
        <w:b/>
        <w:sz w:val="18"/>
      </w:rPr>
      <w:instrText xml:space="preserve"> PAGE  \* MERGEFORMAT </w:instrText>
    </w:r>
    <w:r w:rsidRPr="008D2388">
      <w:rPr>
        <w:b/>
        <w:sz w:val="18"/>
      </w:rPr>
      <w:fldChar w:fldCharType="separate"/>
    </w:r>
    <w:r w:rsidR="003C27F5">
      <w:rPr>
        <w:b/>
        <w:noProof/>
        <w:sz w:val="18"/>
      </w:rPr>
      <w:t>3</w:t>
    </w:r>
    <w:r w:rsidRPr="008D23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D2388" w:rsidRDefault="008D2388" w:rsidP="008D238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8CA6A26" wp14:editId="2856E15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16-09293  (F)</w:t>
    </w:r>
    <w:r w:rsidR="00A22B5C">
      <w:rPr>
        <w:sz w:val="20"/>
      </w:rPr>
      <w:t xml:space="preserve">    220616    2</w:t>
    </w:r>
    <w:r w:rsidR="009F265B">
      <w:rPr>
        <w:sz w:val="20"/>
      </w:rPr>
      <w:t>4</w:t>
    </w:r>
    <w:r w:rsidR="00A22B5C">
      <w:rPr>
        <w:sz w:val="20"/>
      </w:rPr>
      <w:t>0616</w:t>
    </w:r>
    <w:r>
      <w:rPr>
        <w:sz w:val="20"/>
      </w:rPr>
      <w:br/>
    </w:r>
    <w:r w:rsidRPr="008D2388">
      <w:rPr>
        <w:rFonts w:ascii="C39T30Lfz" w:hAnsi="C39T30Lfz"/>
        <w:sz w:val="56"/>
      </w:rPr>
      <w:t></w:t>
    </w:r>
    <w:r w:rsidRPr="008D2388">
      <w:rPr>
        <w:rFonts w:ascii="C39T30Lfz" w:hAnsi="C39T30Lfz"/>
        <w:sz w:val="56"/>
      </w:rPr>
      <w:t></w:t>
    </w:r>
    <w:r w:rsidRPr="008D2388">
      <w:rPr>
        <w:rFonts w:ascii="C39T30Lfz" w:hAnsi="C39T30Lfz"/>
        <w:sz w:val="56"/>
      </w:rPr>
      <w:t></w:t>
    </w:r>
    <w:r w:rsidRPr="008D2388">
      <w:rPr>
        <w:rFonts w:ascii="C39T30Lfz" w:hAnsi="C39T30Lfz"/>
        <w:sz w:val="56"/>
      </w:rPr>
      <w:t></w:t>
    </w:r>
    <w:r w:rsidRPr="008D2388">
      <w:rPr>
        <w:rFonts w:ascii="C39T30Lfz" w:hAnsi="C39T30Lfz"/>
        <w:sz w:val="56"/>
      </w:rPr>
      <w:t></w:t>
    </w:r>
    <w:r w:rsidRPr="008D2388">
      <w:rPr>
        <w:rFonts w:ascii="C39T30Lfz" w:hAnsi="C39T30Lfz"/>
        <w:sz w:val="56"/>
      </w:rPr>
      <w:t></w:t>
    </w:r>
    <w:r w:rsidRPr="008D2388">
      <w:rPr>
        <w:rFonts w:ascii="C39T30Lfz" w:hAnsi="C39T30Lfz"/>
        <w:sz w:val="56"/>
      </w:rPr>
      <w:t></w:t>
    </w:r>
    <w:r w:rsidRPr="008D2388">
      <w:rPr>
        <w:rFonts w:ascii="C39T30Lfz" w:hAnsi="C39T30Lfz"/>
        <w:sz w:val="56"/>
      </w:rPr>
      <w:t></w:t>
    </w:r>
    <w:r w:rsidRPr="008D2388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6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60" w:rsidRPr="00AC3823" w:rsidRDefault="00BA68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6860" w:rsidRPr="00AC3823" w:rsidRDefault="00BA68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6860" w:rsidRPr="00AC3823" w:rsidRDefault="00BA6860">
      <w:pPr>
        <w:spacing w:line="240" w:lineRule="auto"/>
        <w:rPr>
          <w:sz w:val="2"/>
          <w:szCs w:val="2"/>
        </w:rPr>
      </w:pPr>
    </w:p>
  </w:footnote>
  <w:footnote w:id="2">
    <w:p w:rsidR="00A47066" w:rsidRPr="00291666" w:rsidRDefault="00A47066" w:rsidP="00A22B5C">
      <w:pPr>
        <w:pStyle w:val="FootnoteText"/>
      </w:pPr>
      <w:r>
        <w:rPr>
          <w:lang w:val="fr-FR"/>
        </w:rPr>
        <w:tab/>
      </w:r>
      <w:r w:rsidRPr="00A22B5C">
        <w:rPr>
          <w:vertAlign w:val="superscript"/>
          <w:lang w:val="fr-FR"/>
        </w:rPr>
        <w:footnoteRef/>
      </w:r>
      <w:r>
        <w:rPr>
          <w:lang w:val="fr-FR"/>
        </w:rPr>
        <w:tab/>
        <w:t>Diffusée en langue allemande par la Commission centrale pour la navigation du Rhin sous la cote CCNR-ZKR/ADN/WP.15/AC.2/2016/44.</w:t>
      </w:r>
    </w:p>
  </w:footnote>
  <w:footnote w:id="3">
    <w:p w:rsidR="00A47066" w:rsidRPr="003D077D" w:rsidRDefault="00A47066" w:rsidP="00A22B5C">
      <w:pPr>
        <w:pStyle w:val="FootnoteText"/>
      </w:pPr>
      <w:r>
        <w:rPr>
          <w:lang w:val="fr-FR"/>
        </w:rPr>
        <w:tab/>
      </w:r>
      <w:r w:rsidRPr="00A22B5C">
        <w:rPr>
          <w:vertAlign w:val="superscript"/>
          <w:lang w:val="fr-FR"/>
        </w:rPr>
        <w:footnoteRef/>
      </w:r>
      <w:r>
        <w:rPr>
          <w:lang w:val="fr-FR"/>
        </w:rPr>
        <w:tab/>
        <w:t>Conformément au programme de travail du Comité des transports intérieurs pour la période 2016</w:t>
      </w:r>
      <w:r w:rsidR="00E55CF9">
        <w:rPr>
          <w:lang w:val="fr-FR"/>
        </w:rPr>
        <w:noBreakHyphen/>
      </w:r>
      <w:r>
        <w:rPr>
          <w:lang w:val="fr-FR"/>
        </w:rPr>
        <w:t>2017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8" w:rsidRPr="008D2388" w:rsidRDefault="008D2388">
    <w:pPr>
      <w:pStyle w:val="Header"/>
    </w:pPr>
    <w:r>
      <w:t>ECE/TRANS/WP.15/AC.2/2016/44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8" w:rsidRPr="008D2388" w:rsidRDefault="008D2388" w:rsidP="008D2388">
    <w:pPr>
      <w:pStyle w:val="Header"/>
      <w:jc w:val="right"/>
    </w:pPr>
    <w:r>
      <w:t>ECE/TRANS/WP.15/AC.2/2016/44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60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27F5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2388"/>
    <w:rsid w:val="009705C8"/>
    <w:rsid w:val="009C1CF4"/>
    <w:rsid w:val="009F265B"/>
    <w:rsid w:val="009F6B74"/>
    <w:rsid w:val="00A22B5C"/>
    <w:rsid w:val="00A30353"/>
    <w:rsid w:val="00A47066"/>
    <w:rsid w:val="00AC3823"/>
    <w:rsid w:val="00AE323C"/>
    <w:rsid w:val="00AF0CB5"/>
    <w:rsid w:val="00B00181"/>
    <w:rsid w:val="00B00B0D"/>
    <w:rsid w:val="00B34EC0"/>
    <w:rsid w:val="00B765F7"/>
    <w:rsid w:val="00BA0CA9"/>
    <w:rsid w:val="00BA6860"/>
    <w:rsid w:val="00C02897"/>
    <w:rsid w:val="00D3439C"/>
    <w:rsid w:val="00DB1831"/>
    <w:rsid w:val="00DD3BFD"/>
    <w:rsid w:val="00DF6678"/>
    <w:rsid w:val="00E55CF9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E7AD70-36EA-4B6C-A0C3-8DD8142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22B5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ECE/TRANS/WP.15/AC.2/2016/44</vt:lpstr>
      <vt:lpstr>ECE/TRANS/WP.15/AC.2/2016/44</vt:lpstr>
    </vt:vector>
  </TitlesOfParts>
  <Company>DCM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ECE/TRANS/WP.15/AC.2/2016/44</dc:title>
  <dc:subject>final</dc:subject>
  <dc:creator>Beaunee</dc:creator>
  <cp:keywords/>
  <dc:description/>
  <cp:lastModifiedBy>OICA</cp:lastModifiedBy>
  <cp:revision>2</cp:revision>
  <cp:lastPrinted>2016-06-24T05:19:00Z</cp:lastPrinted>
  <dcterms:created xsi:type="dcterms:W3CDTF">2016-06-27T15:29:00Z</dcterms:created>
  <dcterms:modified xsi:type="dcterms:W3CDTF">2016-06-27T15:29:00Z</dcterms:modified>
</cp:coreProperties>
</file>