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2B56D7">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A92C6B">
              <w:rPr>
                <w:lang w:val="en-GB"/>
              </w:rPr>
              <w:t>3</w:t>
            </w:r>
            <w:r w:rsidR="002B56D7">
              <w:rPr>
                <w:lang w:val="en-GB"/>
              </w:rPr>
              <w:t>9</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786EF4" w:rsidP="00C4302B">
            <w:pPr>
              <w:spacing w:line="240" w:lineRule="exact"/>
              <w:rPr>
                <w:lang w:val="fr-FR"/>
              </w:rPr>
            </w:pPr>
            <w:r>
              <w:rPr>
                <w:lang w:val="fr-FR"/>
              </w:rPr>
              <w:t>8</w:t>
            </w:r>
            <w:bookmarkStart w:id="0" w:name="_GoBack"/>
            <w:bookmarkEnd w:id="0"/>
            <w:r w:rsidR="00143574">
              <w:rPr>
                <w:lang w:val="fr-FR"/>
              </w:rPr>
              <w:t xml:space="preserve"> juin</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Vingt-</w:t>
      </w:r>
      <w:r w:rsidR="00B30CFB">
        <w:rPr>
          <w:b/>
        </w:rPr>
        <w:t>neuvième</w:t>
      </w:r>
      <w:r>
        <w:rPr>
          <w:b/>
        </w:rPr>
        <w:t xml:space="preserve"> </w:t>
      </w:r>
      <w:r w:rsidRPr="00234E40">
        <w:rPr>
          <w:b/>
        </w:rPr>
        <w:t>session</w:t>
      </w:r>
    </w:p>
    <w:p w:rsidR="0049374F" w:rsidRDefault="0049374F" w:rsidP="0049374F">
      <w:r>
        <w:t>Genève, 2</w:t>
      </w:r>
      <w:r w:rsidR="00B30CFB">
        <w:t>2</w:t>
      </w:r>
      <w:r>
        <w:t>-2</w:t>
      </w:r>
      <w:r w:rsidR="00B30CFB">
        <w:t>5</w:t>
      </w:r>
      <w:r>
        <w:t xml:space="preserve"> </w:t>
      </w:r>
      <w:r w:rsidR="00B30CFB">
        <w:t>août</w:t>
      </w:r>
      <w:r>
        <w:t xml:space="preserve"> 2016</w:t>
      </w:r>
    </w:p>
    <w:p w:rsidR="0049374F" w:rsidRDefault="0049374F" w:rsidP="0049374F">
      <w:r w:rsidRPr="00B93E72">
        <w:t xml:space="preserve">Point </w:t>
      </w:r>
      <w:r w:rsidR="0013653F" w:rsidRPr="0013653F">
        <w:t>4</w:t>
      </w:r>
      <w:r w:rsidRPr="0013653F">
        <w:t xml:space="preserve"> </w:t>
      </w:r>
      <w:r w:rsidR="0013653F" w:rsidRPr="0013653F">
        <w:t>b</w:t>
      </w:r>
      <w:r w:rsidRPr="0013653F">
        <w:t>)</w:t>
      </w:r>
      <w:r w:rsidRPr="00B93E72">
        <w:t xml:space="preserve"> de l</w:t>
      </w:r>
      <w:r>
        <w:t>’</w:t>
      </w:r>
      <w:r w:rsidRPr="00B93E72">
        <w:t>ordre du jour provisoire</w:t>
      </w:r>
    </w:p>
    <w:p w:rsidR="00B30CFB" w:rsidRPr="00B30CFB" w:rsidRDefault="00B30CFB" w:rsidP="00B30CFB">
      <w:pPr>
        <w:rPr>
          <w:b/>
          <w:lang w:val="fr-FR"/>
        </w:rPr>
      </w:pPr>
      <w:r w:rsidRPr="00B30CFB">
        <w:rPr>
          <w:b/>
          <w:lang w:val="fr-FR"/>
        </w:rPr>
        <w:t xml:space="preserve">Propositions </w:t>
      </w:r>
      <w:r w:rsidR="0013653F">
        <w:rPr>
          <w:b/>
          <w:lang w:val="fr-FR"/>
        </w:rPr>
        <w:t>d'amendement</w:t>
      </w:r>
      <w:r w:rsidR="005669DD">
        <w:rPr>
          <w:b/>
          <w:lang w:val="fr-FR"/>
        </w:rPr>
        <w:t>s</w:t>
      </w:r>
      <w:r w:rsidR="0013653F">
        <w:rPr>
          <w:b/>
          <w:lang w:val="fr-FR"/>
        </w:rPr>
        <w:t xml:space="preserve"> au R</w:t>
      </w:r>
      <w:r w:rsidRPr="00B30CFB">
        <w:rPr>
          <w:b/>
          <w:lang w:val="fr-FR"/>
        </w:rPr>
        <w:t>èglement annexé à l'ADN :</w:t>
      </w:r>
    </w:p>
    <w:p w:rsidR="0049374F" w:rsidRPr="00C63AC1" w:rsidRDefault="0013653F" w:rsidP="00B30CFB">
      <w:proofErr w:type="gramStart"/>
      <w:r>
        <w:rPr>
          <w:b/>
          <w:lang w:val="fr-FR"/>
        </w:rPr>
        <w:t>autres</w:t>
      </w:r>
      <w:proofErr w:type="gramEnd"/>
      <w:r>
        <w:rPr>
          <w:b/>
          <w:lang w:val="fr-FR"/>
        </w:rPr>
        <w:t xml:space="preserve"> propositions</w:t>
      </w:r>
    </w:p>
    <w:p w:rsidR="00A86837" w:rsidRPr="00EA0C87" w:rsidRDefault="0049374F" w:rsidP="00A86837">
      <w:pPr>
        <w:pStyle w:val="HChG"/>
      </w:pPr>
      <w:r w:rsidRPr="00C63AC1">
        <w:tab/>
      </w:r>
      <w:r w:rsidR="00A86837" w:rsidRPr="00C63AC1">
        <w:tab/>
      </w:r>
      <w:r w:rsidR="00E30A6C" w:rsidRPr="00E30A6C">
        <w:rPr>
          <w:bCs/>
          <w:lang w:val="fr-FR"/>
        </w:rPr>
        <w:t>Modification et précisions concernant 7.1.4.1.1 et 7.1.4.1.2</w:t>
      </w:r>
    </w:p>
    <w:p w:rsidR="00A86837" w:rsidRDefault="00A86837" w:rsidP="00D96366">
      <w:pPr>
        <w:pStyle w:val="H1G"/>
        <w:rPr>
          <w:lang w:val="fr-FR"/>
        </w:rPr>
      </w:pPr>
      <w:r w:rsidRPr="00EA0C87">
        <w:tab/>
      </w:r>
      <w:r w:rsidRPr="00EA0C87">
        <w:tab/>
      </w:r>
      <w:r w:rsidR="00AA5B1E" w:rsidRPr="00AA5B1E">
        <w:rPr>
          <w:lang w:val="fr-FR"/>
        </w:rPr>
        <w:t xml:space="preserve">Transmis conjointement par l'Union européenne de la navigation fluviale (UENF), par la </w:t>
      </w:r>
      <w:proofErr w:type="spellStart"/>
      <w:r w:rsidR="00AA5B1E" w:rsidRPr="00AA5B1E">
        <w:rPr>
          <w:lang w:val="fr-FR"/>
        </w:rPr>
        <w:t>European</w:t>
      </w:r>
      <w:proofErr w:type="spellEnd"/>
      <w:r w:rsidR="00AA5B1E" w:rsidRPr="00AA5B1E">
        <w:rPr>
          <w:lang w:val="fr-FR"/>
        </w:rPr>
        <w:t xml:space="preserve"> River </w:t>
      </w:r>
      <w:proofErr w:type="spellStart"/>
      <w:r w:rsidR="00AA5B1E" w:rsidRPr="00AA5B1E">
        <w:rPr>
          <w:lang w:val="fr-FR"/>
        </w:rPr>
        <w:t>Sea</w:t>
      </w:r>
      <w:proofErr w:type="spellEnd"/>
      <w:r w:rsidR="00AA5B1E" w:rsidRPr="00AA5B1E">
        <w:rPr>
          <w:lang w:val="fr-FR"/>
        </w:rPr>
        <w:t xml:space="preserve"> Transport Union (ERSTU) et par l'Organisation européenne des bateliers (OEB)</w:t>
      </w:r>
      <w:r w:rsidR="00E53D77" w:rsidRPr="00497E7A">
        <w:rPr>
          <w:noProof/>
          <w:snapToGrid w:val="0"/>
          <w:szCs w:val="24"/>
          <w:vertAlign w:val="superscript"/>
          <w:lang w:val="fr-FR" w:eastAsia="fr-FR"/>
        </w:rPr>
        <w:footnoteReference w:id="2"/>
      </w:r>
      <w:r w:rsidR="0013653F" w:rsidRPr="00E97EE2">
        <w:rPr>
          <w:vertAlign w:val="superscript"/>
          <w:lang w:val="fr-FR"/>
        </w:rPr>
        <w:t>,</w:t>
      </w:r>
      <w:r w:rsidR="0013653F">
        <w:rPr>
          <w:lang w:val="fr-FR"/>
        </w:rPr>
        <w:t xml:space="preserve"> </w:t>
      </w:r>
      <w:r w:rsidR="0013653F" w:rsidRPr="0013653F">
        <w:rPr>
          <w:rStyle w:val="FootnoteReference"/>
          <w:sz w:val="24"/>
          <w:szCs w:val="24"/>
        </w:rPr>
        <w:footnoteReference w:id="3"/>
      </w:r>
    </w:p>
    <w:p w:rsidR="00FF1E43" w:rsidRPr="00FF1E43" w:rsidRDefault="00AA5B1E" w:rsidP="00E30A6C">
      <w:pPr>
        <w:pStyle w:val="HChG"/>
        <w:rPr>
          <w:lang w:val="fr-FR"/>
        </w:rPr>
      </w:pPr>
      <w:r>
        <w:rPr>
          <w:lang w:val="fr-FR"/>
        </w:rPr>
        <w:tab/>
      </w:r>
      <w:r>
        <w:rPr>
          <w:lang w:val="fr-FR"/>
        </w:rPr>
        <w:tab/>
      </w:r>
      <w:r w:rsidR="00FF1E43" w:rsidRPr="00FF1E43">
        <w:rPr>
          <w:lang w:val="fr-FR"/>
        </w:rPr>
        <w:t>Introduction</w:t>
      </w:r>
    </w:p>
    <w:p w:rsidR="00E30A6C" w:rsidRPr="00E30A6C" w:rsidRDefault="00E30A6C" w:rsidP="00E30A6C">
      <w:pPr>
        <w:pStyle w:val="SingleTxtG"/>
        <w:rPr>
          <w:lang w:val="fr-FR"/>
        </w:rPr>
      </w:pPr>
      <w:r w:rsidRPr="00E30A6C">
        <w:rPr>
          <w:lang w:val="fr-FR"/>
        </w:rPr>
        <w:t>1.</w:t>
      </w:r>
      <w:r w:rsidRPr="00E30A6C">
        <w:rPr>
          <w:lang w:val="fr-FR"/>
        </w:rPr>
        <w:tab/>
        <w:t>Le 7.1.4.1.1 ADN contient des prescriptions relatives aux quantités maximales de marchandises dangereuses (masses brutes) - avec différenciation selon les catégories de marchandises dangereuses - qui ne doivent pas être dépassées à bord d'un bateau. Sous réserve des dispositions du 7.1.4.1.3, le 7.1.4.1.2 dispose que peuvent être transportées au maximum 1</w:t>
      </w:r>
      <w:r w:rsidR="002023CD">
        <w:rPr>
          <w:lang w:val="fr-FR"/>
        </w:rPr>
        <w:t xml:space="preserve"> </w:t>
      </w:r>
      <w:r w:rsidRPr="00E30A6C">
        <w:rPr>
          <w:lang w:val="fr-FR"/>
        </w:rPr>
        <w:t>100</w:t>
      </w:r>
      <w:r w:rsidR="002023CD">
        <w:rPr>
          <w:lang w:val="fr-FR"/>
        </w:rPr>
        <w:t xml:space="preserve"> </w:t>
      </w:r>
      <w:r w:rsidRPr="00E30A6C">
        <w:rPr>
          <w:lang w:val="fr-FR"/>
        </w:rPr>
        <w:t>000 kg de marchandises dangereuses par bateau.</w:t>
      </w:r>
    </w:p>
    <w:p w:rsidR="00E30A6C" w:rsidRPr="00E30A6C" w:rsidRDefault="00E30A6C" w:rsidP="00E30A6C">
      <w:pPr>
        <w:pStyle w:val="SingleTxtG"/>
        <w:rPr>
          <w:lang w:val="fr-FR"/>
        </w:rPr>
      </w:pPr>
      <w:r w:rsidRPr="00E30A6C">
        <w:rPr>
          <w:lang w:val="fr-FR"/>
        </w:rPr>
        <w:t>2.</w:t>
      </w:r>
      <w:r w:rsidRPr="00E30A6C">
        <w:rPr>
          <w:lang w:val="fr-FR"/>
        </w:rPr>
        <w:tab/>
        <w:t>La réserve prévue au 7.1.4.1.3 prévoit une s</w:t>
      </w:r>
      <w:r w:rsidR="002023CD">
        <w:rPr>
          <w:lang w:val="fr-FR"/>
        </w:rPr>
        <w:t>ubdivision supplémentaire par</w:t>
      </w:r>
      <w:proofErr w:type="gramStart"/>
      <w:r w:rsidR="002023CD">
        <w:rPr>
          <w:lang w:val="fr-FR"/>
        </w:rPr>
        <w:t xml:space="preserve"> «étiquette</w:t>
      </w:r>
      <w:proofErr w:type="gramEnd"/>
      <w:r w:rsidR="002023CD">
        <w:rPr>
          <w:lang w:val="fr-FR"/>
        </w:rPr>
        <w:t xml:space="preserve"> de danger 1</w:t>
      </w:r>
      <w:r w:rsidRPr="00E30A6C">
        <w:rPr>
          <w:lang w:val="fr-FR"/>
        </w:rPr>
        <w:t xml:space="preserve">», mais selon certaines sous-sections, cela ne s'applique pas aux bateaux à double coque. Les bateaux à double coque qui satisfont à certains critères peuvent transporter des marchandises dangereuses en quantités illimitées. A cet égard, pour les limitations de </w:t>
      </w:r>
      <w:r w:rsidRPr="00E30A6C">
        <w:rPr>
          <w:lang w:val="fr-FR"/>
        </w:rPr>
        <w:lastRenderedPageBreak/>
        <w:t>quantités au 7.1.4.1.1, figure parfois l</w:t>
      </w:r>
      <w:r w:rsidR="002023CD">
        <w:rPr>
          <w:lang w:val="fr-FR"/>
        </w:rPr>
        <w:t>a mention</w:t>
      </w:r>
      <w:proofErr w:type="gramStart"/>
      <w:r w:rsidR="002023CD">
        <w:rPr>
          <w:lang w:val="fr-FR"/>
        </w:rPr>
        <w:t xml:space="preserve"> «illimité</w:t>
      </w:r>
      <w:proofErr w:type="gramEnd"/>
      <w:r w:rsidR="002023CD">
        <w:rPr>
          <w:lang w:val="fr-FR"/>
        </w:rPr>
        <w:t>» Comment interpréter ce mot «illimité</w:t>
      </w:r>
      <w:r w:rsidRPr="00E30A6C">
        <w:rPr>
          <w:lang w:val="fr-FR"/>
        </w:rPr>
        <w:t xml:space="preserve">» ? </w:t>
      </w:r>
    </w:p>
    <w:p w:rsidR="00E30A6C" w:rsidRPr="00E30A6C" w:rsidRDefault="00E30A6C" w:rsidP="00E30A6C">
      <w:pPr>
        <w:pStyle w:val="SingleTxtG"/>
        <w:rPr>
          <w:lang w:val="fr-FR"/>
        </w:rPr>
      </w:pPr>
      <w:r w:rsidRPr="00E30A6C">
        <w:rPr>
          <w:lang w:val="fr-FR"/>
        </w:rPr>
        <w:t>3.</w:t>
      </w:r>
      <w:r w:rsidRPr="00E30A6C">
        <w:rPr>
          <w:lang w:val="fr-FR"/>
        </w:rPr>
        <w:tab/>
        <w:t>Le texte en vigueur a fait l'objet de diverses modifications au fil des ans, en plusieurs occasions, et celles-ci ont toujours semblé nécessaires et pertinentes en tant que telles. Mais dans son ensemble, le texte actuel est désormais difficilement compréhensible pour un usager non averti et présente des risques de malentendus entre l'équipage du bateau et les autorités de contrôle.</w:t>
      </w:r>
    </w:p>
    <w:p w:rsidR="00E30A6C" w:rsidRPr="00E30A6C" w:rsidRDefault="00E30A6C" w:rsidP="00E30A6C">
      <w:pPr>
        <w:pStyle w:val="SingleTxtG"/>
        <w:rPr>
          <w:lang w:val="fr-FR"/>
        </w:rPr>
      </w:pPr>
      <w:r w:rsidRPr="00E30A6C">
        <w:rPr>
          <w:lang w:val="fr-FR"/>
        </w:rPr>
        <w:t>4.</w:t>
      </w:r>
      <w:r w:rsidRPr="00E30A6C">
        <w:rPr>
          <w:lang w:val="fr-FR"/>
        </w:rPr>
        <w:tab/>
        <w:t>La profession européenne de la navigation intérieure propose par conséquent une révision du 7.1.4.1.1. Une proposition est annexée à la présente.</w:t>
      </w:r>
    </w:p>
    <w:p w:rsidR="00AA5B1E" w:rsidRPr="00FF1E43" w:rsidRDefault="00E30A6C" w:rsidP="00E30A6C">
      <w:pPr>
        <w:pStyle w:val="SingleTxtG"/>
        <w:rPr>
          <w:lang w:val="fr-FR"/>
        </w:rPr>
      </w:pPr>
      <w:r w:rsidRPr="00E30A6C">
        <w:rPr>
          <w:lang w:val="fr-FR"/>
        </w:rPr>
        <w:t>5.</w:t>
      </w:r>
      <w:r w:rsidRPr="00E30A6C">
        <w:rPr>
          <w:lang w:val="fr-FR"/>
        </w:rPr>
        <w:tab/>
        <w:t>La profession européenne de la navigation intérieure propose en outre de charger un groupe de travail de ces travaux. La profession a préparé des documents qui informeront les membres d'un tel groupe de la rédaction des différentes versions du 7.1.4.1.1 entrées en vigueur depuis 2003.</w:t>
      </w:r>
    </w:p>
    <w:p w:rsidR="00FF1E43" w:rsidRPr="00AA5B1E" w:rsidRDefault="00AA5B1E" w:rsidP="00E30A6C">
      <w:pPr>
        <w:pStyle w:val="HChG"/>
      </w:pPr>
      <w:r>
        <w:rPr>
          <w:lang w:val="fr-FR"/>
        </w:rPr>
        <w:tab/>
      </w:r>
      <w:r>
        <w:rPr>
          <w:lang w:val="fr-FR"/>
        </w:rPr>
        <w:tab/>
      </w:r>
      <w:r w:rsidR="00E30A6C">
        <w:rPr>
          <w:lang w:val="fr-FR"/>
        </w:rPr>
        <w:t xml:space="preserve">Proposition </w:t>
      </w:r>
    </w:p>
    <w:p w:rsidR="00FF1E43" w:rsidRDefault="00E30A6C" w:rsidP="00AA5B1E">
      <w:pPr>
        <w:pStyle w:val="SingleTxtG"/>
        <w:rPr>
          <w:lang w:val="fr-FR"/>
        </w:rPr>
      </w:pPr>
      <w:r w:rsidRPr="00E30A6C">
        <w:rPr>
          <w:lang w:val="fr-FR"/>
        </w:rPr>
        <w:t>7.1.4.1.1</w:t>
      </w:r>
      <w:r w:rsidRPr="00E30A6C">
        <w:rPr>
          <w:lang w:val="fr-FR"/>
        </w:rPr>
        <w:tab/>
        <w:t>Sous réserve du 7.1.4.1.3, les masses brutes suivantes ne doivent pas être dépassées sur un bateau. Pour les convois poussés et les formations à couple cette masse brute s’applique à chaque unité du convoi ou de la formation.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1"/>
        <w:gridCol w:w="2269"/>
      </w:tblGrid>
      <w:tr w:rsidR="00E30A6C" w:rsidRPr="00E30A6C" w:rsidTr="00E30A6C">
        <w:trPr>
          <w:trHeight w:val="298"/>
          <w:tblHeader/>
        </w:trPr>
        <w:tc>
          <w:tcPr>
            <w:tcW w:w="7830" w:type="dxa"/>
            <w:gridSpan w:val="2"/>
            <w:tcBorders>
              <w:top w:val="single" w:sz="4" w:space="0" w:color="auto"/>
              <w:bottom w:val="single" w:sz="12" w:space="0" w:color="auto"/>
            </w:tcBorders>
            <w:shd w:val="clear" w:color="auto" w:fill="auto"/>
            <w:tcMar>
              <w:top w:w="57" w:type="dxa"/>
              <w:bottom w:w="57" w:type="dxa"/>
            </w:tcMar>
            <w:vAlign w:val="bottom"/>
          </w:tcPr>
          <w:p w:rsidR="00E30A6C" w:rsidRPr="00E30A6C" w:rsidRDefault="00E30A6C" w:rsidP="00E30A6C">
            <w:pPr>
              <w:suppressAutoHyphens w:val="0"/>
              <w:overflowPunct w:val="0"/>
              <w:autoSpaceDE w:val="0"/>
              <w:autoSpaceDN w:val="0"/>
              <w:adjustRightInd w:val="0"/>
              <w:spacing w:before="80" w:after="80" w:line="200" w:lineRule="exact"/>
              <w:ind w:right="113"/>
              <w:textAlignment w:val="baseline"/>
              <w:rPr>
                <w:i/>
                <w:sz w:val="16"/>
                <w:lang w:val="fr-FR" w:eastAsia="fr-FR"/>
              </w:rPr>
            </w:pPr>
            <w:proofErr w:type="spellStart"/>
            <w:r w:rsidRPr="00E30A6C">
              <w:rPr>
                <w:i/>
                <w:sz w:val="16"/>
                <w:lang w:val="nl-NL" w:eastAsia="fr-FR"/>
              </w:rPr>
              <w:t>Classe</w:t>
            </w:r>
            <w:proofErr w:type="spellEnd"/>
            <w:r w:rsidRPr="00E30A6C">
              <w:rPr>
                <w:i/>
                <w:sz w:val="16"/>
                <w:lang w:val="nl-NL" w:eastAsia="fr-FR"/>
              </w:rPr>
              <w:t xml:space="preserve"> 1</w:t>
            </w:r>
          </w:p>
        </w:tc>
      </w:tr>
      <w:tr w:rsidR="00E30A6C" w:rsidRPr="00E30A6C" w:rsidTr="00E30A6C">
        <w:trPr>
          <w:trHeight w:val="567"/>
        </w:trPr>
        <w:tc>
          <w:tcPr>
            <w:tcW w:w="5420" w:type="dxa"/>
            <w:tcBorders>
              <w:top w:val="single" w:sz="12" w:space="0" w:color="auto"/>
            </w:tcBorders>
            <w:shd w:val="clear" w:color="auto" w:fill="auto"/>
            <w:tcMar>
              <w:top w:w="57" w:type="dxa"/>
              <w:bottom w:w="57" w:type="dxa"/>
            </w:tcMar>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Toutes les matières de la division 1.1 du groupe de compatibilité A</w:t>
            </w:r>
          </w:p>
        </w:tc>
        <w:tc>
          <w:tcPr>
            <w:tcW w:w="2410" w:type="dxa"/>
            <w:tcBorders>
              <w:top w:val="single" w:sz="12" w:space="0" w:color="auto"/>
            </w:tcBorders>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90 kg</w:t>
            </w:r>
            <w:r w:rsidRPr="00E30A6C">
              <w:rPr>
                <w:vertAlign w:val="superscript"/>
                <w:lang w:val="nl-NL" w:eastAsia="fr-FR"/>
              </w:rPr>
              <w:t>1)</w:t>
            </w:r>
          </w:p>
        </w:tc>
      </w:tr>
      <w:tr w:rsidR="00E30A6C" w:rsidRPr="00E30A6C" w:rsidTr="00E30A6C">
        <w:trPr>
          <w:trHeight w:val="567"/>
        </w:trPr>
        <w:tc>
          <w:tcPr>
            <w:tcW w:w="5420" w:type="dxa"/>
            <w:shd w:val="clear" w:color="auto" w:fill="auto"/>
            <w:tcMar>
              <w:top w:w="57" w:type="dxa"/>
              <w:bottom w:w="57" w:type="dxa"/>
            </w:tcMar>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Tous les matières et objets de la division 1.1 des groupes de compatibilité B, C, D, E, F, G, J ou L</w:t>
            </w:r>
          </w:p>
        </w:tc>
        <w:tc>
          <w:tcPr>
            <w:tcW w:w="241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15 000 kg</w:t>
            </w:r>
            <w:r w:rsidRPr="00E30A6C">
              <w:rPr>
                <w:vertAlign w:val="superscript"/>
                <w:lang w:val="nl-NL" w:eastAsia="fr-FR"/>
              </w:rPr>
              <w:t>2)</w:t>
            </w:r>
          </w:p>
        </w:tc>
      </w:tr>
      <w:tr w:rsidR="00E30A6C" w:rsidRPr="00E30A6C" w:rsidTr="00E30A6C">
        <w:trPr>
          <w:trHeight w:val="567"/>
        </w:trPr>
        <w:tc>
          <w:tcPr>
            <w:tcW w:w="5420" w:type="dxa"/>
            <w:shd w:val="clear" w:color="auto" w:fill="auto"/>
            <w:tcMar>
              <w:top w:w="57" w:type="dxa"/>
              <w:bottom w:w="57" w:type="dxa"/>
            </w:tcMar>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Tous les matières et objets de la division 1.2 des groupes de compatibilité B, C, D, E, F, G, H, J ou L</w:t>
            </w:r>
          </w:p>
        </w:tc>
        <w:tc>
          <w:tcPr>
            <w:tcW w:w="241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50 000 kg</w:t>
            </w:r>
          </w:p>
        </w:tc>
      </w:tr>
      <w:tr w:rsidR="00E30A6C" w:rsidRPr="00E30A6C" w:rsidTr="00E30A6C">
        <w:trPr>
          <w:trHeight w:val="567"/>
        </w:trPr>
        <w:tc>
          <w:tcPr>
            <w:tcW w:w="5420" w:type="dxa"/>
            <w:shd w:val="clear" w:color="auto" w:fill="auto"/>
            <w:tcMar>
              <w:top w:w="57" w:type="dxa"/>
              <w:bottom w:w="57" w:type="dxa"/>
            </w:tcMar>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 xml:space="preserve">Tous les matières et objets de la division 1.3 des groupes de compatibilité C, G, H, J ou L </w:t>
            </w:r>
          </w:p>
        </w:tc>
        <w:tc>
          <w:tcPr>
            <w:tcW w:w="241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300 000 kg</w:t>
            </w:r>
            <w:r w:rsidRPr="00E30A6C">
              <w:rPr>
                <w:vertAlign w:val="superscript"/>
                <w:lang w:val="nl-NL" w:eastAsia="fr-FR"/>
              </w:rPr>
              <w:t>3)</w:t>
            </w:r>
          </w:p>
        </w:tc>
      </w:tr>
      <w:tr w:rsidR="00E30A6C" w:rsidRPr="00E30A6C" w:rsidTr="00E30A6C">
        <w:trPr>
          <w:trHeight w:val="567"/>
        </w:trPr>
        <w:tc>
          <w:tcPr>
            <w:tcW w:w="5420" w:type="dxa"/>
            <w:shd w:val="clear" w:color="auto" w:fill="auto"/>
            <w:tcMar>
              <w:top w:w="57" w:type="dxa"/>
              <w:bottom w:w="57" w:type="dxa"/>
            </w:tcMar>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 xml:space="preserve">Tous les matières et objets de la division 1.4 des groupes de compatibilité B, C, D, E, F, G ou S </w:t>
            </w:r>
          </w:p>
        </w:tc>
        <w:tc>
          <w:tcPr>
            <w:tcW w:w="241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1 100 000 kg</w:t>
            </w:r>
          </w:p>
        </w:tc>
      </w:tr>
      <w:tr w:rsidR="00E30A6C" w:rsidRPr="00E30A6C" w:rsidTr="00E30A6C">
        <w:trPr>
          <w:trHeight w:val="567"/>
        </w:trPr>
        <w:tc>
          <w:tcPr>
            <w:tcW w:w="5420" w:type="dxa"/>
            <w:shd w:val="clear" w:color="auto" w:fill="auto"/>
            <w:tcMar>
              <w:top w:w="57" w:type="dxa"/>
              <w:bottom w:w="57" w:type="dxa"/>
            </w:tcMar>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Toutes les matières de la division 1.5 du groupe de compatibilité D</w:t>
            </w:r>
          </w:p>
        </w:tc>
        <w:tc>
          <w:tcPr>
            <w:tcW w:w="241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15 000 kg</w:t>
            </w:r>
            <w:r w:rsidRPr="00E30A6C">
              <w:rPr>
                <w:vertAlign w:val="superscript"/>
                <w:lang w:val="nl-NL" w:eastAsia="fr-FR"/>
              </w:rPr>
              <w:t>2)</w:t>
            </w:r>
          </w:p>
        </w:tc>
      </w:tr>
      <w:tr w:rsidR="00E30A6C" w:rsidRPr="00E30A6C" w:rsidTr="00E30A6C">
        <w:trPr>
          <w:trHeight w:val="567"/>
        </w:trPr>
        <w:tc>
          <w:tcPr>
            <w:tcW w:w="5420" w:type="dxa"/>
            <w:shd w:val="clear" w:color="auto" w:fill="auto"/>
            <w:tcMar>
              <w:top w:w="57" w:type="dxa"/>
              <w:bottom w:w="57" w:type="dxa"/>
            </w:tcMar>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Tous les objets de division 1.6 du groupe de compatibilité N</w:t>
            </w:r>
          </w:p>
        </w:tc>
        <w:tc>
          <w:tcPr>
            <w:tcW w:w="241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300 000 kg</w:t>
            </w:r>
            <w:r w:rsidRPr="00E30A6C">
              <w:rPr>
                <w:vertAlign w:val="superscript"/>
                <w:lang w:val="nl-NL" w:eastAsia="fr-FR"/>
              </w:rPr>
              <w:t>3)</w:t>
            </w:r>
          </w:p>
        </w:tc>
      </w:tr>
      <w:tr w:rsidR="00E30A6C" w:rsidRPr="00E30A6C" w:rsidTr="00E30A6C">
        <w:trPr>
          <w:trHeight w:val="567"/>
        </w:trPr>
        <w:tc>
          <w:tcPr>
            <w:tcW w:w="542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Emballages vides, non nettoyés</w:t>
            </w:r>
          </w:p>
        </w:tc>
        <w:tc>
          <w:tcPr>
            <w:tcW w:w="2410" w:type="dxa"/>
            <w:shd w:val="clear" w:color="auto" w:fill="auto"/>
            <w:tcMar>
              <w:top w:w="57" w:type="dxa"/>
              <w:bottom w:w="57" w:type="dxa"/>
            </w:tcMar>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1 100 000 kg</w:t>
            </w:r>
          </w:p>
        </w:tc>
      </w:tr>
      <w:tr w:rsidR="00E30A6C" w:rsidRPr="00E30A6C" w:rsidTr="00E30A6C">
        <w:tc>
          <w:tcPr>
            <w:tcW w:w="7830" w:type="dxa"/>
            <w:gridSpan w:val="2"/>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rFonts w:eastAsia="Calibri"/>
                <w:b/>
                <w:bCs/>
                <w:i/>
                <w:iCs/>
                <w:sz w:val="18"/>
                <w:szCs w:val="18"/>
                <w:lang w:val="fr-FR" w:eastAsia="fr-FR"/>
              </w:rPr>
            </w:pPr>
            <w:r w:rsidRPr="00E30A6C">
              <w:rPr>
                <w:rFonts w:eastAsia="Calibri"/>
                <w:b/>
                <w:bCs/>
                <w:i/>
                <w:iCs/>
                <w:sz w:val="18"/>
                <w:szCs w:val="18"/>
                <w:lang w:val="fr-FR" w:eastAsia="fr-FR"/>
              </w:rPr>
              <w:t>NOTA :</w:t>
            </w:r>
          </w:p>
          <w:p w:rsidR="00E30A6C" w:rsidRPr="002023CD" w:rsidRDefault="00E30A6C" w:rsidP="002023CD">
            <w:pPr>
              <w:suppressAutoHyphens w:val="0"/>
              <w:autoSpaceDE w:val="0"/>
              <w:autoSpaceDN w:val="0"/>
              <w:adjustRightInd w:val="0"/>
              <w:spacing w:before="40" w:line="220" w:lineRule="exact"/>
              <w:ind w:right="113"/>
              <w:rPr>
                <w:rFonts w:eastAsia="Calibri"/>
                <w:sz w:val="18"/>
                <w:szCs w:val="18"/>
                <w:lang w:val="fr-FR" w:eastAsia="fr-FR"/>
              </w:rPr>
            </w:pPr>
            <w:r w:rsidRPr="002023CD">
              <w:rPr>
                <w:rFonts w:eastAsia="Calibri"/>
                <w:sz w:val="18"/>
                <w:szCs w:val="18"/>
                <w:vertAlign w:val="superscript"/>
                <w:lang w:val="fr-FR" w:eastAsia="fr-FR"/>
              </w:rPr>
              <w:t>1)</w:t>
            </w:r>
            <w:r w:rsidRPr="002023CD">
              <w:rPr>
                <w:rFonts w:eastAsia="Calibri"/>
                <w:sz w:val="18"/>
                <w:szCs w:val="18"/>
                <w:lang w:val="fr-FR" w:eastAsia="fr-FR"/>
              </w:rPr>
              <w:t xml:space="preserve"> En 3 lots au moins de 30 kg chacun maximum, distance entre les lots d’au moins 10,00 m.</w:t>
            </w:r>
          </w:p>
          <w:p w:rsidR="00E30A6C" w:rsidRPr="002023CD" w:rsidRDefault="00E30A6C" w:rsidP="002023CD">
            <w:pPr>
              <w:suppressAutoHyphens w:val="0"/>
              <w:autoSpaceDE w:val="0"/>
              <w:autoSpaceDN w:val="0"/>
              <w:adjustRightInd w:val="0"/>
              <w:spacing w:before="40" w:line="220" w:lineRule="exact"/>
              <w:ind w:right="113"/>
              <w:rPr>
                <w:rFonts w:eastAsia="Calibri"/>
                <w:sz w:val="18"/>
                <w:szCs w:val="18"/>
                <w:lang w:val="fr-FR" w:eastAsia="fr-FR"/>
              </w:rPr>
            </w:pPr>
            <w:r w:rsidRPr="002023CD">
              <w:rPr>
                <w:rFonts w:eastAsia="Calibri"/>
                <w:sz w:val="18"/>
                <w:szCs w:val="18"/>
                <w:vertAlign w:val="superscript"/>
                <w:lang w:val="fr-FR" w:eastAsia="fr-FR"/>
              </w:rPr>
              <w:t>2)</w:t>
            </w:r>
            <w:r w:rsidRPr="002023CD">
              <w:rPr>
                <w:rFonts w:eastAsia="Calibri"/>
                <w:sz w:val="18"/>
                <w:szCs w:val="18"/>
                <w:lang w:val="fr-FR" w:eastAsia="fr-FR"/>
              </w:rPr>
              <w:t xml:space="preserve"> En 3 lots au moins de 5 000 kg chacun maximum, distance entre les lots d’au moins 10,00 m.</w:t>
            </w:r>
          </w:p>
          <w:p w:rsidR="00E30A6C" w:rsidRPr="00E30A6C" w:rsidRDefault="00E30A6C" w:rsidP="00E30A6C">
            <w:pPr>
              <w:suppressAutoHyphens w:val="0"/>
              <w:autoSpaceDE w:val="0"/>
              <w:autoSpaceDN w:val="0"/>
              <w:adjustRightInd w:val="0"/>
              <w:spacing w:before="40" w:after="120" w:line="220" w:lineRule="exact"/>
              <w:ind w:right="113"/>
              <w:rPr>
                <w:sz w:val="18"/>
                <w:szCs w:val="18"/>
                <w:lang w:val="fr-FR" w:eastAsia="fr-FR"/>
              </w:rPr>
            </w:pPr>
            <w:r w:rsidRPr="002023CD">
              <w:rPr>
                <w:rFonts w:eastAsia="Calibri"/>
                <w:sz w:val="18"/>
                <w:szCs w:val="18"/>
                <w:vertAlign w:val="superscript"/>
                <w:lang w:val="fr-FR" w:eastAsia="fr-FR"/>
              </w:rPr>
              <w:t>3)</w:t>
            </w:r>
            <w:r w:rsidRPr="002023CD">
              <w:rPr>
                <w:rFonts w:eastAsia="Calibri"/>
                <w:sz w:val="18"/>
                <w:szCs w:val="18"/>
                <w:lang w:val="fr-FR" w:eastAsia="fr-FR"/>
              </w:rPr>
              <w:t xml:space="preserve"> Pas plus de 100 000 kg par cale. Une cloison en bois est admise pour subdiviser une cale.</w:t>
            </w:r>
          </w:p>
        </w:tc>
      </w:tr>
    </w:tbl>
    <w:p w:rsidR="00E30A6C" w:rsidRDefault="00E30A6C" w:rsidP="00AA5B1E">
      <w:pPr>
        <w:pStyle w:val="SingleTxtG"/>
        <w:rPr>
          <w:lang w:val="nl"/>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83"/>
        <w:gridCol w:w="2981"/>
        <w:gridCol w:w="6"/>
      </w:tblGrid>
      <w:tr w:rsidR="00E30A6C" w:rsidRPr="00E30A6C" w:rsidTr="0063675E">
        <w:trPr>
          <w:trHeight w:val="435"/>
        </w:trPr>
        <w:tc>
          <w:tcPr>
            <w:tcW w:w="7370" w:type="dxa"/>
            <w:gridSpan w:val="3"/>
            <w:tcBorders>
              <w:top w:val="single" w:sz="4" w:space="0" w:color="auto"/>
              <w:bottom w:val="single" w:sz="12" w:space="0" w:color="auto"/>
            </w:tcBorders>
            <w:shd w:val="clear" w:color="auto" w:fill="auto"/>
            <w:vAlign w:val="bottom"/>
          </w:tcPr>
          <w:p w:rsidR="00E30A6C" w:rsidRPr="00E30A6C" w:rsidRDefault="00E30A6C" w:rsidP="00E30A6C">
            <w:pPr>
              <w:suppressAutoHyphens w:val="0"/>
              <w:overflowPunct w:val="0"/>
              <w:autoSpaceDE w:val="0"/>
              <w:autoSpaceDN w:val="0"/>
              <w:adjustRightInd w:val="0"/>
              <w:spacing w:before="80" w:after="80" w:line="200" w:lineRule="exact"/>
              <w:ind w:right="113"/>
              <w:textAlignment w:val="baseline"/>
              <w:rPr>
                <w:i/>
                <w:sz w:val="16"/>
                <w:lang w:val="nl" w:eastAsia="fr-FR"/>
              </w:rPr>
            </w:pPr>
            <w:r w:rsidRPr="00E30A6C">
              <w:rPr>
                <w:i/>
                <w:sz w:val="16"/>
                <w:lang w:val="nl" w:eastAsia="fr-FR"/>
              </w:rPr>
              <w:t>Classe 2</w:t>
            </w:r>
          </w:p>
        </w:tc>
      </w:tr>
      <w:tr w:rsidR="00E30A6C" w:rsidRPr="00E30A6C" w:rsidTr="0063675E">
        <w:trPr>
          <w:gridAfter w:val="1"/>
          <w:wAfter w:w="6" w:type="dxa"/>
          <w:trHeight w:val="567"/>
        </w:trPr>
        <w:tc>
          <w:tcPr>
            <w:tcW w:w="4383" w:type="dxa"/>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Toutes les marchandises pour lesquelles le modèle d’étiquette No. 2.1 est exigé à la colonne (5) du tableau A du chapitre 3.2 : total</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300 000 kg</w:t>
            </w:r>
          </w:p>
        </w:tc>
      </w:tr>
      <w:tr w:rsidR="00E30A6C" w:rsidRPr="00E30A6C" w:rsidTr="0063675E">
        <w:trPr>
          <w:gridAfter w:val="1"/>
          <w:wAfter w:w="6" w:type="dxa"/>
          <w:trHeight w:val="567"/>
        </w:trPr>
        <w:tc>
          <w:tcPr>
            <w:tcW w:w="4383" w:type="dxa"/>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Toutes les marchandises pour lesquelles le modèle d’étiquette No. 2.3 est exigé à la colonne (5) du tableau A du chapitre 3.2 : total</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120 000 kg</w:t>
            </w:r>
          </w:p>
        </w:tc>
      </w:tr>
      <w:tr w:rsidR="00E30A6C" w:rsidRPr="00E30A6C" w:rsidTr="0063675E">
        <w:trPr>
          <w:gridAfter w:val="1"/>
          <w:wAfter w:w="6" w:type="dxa"/>
          <w:trHeight w:val="392"/>
        </w:trPr>
        <w:tc>
          <w:tcPr>
            <w:tcW w:w="4383"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Autres marchandises</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Pas de limitation</w:t>
            </w:r>
          </w:p>
        </w:tc>
      </w:tr>
      <w:tr w:rsidR="00E30A6C" w:rsidRPr="00E30A6C" w:rsidTr="0063675E">
        <w:trPr>
          <w:trHeight w:val="336"/>
        </w:trPr>
        <w:tc>
          <w:tcPr>
            <w:tcW w:w="7370" w:type="dxa"/>
            <w:gridSpan w:val="3"/>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nl-NL" w:eastAsia="fr-FR"/>
              </w:rPr>
            </w:pPr>
            <w:proofErr w:type="spellStart"/>
            <w:r w:rsidRPr="00E30A6C">
              <w:rPr>
                <w:i/>
                <w:sz w:val="16"/>
                <w:szCs w:val="16"/>
                <w:lang w:val="nl-NL" w:eastAsia="fr-FR"/>
              </w:rPr>
              <w:t>Classe</w:t>
            </w:r>
            <w:proofErr w:type="spellEnd"/>
            <w:r w:rsidRPr="00E30A6C">
              <w:rPr>
                <w:i/>
                <w:sz w:val="16"/>
                <w:szCs w:val="16"/>
                <w:lang w:val="nl-NL" w:eastAsia="fr-FR"/>
              </w:rPr>
              <w:t xml:space="preserve"> 3</w:t>
            </w:r>
          </w:p>
        </w:tc>
      </w:tr>
      <w:tr w:rsidR="00E30A6C" w:rsidRPr="00E30A6C" w:rsidTr="0063675E">
        <w:trPr>
          <w:gridAfter w:val="1"/>
          <w:wAfter w:w="6" w:type="dxa"/>
          <w:trHeight w:val="1273"/>
        </w:trPr>
        <w:tc>
          <w:tcPr>
            <w:tcW w:w="4383" w:type="dxa"/>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 xml:space="preserve">Toutes les marchandises des groupes d’emballage I ou II pour lesquelles, </w:t>
            </w:r>
            <w:r w:rsidRPr="00E30A6C">
              <w:rPr>
                <w:rFonts w:eastAsia="Calibri"/>
                <w:u w:val="single"/>
                <w:lang w:val="fr-FR" w:eastAsia="fr-FR"/>
              </w:rPr>
              <w:t>en plus de l'étiquette de danger 3,</w:t>
            </w:r>
            <w:r w:rsidRPr="00E30A6C">
              <w:rPr>
                <w:rFonts w:eastAsia="Calibri"/>
                <w:lang w:val="fr-FR" w:eastAsia="fr-FR"/>
              </w:rPr>
              <w:t xml:space="preserve"> le modèle d’étiquette No. 6.1 est exigé à la colonne (5) du tableau A du chapitre 3.2 : </w:t>
            </w:r>
            <w:r w:rsidRPr="00E30A6C">
              <w:rPr>
                <w:rFonts w:eastAsia="Calibri"/>
                <w:lang w:val="fr-FR" w:eastAsia="fr-FR"/>
              </w:rPr>
              <w:br/>
              <w:t>total</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120 000 kg</w:t>
            </w:r>
          </w:p>
        </w:tc>
      </w:tr>
      <w:tr w:rsidR="00E30A6C" w:rsidRPr="00E30A6C" w:rsidTr="0063675E">
        <w:trPr>
          <w:gridAfter w:val="1"/>
          <w:wAfter w:w="6" w:type="dxa"/>
          <w:trHeight w:val="379"/>
        </w:trPr>
        <w:tc>
          <w:tcPr>
            <w:tcW w:w="4383"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Autres marchandises</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strike/>
                <w:u w:val="single"/>
                <w:lang w:val="fr-FR" w:eastAsia="fr-FR"/>
              </w:rPr>
            </w:pPr>
            <w:r w:rsidRPr="00E30A6C">
              <w:rPr>
                <w:strike/>
                <w:u w:val="single"/>
                <w:lang w:val="fr-FR" w:eastAsia="fr-FR"/>
              </w:rPr>
              <w:t>300 000 kg</w:t>
            </w:r>
          </w:p>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u w:val="single"/>
                <w:lang w:val="nl-NL" w:eastAsia="fr-FR"/>
              </w:rPr>
            </w:pPr>
            <w:r w:rsidRPr="00E30A6C">
              <w:rPr>
                <w:u w:val="single"/>
                <w:lang w:val="fr-FR" w:eastAsia="fr-FR"/>
              </w:rPr>
              <w:t>Pas de limitation</w:t>
            </w:r>
          </w:p>
        </w:tc>
      </w:tr>
      <w:tr w:rsidR="00E30A6C" w:rsidRPr="0063675E" w:rsidTr="0063675E">
        <w:trPr>
          <w:trHeight w:val="361"/>
        </w:trPr>
        <w:tc>
          <w:tcPr>
            <w:tcW w:w="7370" w:type="dxa"/>
            <w:gridSpan w:val="3"/>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nl-NL" w:eastAsia="fr-FR"/>
              </w:rPr>
            </w:pPr>
            <w:r w:rsidRPr="00E30A6C">
              <w:rPr>
                <w:i/>
                <w:sz w:val="16"/>
                <w:szCs w:val="16"/>
                <w:lang w:val="nl-NL" w:eastAsia="fr-FR"/>
              </w:rPr>
              <w:t>Classe 4.1</w:t>
            </w:r>
          </w:p>
        </w:tc>
      </w:tr>
      <w:tr w:rsidR="0063675E" w:rsidRPr="00E30A6C" w:rsidTr="0063675E">
        <w:trPr>
          <w:gridAfter w:val="1"/>
          <w:wAfter w:w="6" w:type="dxa"/>
          <w:trHeight w:val="112"/>
        </w:trPr>
        <w:tc>
          <w:tcPr>
            <w:tcW w:w="4383" w:type="dxa"/>
            <w:shd w:val="clear" w:color="auto" w:fill="auto"/>
          </w:tcPr>
          <w:p w:rsidR="00E30A6C" w:rsidRPr="00E30A6C" w:rsidRDefault="00E30A6C" w:rsidP="0063675E">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Nos. ONU 3221, 3222, 3231 et 3232 : total</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15 000 kg</w:t>
            </w:r>
          </w:p>
        </w:tc>
      </w:tr>
      <w:tr w:rsidR="00E30A6C" w:rsidRPr="00E30A6C" w:rsidTr="0063675E">
        <w:trPr>
          <w:gridAfter w:val="1"/>
          <w:wAfter w:w="6" w:type="dxa"/>
          <w:trHeight w:val="2259"/>
        </w:trPr>
        <w:tc>
          <w:tcPr>
            <w:tcW w:w="4383" w:type="dxa"/>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 xml:space="preserve">Toutes les marchandises du groupe d’emballage I ; toutes les marchandises du groupe d’emballage II pour lesquelles, </w:t>
            </w:r>
            <w:r w:rsidRPr="00E30A6C">
              <w:rPr>
                <w:rFonts w:eastAsia="Calibri"/>
                <w:u w:val="single"/>
                <w:lang w:val="fr-FR" w:eastAsia="fr-FR"/>
              </w:rPr>
              <w:t>en plus de l'étiquette de danger 4.1,</w:t>
            </w:r>
            <w:r w:rsidRPr="00E30A6C">
              <w:rPr>
                <w:rFonts w:eastAsia="Calibri"/>
                <w:lang w:val="fr-FR" w:eastAsia="fr-FR"/>
              </w:rPr>
              <w:t xml:space="preserve"> une étiquette du modèle No.6.1 est exigée à la colonne (5) du tableau A du chapitre 3.2 ; les matières </w:t>
            </w:r>
            <w:proofErr w:type="spellStart"/>
            <w:r w:rsidRPr="00E30A6C">
              <w:rPr>
                <w:rFonts w:eastAsia="Calibri"/>
                <w:lang w:val="fr-FR" w:eastAsia="fr-FR"/>
              </w:rPr>
              <w:t>autoréactives</w:t>
            </w:r>
            <w:proofErr w:type="spellEnd"/>
            <w:r w:rsidRPr="00E30A6C">
              <w:rPr>
                <w:rFonts w:eastAsia="Calibri"/>
                <w:lang w:val="fr-FR" w:eastAsia="fr-FR"/>
              </w:rPr>
              <w:t xml:space="preserve"> des types C, D, E et F (Nos ONU 3223 à 3230 et 3233 à 3240) ; les autres matières de code de classification SR1 ou SR2 (Nos ONU 2956, 3241, 3242 et 3251) ; et les matières explosibles désensibilisées du groupe d’emballage II (Nos ONU 2907, 3319 et 3344) : total</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nl-NL" w:eastAsia="fr-FR"/>
              </w:rPr>
            </w:pPr>
            <w:r w:rsidRPr="00E30A6C">
              <w:rPr>
                <w:lang w:val="nl-NL" w:eastAsia="fr-FR"/>
              </w:rPr>
              <w:t>120 000 kg</w:t>
            </w:r>
          </w:p>
        </w:tc>
      </w:tr>
      <w:tr w:rsidR="0063675E" w:rsidRPr="00E30A6C" w:rsidTr="0063675E">
        <w:trPr>
          <w:gridAfter w:val="1"/>
          <w:wAfter w:w="6" w:type="dxa"/>
          <w:trHeight w:val="314"/>
        </w:trPr>
        <w:tc>
          <w:tcPr>
            <w:tcW w:w="4383"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 xml:space="preserve">Autres marchandises </w:t>
            </w:r>
          </w:p>
        </w:tc>
        <w:tc>
          <w:tcPr>
            <w:tcW w:w="2981"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Pas de limitation</w:t>
            </w:r>
          </w:p>
        </w:tc>
      </w:tr>
      <w:tr w:rsidR="00E30A6C" w:rsidRPr="00E30A6C" w:rsidTr="0063675E">
        <w:trPr>
          <w:gridAfter w:val="1"/>
          <w:wAfter w:w="6" w:type="dxa"/>
          <w:trHeight w:val="412"/>
        </w:trPr>
        <w:tc>
          <w:tcPr>
            <w:tcW w:w="4383"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fr-FR" w:eastAsia="fr-FR"/>
              </w:rPr>
              <w:t>Classe 4.2</w:t>
            </w:r>
          </w:p>
        </w:tc>
        <w:tc>
          <w:tcPr>
            <w:tcW w:w="2981"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i/>
                <w:sz w:val="16"/>
                <w:szCs w:val="16"/>
                <w:lang w:val="nl-NL" w:eastAsia="fr-FR"/>
              </w:rPr>
            </w:pPr>
          </w:p>
        </w:tc>
      </w:tr>
      <w:tr w:rsidR="0063675E" w:rsidRPr="00E30A6C" w:rsidTr="002023CD">
        <w:trPr>
          <w:gridAfter w:val="1"/>
          <w:wAfter w:w="6" w:type="dxa"/>
          <w:trHeight w:val="1200"/>
        </w:trPr>
        <w:tc>
          <w:tcPr>
            <w:tcW w:w="4383" w:type="dxa"/>
            <w:tcBorders>
              <w:top w:val="single" w:sz="12" w:space="0" w:color="auto"/>
              <w:bottom w:val="nil"/>
            </w:tcBorders>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 xml:space="preserve">Toutes les marchandises des groupes d’emballage I ou II pour lesquelles, </w:t>
            </w:r>
            <w:r w:rsidRPr="00E30A6C">
              <w:rPr>
                <w:rFonts w:eastAsia="Calibri"/>
                <w:u w:val="single"/>
                <w:lang w:val="fr-FR" w:eastAsia="fr-FR"/>
              </w:rPr>
              <w:t>en plus de l'étiquette de danger 4.2,</w:t>
            </w:r>
            <w:r w:rsidRPr="00E30A6C">
              <w:rPr>
                <w:rFonts w:eastAsia="Calibri"/>
                <w:lang w:val="fr-FR" w:eastAsia="fr-FR"/>
              </w:rPr>
              <w:t xml:space="preserve"> une étiquette de modèle No. 6.1 est exigée à la colonne (5) du tableau A du chapitre 3.2 : total </w:t>
            </w:r>
          </w:p>
        </w:tc>
        <w:tc>
          <w:tcPr>
            <w:tcW w:w="2981" w:type="dxa"/>
            <w:tcBorders>
              <w:top w:val="single" w:sz="12" w:space="0" w:color="auto"/>
              <w:bottom w:val="nil"/>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300 000 kg</w:t>
            </w:r>
          </w:p>
        </w:tc>
      </w:tr>
      <w:tr w:rsidR="0063675E" w:rsidRPr="00E30A6C" w:rsidTr="002023CD">
        <w:trPr>
          <w:gridAfter w:val="1"/>
          <w:wAfter w:w="6" w:type="dxa"/>
          <w:trHeight w:val="400"/>
        </w:trPr>
        <w:tc>
          <w:tcPr>
            <w:tcW w:w="4383" w:type="dxa"/>
            <w:tcBorders>
              <w:top w:val="nil"/>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Autres marchandises</w:t>
            </w:r>
          </w:p>
        </w:tc>
        <w:tc>
          <w:tcPr>
            <w:tcW w:w="2981" w:type="dxa"/>
            <w:tcBorders>
              <w:top w:val="nil"/>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Pas de limitation</w:t>
            </w:r>
          </w:p>
        </w:tc>
      </w:tr>
      <w:tr w:rsidR="00E30A6C" w:rsidRPr="00E30A6C" w:rsidTr="002023CD">
        <w:trPr>
          <w:gridAfter w:val="1"/>
          <w:wAfter w:w="6" w:type="dxa"/>
          <w:trHeight w:val="369"/>
        </w:trPr>
        <w:tc>
          <w:tcPr>
            <w:tcW w:w="4383" w:type="dxa"/>
            <w:tcBorders>
              <w:top w:val="single" w:sz="12" w:space="0" w:color="auto"/>
              <w:bottom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nl-NL" w:eastAsia="fr-FR"/>
              </w:rPr>
              <w:lastRenderedPageBreak/>
              <w:br w:type="page"/>
            </w:r>
            <w:r w:rsidRPr="00E30A6C">
              <w:rPr>
                <w:i/>
                <w:sz w:val="16"/>
                <w:szCs w:val="16"/>
                <w:lang w:val="fr-FR" w:eastAsia="fr-FR"/>
              </w:rPr>
              <w:t>Classe 4.3</w:t>
            </w:r>
          </w:p>
        </w:tc>
        <w:tc>
          <w:tcPr>
            <w:tcW w:w="2981" w:type="dxa"/>
            <w:tcBorders>
              <w:top w:val="single" w:sz="12" w:space="0" w:color="auto"/>
              <w:bottom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jc w:val="right"/>
              <w:textAlignment w:val="baseline"/>
              <w:rPr>
                <w:i/>
                <w:sz w:val="16"/>
                <w:szCs w:val="16"/>
                <w:lang w:val="fr-FR" w:eastAsia="fr-FR"/>
              </w:rPr>
            </w:pPr>
          </w:p>
        </w:tc>
      </w:tr>
      <w:tr w:rsidR="0063675E" w:rsidRPr="00E30A6C" w:rsidTr="0063675E">
        <w:trPr>
          <w:gridAfter w:val="1"/>
          <w:wAfter w:w="6" w:type="dxa"/>
          <w:trHeight w:val="1001"/>
        </w:trPr>
        <w:tc>
          <w:tcPr>
            <w:tcW w:w="4383" w:type="dxa"/>
            <w:tcBorders>
              <w:top w:val="single" w:sz="12" w:space="0" w:color="auto"/>
            </w:tcBorders>
            <w:shd w:val="clear" w:color="auto" w:fill="auto"/>
          </w:tcPr>
          <w:p w:rsidR="00E30A6C" w:rsidRPr="00E30A6C" w:rsidRDefault="00E30A6C" w:rsidP="0063675E">
            <w:pPr>
              <w:keepNext/>
              <w:keepLines/>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 xml:space="preserve">Toutes les marchandises des groupes d’emballage I ou II pour lesquelles, </w:t>
            </w:r>
            <w:r w:rsidRPr="00E30A6C">
              <w:rPr>
                <w:rFonts w:eastAsia="Calibri"/>
                <w:u w:val="single"/>
                <w:lang w:val="fr-FR" w:eastAsia="fr-FR"/>
              </w:rPr>
              <w:t>en plus de l'étiquette de danger 4.3,</w:t>
            </w:r>
            <w:r w:rsidRPr="00E30A6C">
              <w:rPr>
                <w:rFonts w:eastAsia="Calibri"/>
                <w:lang w:val="fr-FR" w:eastAsia="fr-FR"/>
              </w:rPr>
              <w:t xml:space="preserve"> une étiquette de modèle No. 3, 4.1 ou 6.1 est exigée à la colonne (5) du tableau A du chapitre 3.2 : total</w:t>
            </w:r>
          </w:p>
        </w:tc>
        <w:tc>
          <w:tcPr>
            <w:tcW w:w="2981" w:type="dxa"/>
            <w:tcBorders>
              <w:top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300 000 kg</w:t>
            </w:r>
          </w:p>
        </w:tc>
      </w:tr>
      <w:tr w:rsidR="0063675E" w:rsidRPr="00E30A6C" w:rsidTr="0063675E">
        <w:trPr>
          <w:gridAfter w:val="1"/>
          <w:wAfter w:w="6" w:type="dxa"/>
          <w:trHeight w:val="298"/>
        </w:trPr>
        <w:tc>
          <w:tcPr>
            <w:tcW w:w="4383"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Autres marchandises</w:t>
            </w:r>
          </w:p>
        </w:tc>
        <w:tc>
          <w:tcPr>
            <w:tcW w:w="2981" w:type="dxa"/>
            <w:tcBorders>
              <w:bottom w:val="single" w:sz="4" w:space="0" w:color="auto"/>
            </w:tcBorders>
            <w:shd w:val="clear" w:color="auto" w:fill="auto"/>
          </w:tcPr>
          <w:p w:rsidR="00E30A6C" w:rsidRPr="00E30A6C" w:rsidRDefault="00E30A6C" w:rsidP="00E30A6C">
            <w:pPr>
              <w:suppressAutoHyphens w:val="0"/>
              <w:autoSpaceDE w:val="0"/>
              <w:autoSpaceDN w:val="0"/>
              <w:adjustRightInd w:val="0"/>
              <w:spacing w:before="40" w:after="120" w:line="220" w:lineRule="exact"/>
              <w:ind w:right="113"/>
              <w:jc w:val="right"/>
              <w:rPr>
                <w:lang w:val="fr-FR" w:eastAsia="fr-FR"/>
              </w:rPr>
            </w:pPr>
            <w:r w:rsidRPr="00E30A6C">
              <w:rPr>
                <w:rFonts w:eastAsia="Calibri"/>
                <w:lang w:val="fr-FR" w:eastAsia="fr-FR"/>
              </w:rPr>
              <w:t>Pas de limitation</w:t>
            </w:r>
          </w:p>
        </w:tc>
      </w:tr>
      <w:tr w:rsidR="00E30A6C" w:rsidRPr="00E30A6C" w:rsidTr="0063675E">
        <w:trPr>
          <w:gridAfter w:val="1"/>
          <w:wAfter w:w="6" w:type="dxa"/>
        </w:trPr>
        <w:tc>
          <w:tcPr>
            <w:tcW w:w="4383"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fr-FR" w:eastAsia="fr-FR"/>
              </w:rPr>
              <w:t>Classe 5.1</w:t>
            </w:r>
          </w:p>
        </w:tc>
        <w:tc>
          <w:tcPr>
            <w:tcW w:w="2981"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i/>
                <w:sz w:val="16"/>
                <w:szCs w:val="16"/>
                <w:lang w:val="fr-FR" w:eastAsia="fr-FR"/>
              </w:rPr>
            </w:pPr>
          </w:p>
        </w:tc>
      </w:tr>
      <w:tr w:rsidR="0063675E" w:rsidRPr="00E30A6C" w:rsidTr="0063675E">
        <w:trPr>
          <w:gridAfter w:val="1"/>
          <w:wAfter w:w="6" w:type="dxa"/>
          <w:trHeight w:val="789"/>
        </w:trPr>
        <w:tc>
          <w:tcPr>
            <w:tcW w:w="4383" w:type="dxa"/>
            <w:tcBorders>
              <w:top w:val="single" w:sz="12" w:space="0" w:color="auto"/>
            </w:tcBorders>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lang w:val="fr-FR" w:eastAsia="fr-FR"/>
              </w:rPr>
            </w:pPr>
            <w:r w:rsidRPr="00E30A6C">
              <w:rPr>
                <w:rFonts w:eastAsia="Calibri"/>
                <w:lang w:val="fr-FR" w:eastAsia="fr-FR"/>
              </w:rPr>
              <w:t xml:space="preserve">Toutes les marchandises des groupes d’emballage I ou II pour lesquelles, </w:t>
            </w:r>
            <w:r w:rsidRPr="00E30A6C">
              <w:rPr>
                <w:rFonts w:eastAsia="Calibri"/>
                <w:u w:val="single"/>
                <w:lang w:val="fr-FR" w:eastAsia="fr-FR"/>
              </w:rPr>
              <w:t>en plus de l'étiquette de danger 5.1,</w:t>
            </w:r>
            <w:r w:rsidRPr="00E30A6C">
              <w:rPr>
                <w:rFonts w:eastAsia="Calibri"/>
                <w:lang w:val="fr-FR" w:eastAsia="fr-FR"/>
              </w:rPr>
              <w:t xml:space="preserve"> une étiquette du modèle No. 6.1 est exigée à la colonne (5) du tableau A du chapitre 3.2 : total</w:t>
            </w:r>
          </w:p>
        </w:tc>
        <w:tc>
          <w:tcPr>
            <w:tcW w:w="2981" w:type="dxa"/>
            <w:tcBorders>
              <w:top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300 000 kg</w:t>
            </w:r>
          </w:p>
        </w:tc>
      </w:tr>
      <w:tr w:rsidR="0063675E" w:rsidRPr="00E30A6C" w:rsidTr="0063675E">
        <w:trPr>
          <w:gridAfter w:val="1"/>
          <w:wAfter w:w="6" w:type="dxa"/>
          <w:trHeight w:val="186"/>
        </w:trPr>
        <w:tc>
          <w:tcPr>
            <w:tcW w:w="4383"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Autres marchandises</w:t>
            </w:r>
          </w:p>
        </w:tc>
        <w:tc>
          <w:tcPr>
            <w:tcW w:w="2981" w:type="dxa"/>
            <w:tcBorders>
              <w:bottom w:val="single" w:sz="4" w:space="0" w:color="auto"/>
            </w:tcBorders>
            <w:shd w:val="clear" w:color="auto" w:fill="auto"/>
          </w:tcPr>
          <w:p w:rsidR="00E30A6C" w:rsidRPr="00E30A6C" w:rsidRDefault="00E30A6C" w:rsidP="00E30A6C">
            <w:pPr>
              <w:suppressAutoHyphens w:val="0"/>
              <w:autoSpaceDE w:val="0"/>
              <w:autoSpaceDN w:val="0"/>
              <w:adjustRightInd w:val="0"/>
              <w:spacing w:before="40" w:after="120" w:line="220" w:lineRule="exact"/>
              <w:ind w:right="113"/>
              <w:jc w:val="right"/>
              <w:rPr>
                <w:lang w:val="fr-FR" w:eastAsia="fr-FR"/>
              </w:rPr>
            </w:pPr>
            <w:r w:rsidRPr="00E30A6C">
              <w:rPr>
                <w:rFonts w:eastAsia="Calibri"/>
                <w:lang w:val="fr-FR" w:eastAsia="fr-FR"/>
              </w:rPr>
              <w:t>Pas de limitation</w:t>
            </w:r>
          </w:p>
        </w:tc>
      </w:tr>
      <w:tr w:rsidR="00E30A6C" w:rsidRPr="00E30A6C" w:rsidTr="0063675E">
        <w:trPr>
          <w:gridAfter w:val="1"/>
          <w:wAfter w:w="6" w:type="dxa"/>
          <w:trHeight w:val="287"/>
        </w:trPr>
        <w:tc>
          <w:tcPr>
            <w:tcW w:w="4383"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fr-FR" w:eastAsia="fr-FR"/>
              </w:rPr>
              <w:t>Classe 5.2</w:t>
            </w:r>
          </w:p>
        </w:tc>
        <w:tc>
          <w:tcPr>
            <w:tcW w:w="2981"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i/>
                <w:sz w:val="16"/>
                <w:szCs w:val="16"/>
                <w:lang w:val="fr-FR" w:eastAsia="fr-FR"/>
              </w:rPr>
            </w:pPr>
          </w:p>
        </w:tc>
      </w:tr>
      <w:tr w:rsidR="0063675E" w:rsidRPr="00E30A6C" w:rsidTr="0063675E">
        <w:trPr>
          <w:gridAfter w:val="1"/>
          <w:wAfter w:w="6" w:type="dxa"/>
          <w:trHeight w:val="361"/>
        </w:trPr>
        <w:tc>
          <w:tcPr>
            <w:tcW w:w="4383" w:type="dxa"/>
            <w:tcBorders>
              <w:top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Nos ONU 3101, 3102, 3111 et 3112 : total</w:t>
            </w:r>
          </w:p>
        </w:tc>
        <w:tc>
          <w:tcPr>
            <w:tcW w:w="2981" w:type="dxa"/>
            <w:tcBorders>
              <w:top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15 000 kg</w:t>
            </w:r>
          </w:p>
        </w:tc>
      </w:tr>
      <w:tr w:rsidR="0063675E" w:rsidRPr="00E30A6C" w:rsidTr="0063675E">
        <w:trPr>
          <w:gridAfter w:val="1"/>
          <w:wAfter w:w="6" w:type="dxa"/>
          <w:trHeight w:val="336"/>
        </w:trPr>
        <w:tc>
          <w:tcPr>
            <w:tcW w:w="4383"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Autres marchandises</w:t>
            </w:r>
          </w:p>
        </w:tc>
        <w:tc>
          <w:tcPr>
            <w:tcW w:w="2981"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120 000 kg</w:t>
            </w:r>
          </w:p>
        </w:tc>
      </w:tr>
      <w:tr w:rsidR="00E30A6C" w:rsidRPr="00E30A6C" w:rsidTr="0063675E">
        <w:trPr>
          <w:gridAfter w:val="1"/>
          <w:wAfter w:w="6" w:type="dxa"/>
          <w:trHeight w:val="256"/>
        </w:trPr>
        <w:tc>
          <w:tcPr>
            <w:tcW w:w="4383"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fr-FR" w:eastAsia="fr-FR"/>
              </w:rPr>
              <w:t>Classe 6.1</w:t>
            </w:r>
          </w:p>
        </w:tc>
        <w:tc>
          <w:tcPr>
            <w:tcW w:w="2981"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i/>
                <w:sz w:val="16"/>
                <w:szCs w:val="16"/>
                <w:lang w:val="fr-FR" w:eastAsia="fr-FR"/>
              </w:rPr>
            </w:pPr>
          </w:p>
        </w:tc>
      </w:tr>
      <w:tr w:rsidR="0063675E" w:rsidRPr="00E30A6C" w:rsidTr="0063675E">
        <w:trPr>
          <w:gridAfter w:val="1"/>
          <w:wAfter w:w="6" w:type="dxa"/>
          <w:trHeight w:val="381"/>
        </w:trPr>
        <w:tc>
          <w:tcPr>
            <w:tcW w:w="4383" w:type="dxa"/>
            <w:tcBorders>
              <w:top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 xml:space="preserve">Toutes les marchandises du groupe d’emballage I : total </w:t>
            </w:r>
          </w:p>
        </w:tc>
        <w:tc>
          <w:tcPr>
            <w:tcW w:w="2981" w:type="dxa"/>
            <w:tcBorders>
              <w:top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120 000 kg</w:t>
            </w:r>
          </w:p>
        </w:tc>
      </w:tr>
      <w:tr w:rsidR="0063675E" w:rsidRPr="00E30A6C" w:rsidTr="0063675E">
        <w:trPr>
          <w:gridAfter w:val="1"/>
          <w:wAfter w:w="6" w:type="dxa"/>
          <w:trHeight w:val="386"/>
        </w:trPr>
        <w:tc>
          <w:tcPr>
            <w:tcW w:w="4383"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 xml:space="preserve">Toutes les marchandises du groupe d’emballage II : total </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300 000 kg</w:t>
            </w:r>
          </w:p>
        </w:tc>
      </w:tr>
      <w:tr w:rsidR="0063675E" w:rsidRPr="00E30A6C" w:rsidTr="0063675E">
        <w:trPr>
          <w:gridAfter w:val="1"/>
          <w:wAfter w:w="6" w:type="dxa"/>
          <w:trHeight w:val="403"/>
        </w:trPr>
        <w:tc>
          <w:tcPr>
            <w:tcW w:w="4383"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rFonts w:eastAsia="Calibri"/>
                <w:lang w:val="fr-FR" w:eastAsia="fr-FR"/>
              </w:rPr>
              <w:t>Toutes les marchandises transportées en vrac:</w:t>
            </w:r>
          </w:p>
        </w:tc>
        <w:tc>
          <w:tcPr>
            <w:tcW w:w="2981" w:type="dxa"/>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0 kg</w:t>
            </w:r>
          </w:p>
        </w:tc>
      </w:tr>
      <w:tr w:rsidR="0063675E" w:rsidRPr="00E30A6C" w:rsidTr="0063675E">
        <w:trPr>
          <w:gridAfter w:val="1"/>
          <w:wAfter w:w="6" w:type="dxa"/>
          <w:trHeight w:val="254"/>
        </w:trPr>
        <w:tc>
          <w:tcPr>
            <w:tcW w:w="4383"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Autres marchandises</w:t>
            </w:r>
          </w:p>
        </w:tc>
        <w:tc>
          <w:tcPr>
            <w:tcW w:w="2981"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Pas de limitation</w:t>
            </w:r>
          </w:p>
        </w:tc>
      </w:tr>
      <w:tr w:rsidR="00E30A6C" w:rsidRPr="00E30A6C" w:rsidTr="0063675E">
        <w:trPr>
          <w:gridAfter w:val="1"/>
          <w:wAfter w:w="6" w:type="dxa"/>
          <w:trHeight w:val="285"/>
        </w:trPr>
        <w:tc>
          <w:tcPr>
            <w:tcW w:w="4383"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fr-FR" w:eastAsia="fr-FR"/>
              </w:rPr>
              <w:t>Classe 7</w:t>
            </w:r>
          </w:p>
        </w:tc>
        <w:tc>
          <w:tcPr>
            <w:tcW w:w="2981"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i/>
                <w:sz w:val="16"/>
                <w:szCs w:val="16"/>
                <w:lang w:val="fr-FR" w:eastAsia="fr-FR"/>
              </w:rPr>
            </w:pPr>
          </w:p>
        </w:tc>
      </w:tr>
      <w:tr w:rsidR="0063675E" w:rsidRPr="00E30A6C" w:rsidTr="0063675E">
        <w:trPr>
          <w:gridAfter w:val="1"/>
          <w:wAfter w:w="6" w:type="dxa"/>
          <w:trHeight w:val="687"/>
        </w:trPr>
        <w:tc>
          <w:tcPr>
            <w:tcW w:w="4383" w:type="dxa"/>
            <w:tcBorders>
              <w:top w:val="single" w:sz="12" w:space="0" w:color="auto"/>
            </w:tcBorders>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b/>
                <w:lang w:val="fr-FR" w:eastAsia="fr-FR"/>
              </w:rPr>
            </w:pPr>
            <w:r w:rsidRPr="00E30A6C">
              <w:rPr>
                <w:rFonts w:eastAsia="Calibri"/>
                <w:lang w:val="fr-FR" w:eastAsia="fr-FR"/>
              </w:rPr>
              <w:t xml:space="preserve">Nos. ONU 2912, 2913, 2915, 2916, 2917, 2919, 2977, 2978 et 3321 à 3333 </w:t>
            </w:r>
          </w:p>
        </w:tc>
        <w:tc>
          <w:tcPr>
            <w:tcW w:w="2981" w:type="dxa"/>
            <w:tcBorders>
              <w:top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0 kg</w:t>
            </w:r>
          </w:p>
        </w:tc>
      </w:tr>
      <w:tr w:rsidR="0063675E" w:rsidRPr="00E30A6C" w:rsidTr="0063675E">
        <w:trPr>
          <w:gridAfter w:val="1"/>
          <w:wAfter w:w="6" w:type="dxa"/>
          <w:trHeight w:val="306"/>
        </w:trPr>
        <w:tc>
          <w:tcPr>
            <w:tcW w:w="4383"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Autres marchandises</w:t>
            </w:r>
          </w:p>
        </w:tc>
        <w:tc>
          <w:tcPr>
            <w:tcW w:w="2981" w:type="dxa"/>
            <w:tcBorders>
              <w:bottom w:val="single" w:sz="4"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Pas de limitation</w:t>
            </w:r>
          </w:p>
        </w:tc>
      </w:tr>
      <w:tr w:rsidR="00E30A6C" w:rsidRPr="00E30A6C" w:rsidTr="0063675E">
        <w:trPr>
          <w:gridAfter w:val="1"/>
          <w:wAfter w:w="6" w:type="dxa"/>
          <w:trHeight w:val="292"/>
        </w:trPr>
        <w:tc>
          <w:tcPr>
            <w:tcW w:w="4383"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fr-FR" w:eastAsia="fr-FR"/>
              </w:rPr>
              <w:t>Classe 8</w:t>
            </w:r>
          </w:p>
        </w:tc>
        <w:tc>
          <w:tcPr>
            <w:tcW w:w="2981" w:type="dxa"/>
            <w:tcBorders>
              <w:top w:val="single" w:sz="4" w:space="0" w:color="auto"/>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i/>
                <w:sz w:val="16"/>
                <w:szCs w:val="16"/>
                <w:lang w:val="fr-FR" w:eastAsia="fr-FR"/>
              </w:rPr>
            </w:pPr>
          </w:p>
        </w:tc>
      </w:tr>
      <w:tr w:rsidR="0063675E" w:rsidRPr="00E30A6C" w:rsidTr="002023CD">
        <w:trPr>
          <w:gridAfter w:val="1"/>
          <w:wAfter w:w="6" w:type="dxa"/>
          <w:trHeight w:val="1403"/>
        </w:trPr>
        <w:tc>
          <w:tcPr>
            <w:tcW w:w="4383" w:type="dxa"/>
            <w:tcBorders>
              <w:top w:val="single" w:sz="12" w:space="0" w:color="auto"/>
              <w:bottom w:val="nil"/>
            </w:tcBorders>
            <w:shd w:val="clear" w:color="auto" w:fill="auto"/>
          </w:tcPr>
          <w:p w:rsidR="00E30A6C" w:rsidRPr="00E30A6C" w:rsidRDefault="00E30A6C" w:rsidP="00E30A6C">
            <w:pPr>
              <w:suppressAutoHyphens w:val="0"/>
              <w:autoSpaceDE w:val="0"/>
              <w:autoSpaceDN w:val="0"/>
              <w:adjustRightInd w:val="0"/>
              <w:spacing w:before="40" w:after="120" w:line="220" w:lineRule="exact"/>
              <w:ind w:right="113"/>
              <w:rPr>
                <w:rFonts w:eastAsia="Calibri"/>
                <w:lang w:val="fr-FR" w:eastAsia="fr-FR"/>
              </w:rPr>
            </w:pPr>
            <w:r w:rsidRPr="00E30A6C">
              <w:rPr>
                <w:rFonts w:eastAsia="Calibri"/>
                <w:lang w:val="fr-FR" w:eastAsia="fr-FR"/>
              </w:rPr>
              <w:t>Toutes les marchandises du groupe d’emballage I ;</w:t>
            </w:r>
          </w:p>
          <w:p w:rsidR="00E30A6C" w:rsidRPr="00E30A6C" w:rsidRDefault="00E30A6C" w:rsidP="0063675E">
            <w:pPr>
              <w:suppressAutoHyphens w:val="0"/>
              <w:autoSpaceDE w:val="0"/>
              <w:autoSpaceDN w:val="0"/>
              <w:adjustRightInd w:val="0"/>
              <w:spacing w:before="40" w:after="120" w:line="220" w:lineRule="exact"/>
              <w:ind w:right="113"/>
              <w:rPr>
                <w:rFonts w:eastAsia="Calibri"/>
                <w:lang w:val="fr-FR" w:eastAsia="fr-FR"/>
              </w:rPr>
            </w:pPr>
            <w:r w:rsidRPr="00E30A6C">
              <w:rPr>
                <w:rFonts w:eastAsia="Calibri"/>
                <w:lang w:val="fr-FR" w:eastAsia="fr-FR"/>
              </w:rPr>
              <w:t xml:space="preserve">toutes les marchandises du groupe d’emballage II pour lesquelles, </w:t>
            </w:r>
            <w:r w:rsidRPr="00E30A6C">
              <w:rPr>
                <w:rFonts w:eastAsia="Calibri"/>
                <w:u w:val="single"/>
                <w:lang w:val="fr-FR" w:eastAsia="fr-FR"/>
              </w:rPr>
              <w:t>en plus de l'étiquette de danger 8,</w:t>
            </w:r>
            <w:r w:rsidRPr="00E30A6C">
              <w:rPr>
                <w:rFonts w:eastAsia="Calibri"/>
                <w:lang w:val="fr-FR" w:eastAsia="fr-FR"/>
              </w:rPr>
              <w:t xml:space="preserve"> une étiquette du modèle No.3 ou 6.1 est exigée à la colonne (5) du tableau A du chapitre 3.2 : total </w:t>
            </w:r>
          </w:p>
        </w:tc>
        <w:tc>
          <w:tcPr>
            <w:tcW w:w="2981" w:type="dxa"/>
            <w:tcBorders>
              <w:top w:val="single" w:sz="12" w:space="0" w:color="auto"/>
              <w:bottom w:val="nil"/>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300 000 kg</w:t>
            </w:r>
          </w:p>
        </w:tc>
      </w:tr>
      <w:tr w:rsidR="0063675E" w:rsidRPr="00E30A6C" w:rsidTr="002023CD">
        <w:trPr>
          <w:gridAfter w:val="1"/>
          <w:wAfter w:w="6" w:type="dxa"/>
          <w:trHeight w:val="298"/>
        </w:trPr>
        <w:tc>
          <w:tcPr>
            <w:tcW w:w="4383" w:type="dxa"/>
            <w:tcBorders>
              <w:top w:val="nil"/>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Autres marchandises</w:t>
            </w:r>
          </w:p>
        </w:tc>
        <w:tc>
          <w:tcPr>
            <w:tcW w:w="2981" w:type="dxa"/>
            <w:tcBorders>
              <w:top w:val="nil"/>
              <w:bottom w:val="single" w:sz="12" w:space="0" w:color="auto"/>
            </w:tcBorders>
            <w:shd w:val="clear" w:color="auto" w:fill="auto"/>
          </w:tcPr>
          <w:p w:rsidR="00E30A6C" w:rsidRPr="00E30A6C" w:rsidRDefault="00E30A6C" w:rsidP="00E30A6C">
            <w:pPr>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Pas de limitation</w:t>
            </w:r>
          </w:p>
        </w:tc>
      </w:tr>
      <w:tr w:rsidR="00E30A6C" w:rsidRPr="00E30A6C" w:rsidTr="002023CD">
        <w:trPr>
          <w:gridAfter w:val="1"/>
          <w:wAfter w:w="6" w:type="dxa"/>
          <w:trHeight w:val="419"/>
        </w:trPr>
        <w:tc>
          <w:tcPr>
            <w:tcW w:w="4383" w:type="dxa"/>
            <w:tcBorders>
              <w:top w:val="single" w:sz="12" w:space="0" w:color="auto"/>
              <w:bottom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textAlignment w:val="baseline"/>
              <w:rPr>
                <w:i/>
                <w:sz w:val="16"/>
                <w:szCs w:val="16"/>
                <w:lang w:val="fr-FR" w:eastAsia="fr-FR"/>
              </w:rPr>
            </w:pPr>
            <w:r w:rsidRPr="00E30A6C">
              <w:rPr>
                <w:i/>
                <w:sz w:val="16"/>
                <w:szCs w:val="16"/>
                <w:lang w:val="fr-FR" w:eastAsia="fr-FR"/>
              </w:rPr>
              <w:lastRenderedPageBreak/>
              <w:t>Classe 9</w:t>
            </w:r>
          </w:p>
        </w:tc>
        <w:tc>
          <w:tcPr>
            <w:tcW w:w="2981" w:type="dxa"/>
            <w:tcBorders>
              <w:top w:val="single" w:sz="12" w:space="0" w:color="auto"/>
              <w:bottom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jc w:val="right"/>
              <w:textAlignment w:val="baseline"/>
              <w:rPr>
                <w:i/>
                <w:sz w:val="16"/>
                <w:szCs w:val="16"/>
                <w:lang w:val="fr-FR" w:eastAsia="fr-FR"/>
              </w:rPr>
            </w:pPr>
          </w:p>
        </w:tc>
      </w:tr>
      <w:tr w:rsidR="0063675E" w:rsidRPr="00E30A6C" w:rsidTr="0063675E">
        <w:trPr>
          <w:gridAfter w:val="1"/>
          <w:wAfter w:w="6" w:type="dxa"/>
          <w:trHeight w:val="418"/>
        </w:trPr>
        <w:tc>
          <w:tcPr>
            <w:tcW w:w="4383" w:type="dxa"/>
            <w:tcBorders>
              <w:top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textAlignment w:val="baseline"/>
              <w:rPr>
                <w:b/>
                <w:lang w:val="fr-FR" w:eastAsia="fr-FR"/>
              </w:rPr>
            </w:pPr>
            <w:r w:rsidRPr="00E30A6C">
              <w:rPr>
                <w:rFonts w:eastAsia="Calibri"/>
                <w:lang w:val="fr-FR" w:eastAsia="fr-FR"/>
              </w:rPr>
              <w:t>Toutes les marchandises du groupe d’emballage II : total</w:t>
            </w:r>
          </w:p>
        </w:tc>
        <w:tc>
          <w:tcPr>
            <w:tcW w:w="2981" w:type="dxa"/>
            <w:tcBorders>
              <w:top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300 000 kg</w:t>
            </w:r>
          </w:p>
        </w:tc>
      </w:tr>
      <w:tr w:rsidR="0063675E" w:rsidRPr="00E30A6C" w:rsidTr="002023CD">
        <w:trPr>
          <w:gridAfter w:val="1"/>
          <w:wAfter w:w="6" w:type="dxa"/>
          <w:trHeight w:val="993"/>
        </w:trPr>
        <w:tc>
          <w:tcPr>
            <w:tcW w:w="4383" w:type="dxa"/>
            <w:tcBorders>
              <w:bottom w:val="nil"/>
            </w:tcBorders>
            <w:shd w:val="clear" w:color="auto" w:fill="auto"/>
          </w:tcPr>
          <w:p w:rsidR="00E30A6C" w:rsidRPr="00E30A6C" w:rsidRDefault="00E30A6C" w:rsidP="0063675E">
            <w:pPr>
              <w:keepNext/>
              <w:keepLines/>
              <w:suppressAutoHyphens w:val="0"/>
              <w:autoSpaceDE w:val="0"/>
              <w:autoSpaceDN w:val="0"/>
              <w:adjustRightInd w:val="0"/>
              <w:spacing w:before="40" w:after="120" w:line="220" w:lineRule="exact"/>
              <w:ind w:right="113"/>
              <w:rPr>
                <w:b/>
                <w:lang w:val="fr-FR" w:eastAsia="fr-FR"/>
              </w:rPr>
            </w:pPr>
            <w:r w:rsidRPr="00E30A6C">
              <w:rPr>
                <w:rFonts w:eastAsia="Calibri"/>
                <w:lang w:val="fr-FR" w:eastAsia="fr-FR"/>
              </w:rPr>
              <w:t>Numéro ONU 3077, pour les marchandises transportées en vrac et considérées comme dangereuses pour le milieu aquatique, toxicité aiguë 1 ou toxicité chronique 1, conformément au 2.4.3:</w:t>
            </w:r>
          </w:p>
        </w:tc>
        <w:tc>
          <w:tcPr>
            <w:tcW w:w="2981" w:type="dxa"/>
            <w:tcBorders>
              <w:bottom w:val="nil"/>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0 kg</w:t>
            </w:r>
          </w:p>
        </w:tc>
      </w:tr>
      <w:tr w:rsidR="0063675E" w:rsidRPr="00E30A6C" w:rsidTr="002023CD">
        <w:trPr>
          <w:gridAfter w:val="1"/>
          <w:wAfter w:w="6" w:type="dxa"/>
        </w:trPr>
        <w:tc>
          <w:tcPr>
            <w:tcW w:w="4383" w:type="dxa"/>
            <w:tcBorders>
              <w:top w:val="nil"/>
              <w:bottom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textAlignment w:val="baseline"/>
              <w:rPr>
                <w:lang w:val="fr-FR" w:eastAsia="fr-FR"/>
              </w:rPr>
            </w:pPr>
            <w:r w:rsidRPr="00E30A6C">
              <w:rPr>
                <w:lang w:val="fr-FR" w:eastAsia="fr-FR"/>
              </w:rPr>
              <w:t xml:space="preserve">Autres marchandises </w:t>
            </w:r>
          </w:p>
        </w:tc>
        <w:tc>
          <w:tcPr>
            <w:tcW w:w="2981" w:type="dxa"/>
            <w:tcBorders>
              <w:top w:val="nil"/>
              <w:bottom w:val="single" w:sz="12" w:space="0" w:color="auto"/>
            </w:tcBorders>
            <w:shd w:val="clear" w:color="auto" w:fill="auto"/>
          </w:tcPr>
          <w:p w:rsidR="00E30A6C" w:rsidRPr="00E30A6C" w:rsidRDefault="00E30A6C" w:rsidP="0063675E">
            <w:pPr>
              <w:keepNext/>
              <w:keepLines/>
              <w:suppressAutoHyphens w:val="0"/>
              <w:overflowPunct w:val="0"/>
              <w:autoSpaceDE w:val="0"/>
              <w:autoSpaceDN w:val="0"/>
              <w:adjustRightInd w:val="0"/>
              <w:spacing w:before="40" w:after="120" w:line="220" w:lineRule="exact"/>
              <w:ind w:right="113"/>
              <w:jc w:val="right"/>
              <w:textAlignment w:val="baseline"/>
              <w:rPr>
                <w:lang w:val="fr-FR" w:eastAsia="fr-FR"/>
              </w:rPr>
            </w:pPr>
            <w:r w:rsidRPr="00E30A6C">
              <w:rPr>
                <w:lang w:val="fr-FR" w:eastAsia="fr-FR"/>
              </w:rPr>
              <w:t>Pas de limitation</w:t>
            </w:r>
          </w:p>
        </w:tc>
      </w:tr>
    </w:tbl>
    <w:p w:rsidR="0063675E" w:rsidRPr="0063675E" w:rsidRDefault="0063675E" w:rsidP="0063675E">
      <w:pPr>
        <w:pStyle w:val="SingleTxtG"/>
        <w:spacing w:before="120"/>
        <w:rPr>
          <w:u w:val="single"/>
          <w:lang w:val="fr-FR"/>
        </w:rPr>
      </w:pPr>
      <w:r w:rsidRPr="0063675E">
        <w:rPr>
          <w:bCs/>
          <w:lang w:val="fr-FR"/>
        </w:rPr>
        <w:t>7.1.4.1.2</w:t>
      </w:r>
      <w:r w:rsidRPr="0063675E">
        <w:rPr>
          <w:b/>
          <w:bCs/>
          <w:lang w:val="fr-FR"/>
        </w:rPr>
        <w:t xml:space="preserve"> </w:t>
      </w:r>
      <w:r w:rsidRPr="0063675E">
        <w:rPr>
          <w:b/>
          <w:bCs/>
          <w:lang w:val="fr-FR"/>
        </w:rPr>
        <w:tab/>
      </w:r>
      <w:r w:rsidRPr="0063675E">
        <w:rPr>
          <w:lang w:val="fr-FR"/>
        </w:rPr>
        <w:t>Sous réserve du 7.1.4.1.3, la quantité maximale de marchandises dangereuses autorisée à bord d'un bateau ou à bord de chaque unité d'un convoi poussé ou d'une formation à couple est de 1 100 000 kg.</w:t>
      </w:r>
      <w:r w:rsidRPr="0063675E">
        <w:rPr>
          <w:b/>
          <w:bCs/>
          <w:lang w:val="fr-FR"/>
        </w:rPr>
        <w:t xml:space="preserve"> </w:t>
      </w:r>
      <w:r w:rsidRPr="0063675E">
        <w:rPr>
          <w:u w:val="single"/>
          <w:lang w:val="fr-FR"/>
        </w:rPr>
        <w:t xml:space="preserve">Cette limitation ne s'applique pas aux autres marchandises énoncées au 7.1.4.1.1, qui peuvent être transportées en quantités illimitées. </w:t>
      </w:r>
    </w:p>
    <w:p w:rsidR="0063675E" w:rsidRPr="0063675E" w:rsidRDefault="0063675E" w:rsidP="0063675E">
      <w:pPr>
        <w:pStyle w:val="SingleTxtG"/>
        <w:rPr>
          <w:lang w:val="fr-FR"/>
        </w:rPr>
      </w:pPr>
      <w:r w:rsidRPr="0063675E">
        <w:rPr>
          <w:lang w:val="fr-FR"/>
        </w:rPr>
        <w:t>Et sans modifications (uniquement pour clarifier la situation :)</w:t>
      </w:r>
    </w:p>
    <w:p w:rsidR="0063675E" w:rsidRPr="0063675E" w:rsidRDefault="0063675E" w:rsidP="0063675E">
      <w:pPr>
        <w:pStyle w:val="SingleTxtG"/>
        <w:rPr>
          <w:lang w:val="fr-FR"/>
        </w:rPr>
      </w:pPr>
      <w:r w:rsidRPr="0063675E">
        <w:rPr>
          <w:bCs/>
          <w:lang w:val="fr-FR"/>
        </w:rPr>
        <w:t>7.1.4.1.3</w:t>
      </w:r>
      <w:r w:rsidRPr="0063675E">
        <w:rPr>
          <w:b/>
          <w:bCs/>
          <w:lang w:val="fr-FR"/>
        </w:rPr>
        <w:t xml:space="preserve"> </w:t>
      </w:r>
      <w:r w:rsidRPr="0063675E">
        <w:rPr>
          <w:b/>
          <w:bCs/>
          <w:lang w:val="fr-FR"/>
        </w:rPr>
        <w:tab/>
      </w:r>
      <w:r w:rsidRPr="0063675E">
        <w:rPr>
          <w:lang w:val="fr-FR"/>
        </w:rPr>
        <w:t>Les limitations des 7.1.4.1.1 et 7.1.4.1.2 ne sont pas applicables dans le cas du transport des marchandises dangereuses des classes 2, 3, 4.1, 4.2, 4.3, 5.1, 5.2, 6.1, 7, 8 et 9, à l’exception de celles pour lesquelles une étiquette de modèle No. 1 est exigée à la colonne 5 du tableau A du chapitre 3.2, à bord de bateaux à double coque répondant aux prescriptions supplémentaires des 9.1.0.88 à 9.1.0.95 ou des 9.2.0.88 à 9.2.0.95.</w:t>
      </w:r>
    </w:p>
    <w:p w:rsidR="008D0723" w:rsidRPr="006A5D70" w:rsidRDefault="00D440EE" w:rsidP="00D440EE">
      <w:pPr>
        <w:spacing w:before="240"/>
        <w:ind w:left="1134" w:right="1134"/>
        <w:jc w:val="center"/>
        <w:rPr>
          <w:u w:val="single"/>
        </w:rPr>
      </w:pPr>
      <w:r w:rsidRPr="006A5D70">
        <w:rPr>
          <w:u w:val="single"/>
        </w:rPr>
        <w:tab/>
      </w:r>
      <w:r w:rsidRPr="006A5D70">
        <w:rPr>
          <w:u w:val="single"/>
        </w:rPr>
        <w:tab/>
      </w:r>
      <w:r w:rsidRPr="006A5D70">
        <w:rPr>
          <w:u w:val="single"/>
        </w:rPr>
        <w:tab/>
      </w:r>
    </w:p>
    <w:sectPr w:rsidR="008D0723" w:rsidRPr="006A5D70"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786EF4">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786EF4">
      <w:rPr>
        <w:b/>
        <w:noProof/>
        <w:sz w:val="18"/>
      </w:rPr>
      <w:t>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06085A" w:rsidRPr="00F337B3" w:rsidRDefault="0006085A" w:rsidP="00E53D77">
      <w:pPr>
        <w:pStyle w:val="FootnoteText"/>
      </w:pPr>
      <w:r>
        <w:rPr>
          <w:szCs w:val="24"/>
        </w:rPr>
        <w:tab/>
      </w:r>
      <w:r w:rsidRPr="00F337B3">
        <w:rPr>
          <w:rStyle w:val="FootnoteReference"/>
          <w:szCs w:val="24"/>
        </w:rPr>
        <w:footnoteRef/>
      </w:r>
      <w:r w:rsidRPr="00F337B3">
        <w:rPr>
          <w:szCs w:val="24"/>
        </w:rPr>
        <w:tab/>
      </w:r>
      <w:r w:rsidRPr="00F337B3">
        <w:t xml:space="preserve">Diffusé en langue </w:t>
      </w:r>
      <w:r w:rsidRPr="00D64213">
        <w:t>allemande</w:t>
      </w:r>
      <w:r w:rsidRPr="00F337B3">
        <w:t xml:space="preserve"> par la Commission centrale pour la navigation du Rhin sous la cote</w:t>
      </w:r>
      <w:r w:rsidR="00AA5B1E">
        <w:t xml:space="preserve"> CCNR/ZKR/ADN/WP.15/</w:t>
      </w:r>
      <w:r w:rsidR="002B56D7">
        <w:t>AC.2/2016/39</w:t>
      </w:r>
      <w:r w:rsidRPr="00F337B3">
        <w:rPr>
          <w:noProof/>
        </w:rPr>
        <w:t>.</w:t>
      </w:r>
    </w:p>
  </w:footnote>
  <w:footnote w:id="3">
    <w:p w:rsidR="0013653F" w:rsidRDefault="0013653F" w:rsidP="0013653F">
      <w:pPr>
        <w:pStyle w:val="FootnoteText"/>
        <w:widowControl w:val="0"/>
        <w:tabs>
          <w:tab w:val="clear" w:pos="1021"/>
          <w:tab w:val="right" w:pos="1020"/>
        </w:tabs>
      </w:pPr>
      <w:r>
        <w:tab/>
      </w:r>
      <w:r>
        <w:rPr>
          <w:rStyle w:val="FootnoteReference"/>
        </w:rPr>
        <w:footnoteRef/>
      </w:r>
      <w:r>
        <w:tab/>
        <w:t>Conformément au programme de travail du Comité des transports intérieurs pour 2016-2017 (ECE/TRANS/2016/28/Add.1 (9.3.))</w:t>
      </w:r>
      <w:r w:rsidR="00156A9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Pr>
        <w:lang w:val="en-GB"/>
      </w:rPr>
      <w:t>2/2016/</w:t>
    </w:r>
    <w:r w:rsidR="00E30A6C">
      <w:rPr>
        <w:lang w:val="en-GB"/>
      </w:rPr>
      <w:t>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E30A6C">
      <w:rPr>
        <w:lang w:val="en-GB"/>
      </w:rPr>
      <w:t>2/2016/39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1"/>
  <w:activeWritingStyle w:appName="MSWord" w:lang="fr-CA" w:vendorID="64" w:dllVersion="131078" w:nlCheck="1" w:checkStyle="1"/>
  <w:activeWritingStyle w:appName="MSWord" w:lang="nl-NL" w:vendorID="64" w:dllVersion="131078" w:nlCheck="1" w:checkStyle="0"/>
  <w:activeWritingStyle w:appName="MSWord" w:lang="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3653F"/>
    <w:rsid w:val="00143574"/>
    <w:rsid w:val="00154636"/>
    <w:rsid w:val="001551B7"/>
    <w:rsid w:val="001568BB"/>
    <w:rsid w:val="00156A92"/>
    <w:rsid w:val="00160540"/>
    <w:rsid w:val="00162132"/>
    <w:rsid w:val="00162E33"/>
    <w:rsid w:val="0016419C"/>
    <w:rsid w:val="00164FB7"/>
    <w:rsid w:val="001703B7"/>
    <w:rsid w:val="0017182C"/>
    <w:rsid w:val="00171EA3"/>
    <w:rsid w:val="00177007"/>
    <w:rsid w:val="00186EE9"/>
    <w:rsid w:val="00190399"/>
    <w:rsid w:val="00192EEB"/>
    <w:rsid w:val="001A20FB"/>
    <w:rsid w:val="001A37C7"/>
    <w:rsid w:val="001A73B7"/>
    <w:rsid w:val="001B6AF6"/>
    <w:rsid w:val="001B6F40"/>
    <w:rsid w:val="001C4BBB"/>
    <w:rsid w:val="001D7DF9"/>
    <w:rsid w:val="001D7F8A"/>
    <w:rsid w:val="001E3FEB"/>
    <w:rsid w:val="001E4A02"/>
    <w:rsid w:val="001F3CC1"/>
    <w:rsid w:val="001F412D"/>
    <w:rsid w:val="001F5816"/>
    <w:rsid w:val="002023CD"/>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3675E"/>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2C6B"/>
    <w:rsid w:val="00A963DD"/>
    <w:rsid w:val="00AA0176"/>
    <w:rsid w:val="00AA3C96"/>
    <w:rsid w:val="00AA5B1E"/>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0BD3"/>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65E"/>
    <w:rsid w:val="00ED7BEB"/>
    <w:rsid w:val="00EE2EA3"/>
    <w:rsid w:val="00EE43A7"/>
    <w:rsid w:val="00EF041A"/>
    <w:rsid w:val="00F01516"/>
    <w:rsid w:val="00F12577"/>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14:docId w14:val="511ADEA2"/>
  <w15:docId w15:val="{96425404-84A5-4951-A61A-D819FD8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539A-9C48-4C77-9F01-581FCDC4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22</TotalTime>
  <Pages>5</Pages>
  <Words>1182</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02</cp:lastModifiedBy>
  <cp:revision>6</cp:revision>
  <cp:lastPrinted>2016-06-02T15:13:00Z</cp:lastPrinted>
  <dcterms:created xsi:type="dcterms:W3CDTF">2016-06-02T15:18:00Z</dcterms:created>
  <dcterms:modified xsi:type="dcterms:W3CDTF">2016-06-07T14:54:00Z</dcterms:modified>
</cp:coreProperties>
</file>