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7D607D">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790627">
              <w:rPr>
                <w:lang w:val="en-GB"/>
              </w:rPr>
              <w:t>3</w:t>
            </w:r>
            <w:r w:rsidR="007D607D">
              <w:rPr>
                <w:lang w:val="en-GB"/>
              </w:rPr>
              <w:t>4</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9A46BA" w:rsidP="00C4302B">
            <w:pPr>
              <w:spacing w:line="240" w:lineRule="exact"/>
              <w:rPr>
                <w:lang w:val="fr-FR"/>
              </w:rPr>
            </w:pPr>
            <w:r>
              <w:rPr>
                <w:lang w:val="fr-FR"/>
              </w:rPr>
              <w:t>2 juin</w:t>
            </w:r>
            <w:bookmarkStart w:id="0" w:name="_GoBack"/>
            <w:bookmarkEnd w:id="0"/>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9A062C">
        <w:t xml:space="preserve">Point </w:t>
      </w:r>
      <w:r w:rsidR="009A062C" w:rsidRPr="009A062C">
        <w:t>3</w:t>
      </w:r>
      <w:r w:rsidRPr="009A062C">
        <w:t xml:space="preserve"> </w:t>
      </w:r>
      <w:r w:rsidR="00DB73D3">
        <w:t>c</w:t>
      </w:r>
      <w:r w:rsidRPr="009A062C">
        <w:t>)</w:t>
      </w:r>
      <w:r w:rsidRPr="00B93E72">
        <w:t xml:space="preserve"> de l</w:t>
      </w:r>
      <w:r>
        <w:t>’</w:t>
      </w:r>
      <w:r w:rsidRPr="00B93E72">
        <w:t>ordre du jour provisoire</w:t>
      </w:r>
    </w:p>
    <w:p w:rsidR="00790627" w:rsidRPr="00790627" w:rsidRDefault="00790627" w:rsidP="00790627">
      <w:pPr>
        <w:rPr>
          <w:b/>
          <w:lang w:val="fr-FR"/>
        </w:rPr>
      </w:pPr>
      <w:r w:rsidRPr="00790627">
        <w:rPr>
          <w:b/>
          <w:lang w:val="fr-FR"/>
        </w:rPr>
        <w:t xml:space="preserve">Mise en œuvre de l’Accord européen relatif au transport international </w:t>
      </w:r>
      <w:r w:rsidRPr="00790627">
        <w:rPr>
          <w:b/>
          <w:lang w:val="fr-FR"/>
        </w:rPr>
        <w:br/>
        <w:t>des marchandises dangereuses par voies de navigation intérieures (ADN):</w:t>
      </w:r>
    </w:p>
    <w:p w:rsidR="0049374F" w:rsidRPr="00C63AC1" w:rsidRDefault="00DB73D3" w:rsidP="00790627">
      <w:proofErr w:type="gramStart"/>
      <w:r>
        <w:rPr>
          <w:b/>
          <w:lang w:val="fr-FR"/>
        </w:rPr>
        <w:t>i</w:t>
      </w:r>
      <w:r w:rsidR="00790627" w:rsidRPr="00790627">
        <w:rPr>
          <w:b/>
          <w:lang w:val="fr-FR"/>
        </w:rPr>
        <w:t>nterprétation</w:t>
      </w:r>
      <w:proofErr w:type="gramEnd"/>
      <w:r w:rsidR="00790627" w:rsidRPr="00790627">
        <w:rPr>
          <w:b/>
          <w:lang w:val="fr-FR"/>
        </w:rPr>
        <w:t xml:space="preserve"> du Règlement annexé à l’ADN</w:t>
      </w:r>
    </w:p>
    <w:p w:rsidR="00A86837" w:rsidRPr="00EA0C87" w:rsidRDefault="0049374F" w:rsidP="00DB73D3">
      <w:pPr>
        <w:pStyle w:val="HChG"/>
        <w:spacing w:after="120"/>
      </w:pPr>
      <w:r w:rsidRPr="00C63AC1">
        <w:tab/>
      </w:r>
      <w:r w:rsidR="00A86837" w:rsidRPr="00C63AC1">
        <w:tab/>
      </w:r>
      <w:r w:rsidR="007D607D" w:rsidRPr="00787453">
        <w:rPr>
          <w:bCs/>
          <w:szCs w:val="24"/>
          <w:lang w:val="fr-FR"/>
        </w:rPr>
        <w:t>Paragraphe 7.2.4.1. ADN, transport de colis à bord de bateaux-citernes</w:t>
      </w:r>
    </w:p>
    <w:p w:rsidR="00A86837" w:rsidRPr="004D0EB7" w:rsidRDefault="00A86837" w:rsidP="00DB73D3">
      <w:pPr>
        <w:pStyle w:val="H1G"/>
        <w:spacing w:before="240"/>
      </w:pPr>
      <w:r w:rsidRPr="00EA0C87">
        <w:tab/>
      </w:r>
      <w:r w:rsidRPr="00EA0C87">
        <w:tab/>
      </w:r>
      <w:r w:rsidR="009A062C">
        <w:rPr>
          <w:lang w:val="fr-FR"/>
        </w:rPr>
        <w:t>Communication du</w:t>
      </w:r>
      <w:r w:rsidR="00614DF1" w:rsidRPr="00614DF1">
        <w:rPr>
          <w:lang w:val="fr-FR"/>
        </w:rPr>
        <w:t xml:space="preserve"> Gouvernement </w:t>
      </w:r>
      <w:r w:rsidR="009A062C">
        <w:rPr>
          <w:lang w:val="fr-FR"/>
        </w:rPr>
        <w:t>allemand</w:t>
      </w:r>
      <w:r w:rsidR="00614DF1" w:rsidRPr="00614DF1">
        <w:rPr>
          <w:vertAlign w:val="superscript"/>
          <w:lang w:val="fr-FR"/>
        </w:rPr>
        <w:t xml:space="preserve"> </w:t>
      </w:r>
      <w:r w:rsidR="00E53D77" w:rsidRPr="00497E7A">
        <w:rPr>
          <w:noProof/>
          <w:snapToGrid w:val="0"/>
          <w:szCs w:val="24"/>
          <w:vertAlign w:val="superscript"/>
          <w:lang w:val="fr-FR" w:eastAsia="fr-FR"/>
        </w:rPr>
        <w:footnoteReference w:id="2"/>
      </w:r>
      <w:r w:rsidR="009A062C">
        <w:rPr>
          <w:vertAlign w:val="superscript"/>
          <w:lang w:val="fr-FR"/>
        </w:rPr>
        <w:t xml:space="preserve">, </w:t>
      </w:r>
      <w:r w:rsidR="009A062C" w:rsidRPr="009A062C">
        <w:rPr>
          <w:rStyle w:val="FootnoteReference"/>
          <w:sz w:val="24"/>
          <w:szCs w:val="24"/>
        </w:rPr>
        <w:footnoteReference w:id="3"/>
      </w:r>
    </w:p>
    <w:tbl>
      <w:tblPr>
        <w:tblStyle w:val="TableGrid"/>
        <w:tblW w:w="0" w:type="auto"/>
        <w:jc w:val="center"/>
        <w:tblBorders>
          <w:insideH w:val="none" w:sz="0" w:space="0" w:color="auto"/>
        </w:tblBorders>
        <w:tblLook w:val="05E0" w:firstRow="1" w:lastRow="1" w:firstColumn="1" w:lastColumn="1" w:noHBand="0" w:noVBand="1"/>
      </w:tblPr>
      <w:tblGrid>
        <w:gridCol w:w="2689"/>
        <w:gridCol w:w="6940"/>
      </w:tblGrid>
      <w:tr w:rsidR="00614DF1" w:rsidTr="00614DF1">
        <w:trPr>
          <w:jc w:val="center"/>
        </w:trPr>
        <w:tc>
          <w:tcPr>
            <w:tcW w:w="9629" w:type="dxa"/>
            <w:gridSpan w:val="2"/>
            <w:shd w:val="clear" w:color="auto" w:fill="auto"/>
          </w:tcPr>
          <w:p w:rsidR="00614DF1" w:rsidRPr="00614DF1" w:rsidRDefault="00614DF1" w:rsidP="00DB73D3">
            <w:pPr>
              <w:spacing w:before="120" w:after="120"/>
              <w:ind w:left="255"/>
              <w:rPr>
                <w:i/>
                <w:sz w:val="24"/>
                <w:lang w:val="fr-FR"/>
              </w:rPr>
            </w:pPr>
            <w:r w:rsidRPr="00614DF1">
              <w:rPr>
                <w:i/>
                <w:sz w:val="24"/>
                <w:lang w:val="fr-FR"/>
              </w:rPr>
              <w:t xml:space="preserve">Résumé </w:t>
            </w:r>
          </w:p>
        </w:tc>
      </w:tr>
      <w:tr w:rsidR="00614DF1" w:rsidTr="004325DF">
        <w:trPr>
          <w:jc w:val="center"/>
        </w:trPr>
        <w:tc>
          <w:tcPr>
            <w:tcW w:w="2689" w:type="dxa"/>
            <w:tcBorders>
              <w:right w:val="nil"/>
            </w:tcBorders>
            <w:shd w:val="clear" w:color="auto" w:fill="auto"/>
          </w:tcPr>
          <w:p w:rsidR="00614DF1" w:rsidRDefault="00614DF1" w:rsidP="005C4AA0">
            <w:pPr>
              <w:spacing w:after="120"/>
              <w:ind w:left="274" w:right="113"/>
              <w:rPr>
                <w:lang w:val="fr-FR"/>
              </w:rPr>
            </w:pPr>
            <w:r w:rsidRPr="00614DF1">
              <w:rPr>
                <w:b/>
                <w:lang w:val="fr-FR"/>
              </w:rPr>
              <w:t>Résumé analytique :</w:t>
            </w:r>
          </w:p>
        </w:tc>
        <w:tc>
          <w:tcPr>
            <w:tcW w:w="6940" w:type="dxa"/>
            <w:tcBorders>
              <w:top w:val="nil"/>
              <w:left w:val="nil"/>
              <w:bottom w:val="nil"/>
            </w:tcBorders>
            <w:shd w:val="clear" w:color="auto" w:fill="auto"/>
          </w:tcPr>
          <w:p w:rsidR="00614DF1" w:rsidRPr="00614DF1" w:rsidRDefault="00614DF1" w:rsidP="000C2F7F">
            <w:pPr>
              <w:spacing w:after="120"/>
              <w:ind w:left="113" w:right="113"/>
              <w:rPr>
                <w:bCs/>
                <w:lang w:val="fr-FR"/>
              </w:rPr>
            </w:pPr>
            <w:r w:rsidRPr="00614DF1">
              <w:rPr>
                <w:bCs/>
                <w:lang w:val="fr-FR"/>
              </w:rPr>
              <w:t>La sous-section 7.2.4.1. ADN autorise le transport de certains colis aussi à bord de bateaux-citernes.</w:t>
            </w:r>
          </w:p>
          <w:p w:rsidR="00614DF1" w:rsidRDefault="00614DF1" w:rsidP="000C2F7F">
            <w:pPr>
              <w:spacing w:after="120"/>
              <w:ind w:left="113" w:right="113"/>
              <w:rPr>
                <w:lang w:val="fr-FR"/>
              </w:rPr>
            </w:pPr>
            <w:r w:rsidRPr="00614DF1">
              <w:rPr>
                <w:bCs/>
                <w:lang w:val="fr-FR"/>
              </w:rPr>
              <w:t>Il n'est pas clairement indiqué si seulement le récipient doit satisfaire à ces exigences ou si le transport dans son ensemble à bord du bateau-citerne doit être effectué conformément aux conditions fixées pour le transport de colis à bord de bateaux à marchandises sèches.</w:t>
            </w:r>
          </w:p>
        </w:tc>
      </w:tr>
      <w:tr w:rsidR="00614DF1" w:rsidTr="004325DF">
        <w:trPr>
          <w:jc w:val="center"/>
        </w:trPr>
        <w:tc>
          <w:tcPr>
            <w:tcW w:w="2689" w:type="dxa"/>
            <w:tcBorders>
              <w:right w:val="nil"/>
            </w:tcBorders>
            <w:shd w:val="clear" w:color="auto" w:fill="auto"/>
          </w:tcPr>
          <w:p w:rsidR="00614DF1" w:rsidRDefault="00614DF1" w:rsidP="005C4AA0">
            <w:pPr>
              <w:spacing w:after="120"/>
              <w:ind w:left="274" w:right="113"/>
              <w:rPr>
                <w:lang w:val="fr-FR"/>
              </w:rPr>
            </w:pPr>
            <w:r w:rsidRPr="00614DF1">
              <w:rPr>
                <w:b/>
                <w:lang w:val="fr-FR"/>
              </w:rPr>
              <w:t>Mesures à prendre :</w:t>
            </w:r>
          </w:p>
        </w:tc>
        <w:tc>
          <w:tcPr>
            <w:tcW w:w="6940" w:type="dxa"/>
            <w:tcBorders>
              <w:top w:val="nil"/>
              <w:left w:val="nil"/>
              <w:bottom w:val="nil"/>
            </w:tcBorders>
            <w:shd w:val="clear" w:color="auto" w:fill="auto"/>
          </w:tcPr>
          <w:p w:rsidR="00614DF1" w:rsidRDefault="00614DF1" w:rsidP="000C2F7F">
            <w:pPr>
              <w:spacing w:after="120"/>
              <w:ind w:left="113" w:right="113"/>
              <w:rPr>
                <w:lang w:val="fr-FR"/>
              </w:rPr>
            </w:pPr>
            <w:r w:rsidRPr="00614DF1">
              <w:rPr>
                <w:bCs/>
                <w:lang w:val="fr-FR"/>
              </w:rPr>
              <w:t>Examen par le Comité de sécurité de l'ADN. Mention de l'interprétation à donner dans le compte rendu de réunion.</w:t>
            </w:r>
          </w:p>
        </w:tc>
      </w:tr>
      <w:tr w:rsidR="00614DF1" w:rsidTr="004325DF">
        <w:trPr>
          <w:jc w:val="center"/>
        </w:trPr>
        <w:tc>
          <w:tcPr>
            <w:tcW w:w="2689" w:type="dxa"/>
            <w:tcBorders>
              <w:right w:val="nil"/>
            </w:tcBorders>
            <w:shd w:val="clear" w:color="auto" w:fill="auto"/>
          </w:tcPr>
          <w:p w:rsidR="00614DF1" w:rsidRDefault="00614DF1" w:rsidP="005C4AA0">
            <w:pPr>
              <w:spacing w:after="120"/>
              <w:ind w:left="274" w:right="113"/>
              <w:rPr>
                <w:lang w:val="fr-FR"/>
              </w:rPr>
            </w:pPr>
            <w:r w:rsidRPr="00614DF1">
              <w:rPr>
                <w:b/>
                <w:lang w:val="fr-FR"/>
              </w:rPr>
              <w:t>Documents connexes :</w:t>
            </w:r>
          </w:p>
        </w:tc>
        <w:tc>
          <w:tcPr>
            <w:tcW w:w="6940" w:type="dxa"/>
            <w:tcBorders>
              <w:top w:val="nil"/>
              <w:left w:val="nil"/>
              <w:bottom w:val="nil"/>
            </w:tcBorders>
            <w:shd w:val="clear" w:color="auto" w:fill="auto"/>
          </w:tcPr>
          <w:p w:rsidR="00614DF1" w:rsidRDefault="00614DF1" w:rsidP="000C2F7F">
            <w:pPr>
              <w:spacing w:after="120"/>
              <w:ind w:left="113" w:right="113"/>
              <w:rPr>
                <w:lang w:val="fr-FR"/>
              </w:rPr>
            </w:pPr>
            <w:r w:rsidRPr="00614DF1">
              <w:rPr>
                <w:bCs/>
                <w:lang w:val="fr-FR"/>
              </w:rPr>
              <w:t>Aucun</w:t>
            </w:r>
          </w:p>
        </w:tc>
      </w:tr>
      <w:tr w:rsidR="00614DF1" w:rsidTr="00614DF1">
        <w:trPr>
          <w:jc w:val="center"/>
        </w:trPr>
        <w:tc>
          <w:tcPr>
            <w:tcW w:w="9629" w:type="dxa"/>
            <w:gridSpan w:val="2"/>
            <w:shd w:val="clear" w:color="auto" w:fill="auto"/>
          </w:tcPr>
          <w:p w:rsidR="00614DF1" w:rsidRDefault="00614DF1" w:rsidP="00614DF1">
            <w:pPr>
              <w:rPr>
                <w:lang w:val="fr-FR"/>
              </w:rPr>
            </w:pPr>
          </w:p>
        </w:tc>
      </w:tr>
    </w:tbl>
    <w:p w:rsidR="00FF1E43" w:rsidRPr="00FF1E43" w:rsidRDefault="00FF1E43" w:rsidP="00FF1E43">
      <w:pPr>
        <w:pStyle w:val="HChG"/>
        <w:rPr>
          <w:lang w:val="fr-FR"/>
        </w:rPr>
      </w:pPr>
      <w:r>
        <w:rPr>
          <w:lang w:val="fr-FR"/>
        </w:rPr>
        <w:lastRenderedPageBreak/>
        <w:tab/>
      </w:r>
      <w:r w:rsidRPr="00FF1E43">
        <w:rPr>
          <w:lang w:val="fr-FR"/>
        </w:rPr>
        <w:t>I.</w:t>
      </w:r>
      <w:r w:rsidRPr="00FF1E43">
        <w:rPr>
          <w:lang w:val="fr-FR"/>
        </w:rPr>
        <w:tab/>
      </w:r>
      <w:r w:rsidRPr="00FF1E43">
        <w:rPr>
          <w:lang w:val="fr-FR"/>
        </w:rPr>
        <w:tab/>
        <w:t>Introduction</w:t>
      </w:r>
    </w:p>
    <w:p w:rsidR="00614DF1" w:rsidRPr="00614DF1" w:rsidRDefault="00614DF1" w:rsidP="00614DF1">
      <w:pPr>
        <w:pStyle w:val="SingleTxtG"/>
        <w:rPr>
          <w:lang w:val="fr-FR"/>
        </w:rPr>
      </w:pPr>
      <w:r w:rsidRPr="00614DF1">
        <w:rPr>
          <w:lang w:val="fr-FR"/>
        </w:rPr>
        <w:t>1.</w:t>
      </w:r>
      <w:r w:rsidRPr="00614DF1">
        <w:rPr>
          <w:lang w:val="fr-FR"/>
        </w:rPr>
        <w:tab/>
        <w:t>La sous-section 7.2.4.1 ADN permet de transporter aussi à bord de bateaux-citernes certains colis de matières dangereuses ou non.</w:t>
      </w:r>
    </w:p>
    <w:p w:rsidR="00FF1E43" w:rsidRPr="00B82BBE" w:rsidRDefault="00614DF1" w:rsidP="00614DF1">
      <w:pPr>
        <w:pStyle w:val="SingleTxtG"/>
        <w:rPr>
          <w:lang w:val="fr-FR"/>
        </w:rPr>
      </w:pPr>
      <w:r w:rsidRPr="00614DF1">
        <w:rPr>
          <w:lang w:val="fr-FR"/>
        </w:rPr>
        <w:t>2.</w:t>
      </w:r>
      <w:r w:rsidRPr="00614DF1">
        <w:rPr>
          <w:lang w:val="fr-FR"/>
        </w:rPr>
        <w:tab/>
        <w:t>Pour les récipients pour produits résiduaires, le paragraphe 7.2.4.1.1 ADN dispose que ceux-ci « </w:t>
      </w:r>
      <w:r w:rsidRPr="00614DF1">
        <w:rPr>
          <w:i/>
          <w:lang w:val="fr-FR"/>
        </w:rPr>
        <w:t>doivent répondre aux exigences d’une réglementation internationale applicable à la matière concernée</w:t>
      </w:r>
      <w:r w:rsidRPr="00614DF1">
        <w:rPr>
          <w:lang w:val="fr-FR"/>
        </w:rPr>
        <w:t> ».</w:t>
      </w:r>
    </w:p>
    <w:p w:rsidR="00FF1E43" w:rsidRPr="00FF1E43" w:rsidRDefault="00FF1E43" w:rsidP="00FF1E43">
      <w:pPr>
        <w:pStyle w:val="HChG"/>
        <w:rPr>
          <w:lang w:val="fr-FR"/>
        </w:rPr>
      </w:pPr>
      <w:r>
        <w:rPr>
          <w:lang w:val="fr-FR"/>
        </w:rPr>
        <w:tab/>
      </w:r>
      <w:r w:rsidRPr="00FF1E43">
        <w:rPr>
          <w:lang w:val="fr-FR"/>
        </w:rPr>
        <w:t xml:space="preserve">II. </w:t>
      </w:r>
      <w:r w:rsidRPr="00FF1E43">
        <w:rPr>
          <w:lang w:val="fr-FR"/>
        </w:rPr>
        <w:tab/>
      </w:r>
      <w:r w:rsidR="00614DF1" w:rsidRPr="00787453">
        <w:rPr>
          <w:bCs/>
          <w:szCs w:val="28"/>
          <w:lang w:val="fr-FR"/>
        </w:rPr>
        <w:t>Question d'interprétation</w:t>
      </w:r>
    </w:p>
    <w:p w:rsidR="00614DF1" w:rsidRPr="00614DF1" w:rsidRDefault="00614DF1" w:rsidP="00614DF1">
      <w:pPr>
        <w:pStyle w:val="SingleTxtG"/>
        <w:rPr>
          <w:lang w:val="fr-FR"/>
        </w:rPr>
      </w:pPr>
      <w:r w:rsidRPr="00614DF1">
        <w:rPr>
          <w:lang w:val="fr-FR"/>
        </w:rPr>
        <w:t>3.</w:t>
      </w:r>
      <w:r w:rsidRPr="00614DF1">
        <w:rPr>
          <w:lang w:val="fr-FR"/>
        </w:rPr>
        <w:tab/>
        <w:t>Les colis mentionnés dans la sous-section 7.2.4.1 ADN doivent-ils en outre être transportés conformément aux exigences applicables pour le transport de colis à bord de bateaux à cargaison sèche ? (</w:t>
      </w:r>
      <w:proofErr w:type="gramStart"/>
      <w:r w:rsidRPr="00614DF1">
        <w:rPr>
          <w:lang w:val="fr-FR"/>
        </w:rPr>
        <w:t>par</w:t>
      </w:r>
      <w:proofErr w:type="gramEnd"/>
      <w:r w:rsidRPr="00614DF1">
        <w:rPr>
          <w:lang w:val="fr-FR"/>
        </w:rPr>
        <w:t xml:space="preserve"> ex. document de transport, marquage et agrément des emballages, réservoirs, conteneurs-citernes, citernes mobiles). </w:t>
      </w:r>
    </w:p>
    <w:p w:rsidR="00614DF1" w:rsidRPr="00614DF1" w:rsidRDefault="00614DF1" w:rsidP="00614DF1">
      <w:pPr>
        <w:pStyle w:val="SingleTxtG"/>
        <w:rPr>
          <w:lang w:val="fr-FR"/>
        </w:rPr>
      </w:pPr>
      <w:r w:rsidRPr="00614DF1">
        <w:rPr>
          <w:lang w:val="fr-FR"/>
        </w:rPr>
        <w:t>4.</w:t>
      </w:r>
      <w:r w:rsidRPr="00614DF1">
        <w:rPr>
          <w:lang w:val="fr-FR"/>
        </w:rPr>
        <w:tab/>
        <w:t>Dans ce cas pourraient s'appliquer pour le transport en grands récipients pour vrac (GRV) les dispositions de la sous-section 1.1.3.6 ADN avec des exemptions en fonction des quantités transp</w:t>
      </w:r>
      <w:r>
        <w:rPr>
          <w:lang w:val="fr-FR"/>
        </w:rPr>
        <w:t xml:space="preserve">ortées à bord. Notamment : </w:t>
      </w:r>
      <w:r w:rsidRPr="00614DF1">
        <w:rPr>
          <w:lang w:val="fr-FR"/>
        </w:rPr>
        <w:t>1.1.3.6.2 a), b), c), e)</w:t>
      </w:r>
    </w:p>
    <w:p w:rsidR="00614DF1" w:rsidRPr="00614DF1" w:rsidRDefault="00614DF1" w:rsidP="00614DF1">
      <w:pPr>
        <w:pStyle w:val="SingleTxtG"/>
        <w:rPr>
          <w:lang w:val="fr-FR"/>
        </w:rPr>
      </w:pPr>
      <w:r w:rsidRPr="00614DF1">
        <w:rPr>
          <w:lang w:val="fr-FR"/>
        </w:rPr>
        <w:t>5.</w:t>
      </w:r>
      <w:r w:rsidRPr="00614DF1">
        <w:rPr>
          <w:lang w:val="fr-FR"/>
        </w:rPr>
        <w:tab/>
        <w:t>1.1.3.6.2 d) ne serait pas applicable, les bateaux-citernes étant dépourvus de cales. Les récipients pour produits résiduaires sont entreposés sur le pont. Ici, il conviendrait d'écrire « dans la zone de cargaison ».</w:t>
      </w:r>
    </w:p>
    <w:p w:rsidR="00FF1E43" w:rsidRPr="00FF1E43" w:rsidRDefault="00FF1E43" w:rsidP="00FF1E43">
      <w:pPr>
        <w:pStyle w:val="HChG"/>
        <w:rPr>
          <w:lang w:val="fr-FR"/>
        </w:rPr>
      </w:pPr>
      <w:r>
        <w:rPr>
          <w:lang w:val="fr-FR"/>
        </w:rPr>
        <w:tab/>
      </w:r>
      <w:r w:rsidR="001A2CA3">
        <w:rPr>
          <w:lang w:val="fr-FR"/>
        </w:rPr>
        <w:t xml:space="preserve">III. </w:t>
      </w:r>
      <w:r w:rsidR="001A2CA3">
        <w:rPr>
          <w:lang w:val="fr-FR"/>
        </w:rPr>
        <w:tab/>
      </w:r>
      <w:r w:rsidR="00614DF1" w:rsidRPr="00787453">
        <w:rPr>
          <w:bCs/>
          <w:szCs w:val="28"/>
          <w:lang w:val="fr-FR"/>
        </w:rPr>
        <w:t>Position de l'Allemagne</w:t>
      </w:r>
    </w:p>
    <w:p w:rsidR="00614DF1" w:rsidRPr="00614DF1" w:rsidRDefault="00614DF1" w:rsidP="00614DF1">
      <w:pPr>
        <w:pStyle w:val="SingleTxtG"/>
        <w:rPr>
          <w:lang w:val="fr-FR"/>
        </w:rPr>
      </w:pPr>
      <w:r w:rsidRPr="00614DF1">
        <w:rPr>
          <w:lang w:val="fr-FR"/>
        </w:rPr>
        <w:t>6.</w:t>
      </w:r>
      <w:r w:rsidRPr="00614DF1">
        <w:rPr>
          <w:lang w:val="fr-FR"/>
        </w:rPr>
        <w:tab/>
        <w:t xml:space="preserve">Les récipients pour produits résiduaires et récipients pour </w:t>
      </w:r>
      <w:proofErr w:type="spellStart"/>
      <w:r w:rsidRPr="00614DF1">
        <w:rPr>
          <w:lang w:val="fr-FR"/>
        </w:rPr>
        <w:t>slops</w:t>
      </w:r>
      <w:proofErr w:type="spellEnd"/>
      <w:r w:rsidRPr="00614DF1">
        <w:rPr>
          <w:lang w:val="fr-FR"/>
        </w:rPr>
        <w:t xml:space="preserve"> sont mentionnés après l'introduction suivante :</w:t>
      </w:r>
    </w:p>
    <w:p w:rsidR="00614DF1" w:rsidRPr="00614DF1" w:rsidRDefault="00614DF1" w:rsidP="00614DF1">
      <w:pPr>
        <w:pStyle w:val="SingleTxtG"/>
        <w:rPr>
          <w:lang w:val="fr-FR"/>
        </w:rPr>
      </w:pPr>
      <w:r w:rsidRPr="00614DF1">
        <w:rPr>
          <w:lang w:val="fr-FR"/>
        </w:rPr>
        <w:t>«</w:t>
      </w:r>
      <w:r w:rsidRPr="00614DF1">
        <w:rPr>
          <w:b/>
          <w:lang w:val="fr-FR"/>
        </w:rPr>
        <w:t>7.2.4.1.1</w:t>
      </w:r>
      <w:r w:rsidRPr="00614DF1">
        <w:rPr>
          <w:b/>
          <w:lang w:val="fr-FR"/>
        </w:rPr>
        <w:tab/>
      </w:r>
      <w:r w:rsidRPr="00614DF1">
        <w:rPr>
          <w:lang w:val="fr-FR"/>
        </w:rPr>
        <w:t>Le transport de colis dans la zone de cargaison est interdit. Cette interdiction ne s’applique pas :»</w:t>
      </w:r>
    </w:p>
    <w:p w:rsidR="00614DF1" w:rsidRPr="00614DF1" w:rsidRDefault="00614DF1" w:rsidP="00614DF1">
      <w:pPr>
        <w:pStyle w:val="SingleTxtG"/>
        <w:rPr>
          <w:lang w:val="fr-FR"/>
        </w:rPr>
      </w:pPr>
      <w:r w:rsidRPr="00614DF1">
        <w:rPr>
          <w:lang w:val="fr-FR"/>
        </w:rPr>
        <w:t>Pour les colis, il existe une définition dans la section 1.2.1 ADN. Pour le transport de colis existent des prescriptions qui sont applicables au même titre que celles pour le transport en citernes ou le transport de vrac.</w:t>
      </w:r>
    </w:p>
    <w:p w:rsidR="00614DF1" w:rsidRPr="00614DF1" w:rsidRDefault="00614DF1" w:rsidP="00614DF1">
      <w:pPr>
        <w:pStyle w:val="SingleTxtG"/>
        <w:rPr>
          <w:lang w:val="fr-FR"/>
        </w:rPr>
      </w:pPr>
      <w:r w:rsidRPr="00614DF1">
        <w:rPr>
          <w:lang w:val="fr-FR"/>
        </w:rPr>
        <w:t xml:space="preserve">Il semble qu'il n’y ait aucune raison pour laquelle les récipients pour produits résiduaires et récipients pour </w:t>
      </w:r>
      <w:proofErr w:type="spellStart"/>
      <w:r w:rsidRPr="00614DF1">
        <w:rPr>
          <w:lang w:val="fr-FR"/>
        </w:rPr>
        <w:t>slops</w:t>
      </w:r>
      <w:proofErr w:type="spellEnd"/>
      <w:r w:rsidRPr="00614DF1">
        <w:rPr>
          <w:lang w:val="fr-FR"/>
        </w:rPr>
        <w:t xml:space="preserve"> bénéficient d'exemptions mentionnées ailleurs qu'au chapitre 1.3.</w:t>
      </w:r>
    </w:p>
    <w:p w:rsidR="008D0723" w:rsidRDefault="00614DF1" w:rsidP="00614DF1">
      <w:pPr>
        <w:pStyle w:val="SingleTxtG"/>
        <w:rPr>
          <w:lang w:val="fr-FR"/>
        </w:rPr>
      </w:pPr>
      <w:r w:rsidRPr="00614DF1">
        <w:rPr>
          <w:lang w:val="fr-FR"/>
        </w:rPr>
        <w:t>7.</w:t>
      </w:r>
      <w:r w:rsidRPr="00614DF1">
        <w:rPr>
          <w:lang w:val="fr-FR"/>
        </w:rPr>
        <w:tab/>
        <w:t xml:space="preserve">Le transport de GRV et de récipients pour </w:t>
      </w:r>
      <w:proofErr w:type="spellStart"/>
      <w:r w:rsidRPr="00614DF1">
        <w:rPr>
          <w:lang w:val="fr-FR"/>
        </w:rPr>
        <w:t>slops</w:t>
      </w:r>
      <w:proofErr w:type="spellEnd"/>
      <w:r w:rsidRPr="00614DF1">
        <w:rPr>
          <w:lang w:val="fr-FR"/>
        </w:rPr>
        <w:t xml:space="preserve"> peut être exempté dans une large mesure de l'application des dispositions de l'ADN par le biais de la sous-section 1.1.3.6 ADN. Pour les conteneurs-citernes contenant une quantité significative de marchandise dangereuse, jusqu'à 12 m³, il convient pour des raisons de sécurité d'appliquer aussi aux récipients pour produits résiduaires les prescriptions applicables au transport de conteneurs-citernes ou de citernes mobiles.</w:t>
      </w:r>
    </w:p>
    <w:p w:rsidR="001A2CA3" w:rsidRPr="001A2CA3" w:rsidRDefault="001A2CA3" w:rsidP="001A2C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A2CA3" w:rsidRPr="001A2CA3"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A46BA">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FF1E43">
      <w:rPr>
        <w:b/>
        <w:noProof/>
        <w:sz w:val="18"/>
      </w:rPr>
      <w:t>15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FF1E43">
        <w:t xml:space="preserve"> CCNR/ZKR/ADN/WP.15/AC.2/2016/</w:t>
      </w:r>
      <w:r w:rsidR="007D607D">
        <w:t>34</w:t>
      </w:r>
      <w:r w:rsidRPr="00F337B3">
        <w:rPr>
          <w:noProof/>
        </w:rPr>
        <w:t>.</w:t>
      </w:r>
    </w:p>
  </w:footnote>
  <w:footnote w:id="3">
    <w:p w:rsidR="009A062C" w:rsidRDefault="009A062C" w:rsidP="009A062C">
      <w:pPr>
        <w:pStyle w:val="FootnoteText"/>
        <w:widowControl w:val="0"/>
        <w:tabs>
          <w:tab w:val="clear" w:pos="1021"/>
          <w:tab w:val="right" w:pos="1020"/>
        </w:tabs>
      </w:pPr>
      <w:r>
        <w:tab/>
      </w:r>
      <w:r>
        <w:rPr>
          <w:rStyle w:val="FootnoteReference"/>
        </w:rPr>
        <w:footnoteRef/>
      </w:r>
      <w:r>
        <w:tab/>
      </w:r>
      <w:r w:rsidRPr="009A062C">
        <w:t>Conformément au programme de travail du Comité des transports intérieurs pour 2016-2017 (ECE/TRANS/2016/28/Add.1 (9.3.)).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1A2CA3">
      <w:rPr>
        <w:lang w:val="en-GB"/>
      </w:rPr>
      <w:t>3</w:t>
    </w:r>
    <w:r w:rsidR="00614DF1">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Pr>
        <w:lang w:val="en-GB"/>
      </w:rPr>
      <w:t>2/2016/16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2492A"/>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C2F7F"/>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25DF"/>
    <w:rsid w:val="00434168"/>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C04"/>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4AA0"/>
    <w:rsid w:val="005C6014"/>
    <w:rsid w:val="005E5D1F"/>
    <w:rsid w:val="005E5E79"/>
    <w:rsid w:val="005F25D1"/>
    <w:rsid w:val="005F302D"/>
    <w:rsid w:val="005F59DB"/>
    <w:rsid w:val="00603391"/>
    <w:rsid w:val="006049FD"/>
    <w:rsid w:val="00605683"/>
    <w:rsid w:val="00611D43"/>
    <w:rsid w:val="00612D48"/>
    <w:rsid w:val="00614DF1"/>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D607D"/>
    <w:rsid w:val="007D78D5"/>
    <w:rsid w:val="007E2F66"/>
    <w:rsid w:val="007F0F13"/>
    <w:rsid w:val="007F55CB"/>
    <w:rsid w:val="00812C1A"/>
    <w:rsid w:val="00816FA8"/>
    <w:rsid w:val="0081704B"/>
    <w:rsid w:val="00831329"/>
    <w:rsid w:val="008317F6"/>
    <w:rsid w:val="00835193"/>
    <w:rsid w:val="008353E4"/>
    <w:rsid w:val="00835BFB"/>
    <w:rsid w:val="00836924"/>
    <w:rsid w:val="0083714D"/>
    <w:rsid w:val="00844750"/>
    <w:rsid w:val="00851438"/>
    <w:rsid w:val="00860C9D"/>
    <w:rsid w:val="00871051"/>
    <w:rsid w:val="00883D70"/>
    <w:rsid w:val="00884E9C"/>
    <w:rsid w:val="008937D5"/>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062C"/>
    <w:rsid w:val="009A21FA"/>
    <w:rsid w:val="009A2762"/>
    <w:rsid w:val="009A46B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2BBE"/>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B73D3"/>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1AEB"/>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3B945100"/>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F3C5-1516-47D8-A6D5-A202E676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12</TotalTime>
  <Pages>2</Pages>
  <Words>559</Words>
  <Characters>3189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10</cp:revision>
  <cp:lastPrinted>2015-06-12T10:10:00Z</cp:lastPrinted>
  <dcterms:created xsi:type="dcterms:W3CDTF">2016-05-25T13:14:00Z</dcterms:created>
  <dcterms:modified xsi:type="dcterms:W3CDTF">2016-06-02T09:39:00Z</dcterms:modified>
</cp:coreProperties>
</file>