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EE" w:rsidRPr="008C2D78" w:rsidRDefault="00180FEE" w:rsidP="00180FEE">
      <w:pPr>
        <w:spacing w:line="240" w:lineRule="auto"/>
        <w:rPr>
          <w:sz w:val="2"/>
          <w:lang w:val="fr-CH"/>
        </w:rPr>
        <w:sectPr w:rsidR="00180FEE" w:rsidRPr="008C2D78" w:rsidSect="00180FE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180FEE" w:rsidRPr="008C2D78" w:rsidRDefault="00180FEE" w:rsidP="008C2D7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C2D78">
        <w:rPr>
          <w:lang w:val="fr-CH"/>
        </w:rPr>
        <w:lastRenderedPageBreak/>
        <w:t>Commission économique pour l</w:t>
      </w:r>
      <w:r w:rsidR="008C2D78" w:rsidRPr="008C2D78">
        <w:rPr>
          <w:lang w:val="fr-CH"/>
        </w:rPr>
        <w:t>’</w:t>
      </w:r>
      <w:r w:rsidRPr="008C2D78">
        <w:rPr>
          <w:lang w:val="fr-CH"/>
        </w:rPr>
        <w:t>Europe</w:t>
      </w:r>
    </w:p>
    <w:p w:rsidR="008C2D78" w:rsidRPr="008C2D78" w:rsidRDefault="008C2D78" w:rsidP="008C2D7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180FEE" w:rsidRPr="008C2D78" w:rsidRDefault="00180FEE" w:rsidP="008C2D7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lang w:val="fr-CH"/>
        </w:rPr>
      </w:pPr>
      <w:r w:rsidRPr="008C2D78">
        <w:rPr>
          <w:b w:val="0"/>
          <w:bCs/>
          <w:lang w:val="fr-CH"/>
        </w:rPr>
        <w:t>Comité des transports intérieurs</w:t>
      </w:r>
    </w:p>
    <w:p w:rsidR="00180FEE" w:rsidRPr="008C2D78" w:rsidRDefault="00180FEE" w:rsidP="008C2D78">
      <w:pPr>
        <w:pStyle w:val="H1"/>
        <w:spacing w:line="120" w:lineRule="exact"/>
        <w:rPr>
          <w:b w:val="0"/>
          <w:sz w:val="10"/>
          <w:lang w:val="fr-CH"/>
        </w:rPr>
      </w:pPr>
    </w:p>
    <w:p w:rsidR="008C2D78" w:rsidRPr="008C2D78" w:rsidRDefault="008C2D78" w:rsidP="008C2D7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C2D78">
        <w:rPr>
          <w:lang w:val="fr-CH"/>
        </w:rPr>
        <w:t xml:space="preserve">Groupe de travail des transports </w:t>
      </w:r>
      <w:r w:rsidRPr="008C2D78">
        <w:rPr>
          <w:lang w:val="fr-CH"/>
        </w:rPr>
        <w:br/>
        <w:t>de marchandises dangereuses</w:t>
      </w:r>
    </w:p>
    <w:p w:rsidR="008C2D78" w:rsidRPr="008C2D78" w:rsidRDefault="008C2D78" w:rsidP="008C2D78">
      <w:pPr>
        <w:spacing w:line="120" w:lineRule="exact"/>
        <w:rPr>
          <w:b/>
          <w:sz w:val="10"/>
          <w:lang w:val="fr-CH"/>
        </w:rPr>
      </w:pPr>
    </w:p>
    <w:p w:rsidR="008C2D78" w:rsidRPr="008C2D78" w:rsidRDefault="008C2D78" w:rsidP="008C2D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C2D78">
        <w:rPr>
          <w:lang w:val="fr-CH"/>
        </w:rPr>
        <w:t xml:space="preserve">Réunion commune d’experts sur le Règlement annexé </w:t>
      </w:r>
      <w:r w:rsidRPr="008C2D78">
        <w:rPr>
          <w:lang w:val="fr-CH"/>
        </w:rPr>
        <w:br/>
        <w:t xml:space="preserve">à l’Accord européen relatif au transport international </w:t>
      </w:r>
      <w:r w:rsidRPr="008C2D78">
        <w:rPr>
          <w:lang w:val="fr-CH"/>
        </w:rPr>
        <w:br/>
        <w:t xml:space="preserve">des marchandises </w:t>
      </w:r>
      <w:r w:rsidRPr="008C2D78">
        <w:rPr>
          <w:bCs/>
          <w:iCs/>
          <w:lang w:val="fr-CH"/>
        </w:rPr>
        <w:t xml:space="preserve">dangereuses par voies de navigation </w:t>
      </w:r>
      <w:r w:rsidRPr="008C2D78">
        <w:rPr>
          <w:bCs/>
          <w:iCs/>
          <w:lang w:val="fr-CH"/>
        </w:rPr>
        <w:br/>
        <w:t xml:space="preserve">intérieures (ADN) </w:t>
      </w:r>
      <w:r w:rsidRPr="008C2D78">
        <w:rPr>
          <w:bCs/>
          <w:lang w:val="fr-CH"/>
        </w:rPr>
        <w:t>(Comité de sécurité de l’ADN)</w:t>
      </w:r>
    </w:p>
    <w:p w:rsidR="008C2D78" w:rsidRPr="008C2D78" w:rsidRDefault="008C2D78" w:rsidP="008C2D78">
      <w:pPr>
        <w:spacing w:line="120" w:lineRule="exact"/>
        <w:rPr>
          <w:b/>
          <w:bCs/>
          <w:sz w:val="10"/>
          <w:lang w:val="fr-CH"/>
        </w:rPr>
      </w:pPr>
    </w:p>
    <w:p w:rsidR="008C2D78" w:rsidRPr="008C2D78" w:rsidRDefault="008C2D78" w:rsidP="008C2D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C2D78">
        <w:rPr>
          <w:lang w:val="fr-CH"/>
        </w:rPr>
        <w:t>Vingt-huitième session</w:t>
      </w:r>
    </w:p>
    <w:p w:rsidR="008C2D78" w:rsidRPr="008C2D78" w:rsidRDefault="008C2D78" w:rsidP="008C2D78">
      <w:pPr>
        <w:rPr>
          <w:bCs/>
          <w:lang w:val="fr-CH"/>
        </w:rPr>
      </w:pPr>
      <w:r w:rsidRPr="008C2D78">
        <w:rPr>
          <w:lang w:val="fr-CH"/>
        </w:rPr>
        <w:t xml:space="preserve">Genève, </w:t>
      </w:r>
      <w:r w:rsidR="00C93DBF">
        <w:rPr>
          <w:bCs/>
          <w:lang w:val="fr-CH"/>
        </w:rPr>
        <w:t>25-29 </w:t>
      </w:r>
      <w:r w:rsidRPr="008C2D78">
        <w:rPr>
          <w:bCs/>
          <w:lang w:val="fr-CH"/>
        </w:rPr>
        <w:t>janvier 2016</w:t>
      </w:r>
    </w:p>
    <w:p w:rsidR="008C2D78" w:rsidRPr="008C2D78" w:rsidRDefault="00C93DBF" w:rsidP="008C2D78">
      <w:pPr>
        <w:rPr>
          <w:lang w:val="fr-CH"/>
        </w:rPr>
      </w:pPr>
      <w:r>
        <w:rPr>
          <w:lang w:val="fr-CH"/>
        </w:rPr>
        <w:t>Point 5 </w:t>
      </w:r>
      <w:r w:rsidR="008C2D78" w:rsidRPr="008C2D78">
        <w:rPr>
          <w:lang w:val="fr-CH"/>
        </w:rPr>
        <w:t>b) de l’ordre du jour provisoire</w:t>
      </w:r>
    </w:p>
    <w:p w:rsidR="008C2D78" w:rsidRPr="008C2D78" w:rsidRDefault="008C2D78" w:rsidP="008C2D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C2D78">
        <w:rPr>
          <w:lang w:val="fr-CH"/>
        </w:rPr>
        <w:t xml:space="preserve">Propositions d’amendements au Règlement </w:t>
      </w:r>
      <w:r w:rsidRPr="008C2D78">
        <w:rPr>
          <w:lang w:val="fr-CH"/>
        </w:rPr>
        <w:br/>
        <w:t>annexé à l’ADN : autres propositions</w:t>
      </w:r>
    </w:p>
    <w:p w:rsidR="008C2D78" w:rsidRPr="008C2D78" w:rsidRDefault="008C2D78" w:rsidP="008C2D78">
      <w:pPr>
        <w:spacing w:line="120" w:lineRule="exact"/>
        <w:rPr>
          <w:sz w:val="10"/>
          <w:lang w:val="fr-CH"/>
        </w:rPr>
      </w:pPr>
    </w:p>
    <w:p w:rsidR="008C2D78" w:rsidRPr="008C2D78" w:rsidRDefault="008C2D78" w:rsidP="008C2D78">
      <w:pPr>
        <w:spacing w:line="120" w:lineRule="exact"/>
        <w:rPr>
          <w:sz w:val="10"/>
          <w:lang w:val="fr-CH"/>
        </w:rPr>
      </w:pPr>
    </w:p>
    <w:p w:rsidR="008C2D78" w:rsidRPr="008C2D78" w:rsidRDefault="008C2D78" w:rsidP="008C2D78">
      <w:pPr>
        <w:spacing w:line="120" w:lineRule="exact"/>
        <w:rPr>
          <w:sz w:val="10"/>
          <w:lang w:val="fr-CH"/>
        </w:rPr>
      </w:pPr>
    </w:p>
    <w:p w:rsidR="008C2D78" w:rsidRPr="008C2D78" w:rsidRDefault="008C2D78" w:rsidP="00C93DB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C2D78">
        <w:rPr>
          <w:lang w:val="fr-CH"/>
        </w:rPr>
        <w:tab/>
      </w:r>
      <w:r w:rsidRPr="008C2D78">
        <w:rPr>
          <w:lang w:val="fr-CH"/>
        </w:rPr>
        <w:tab/>
        <w:t xml:space="preserve">Proposition de dérogation à la prescription du 7.2.4.25.5 </w:t>
      </w:r>
      <w:r w:rsidR="00C93DBF">
        <w:rPr>
          <w:lang w:val="fr-CH"/>
        </w:rPr>
        <w:br/>
      </w:r>
      <w:r w:rsidRPr="008C2D78">
        <w:rPr>
          <w:lang w:val="fr-CH"/>
        </w:rPr>
        <w:t xml:space="preserve">selon laquelle les mélanges gaz-air survenant lors </w:t>
      </w:r>
      <w:r w:rsidR="00C93DBF">
        <w:rPr>
          <w:lang w:val="fr-CH"/>
        </w:rPr>
        <w:br/>
      </w:r>
      <w:r w:rsidRPr="008C2D78">
        <w:rPr>
          <w:lang w:val="fr-CH"/>
        </w:rPr>
        <w:t xml:space="preserve">du chargement d’huiles de chauffe lourdes doivent </w:t>
      </w:r>
      <w:r w:rsidR="00C93DBF">
        <w:rPr>
          <w:lang w:val="fr-CH"/>
        </w:rPr>
        <w:br/>
      </w:r>
      <w:proofErr w:type="gramStart"/>
      <w:r w:rsidRPr="008C2D78">
        <w:rPr>
          <w:lang w:val="fr-CH"/>
        </w:rPr>
        <w:t>être</w:t>
      </w:r>
      <w:proofErr w:type="gramEnd"/>
      <w:r w:rsidRPr="008C2D78">
        <w:rPr>
          <w:lang w:val="fr-CH"/>
        </w:rPr>
        <w:t xml:space="preserve"> renvoyés à terre (n</w:t>
      </w:r>
      <w:r w:rsidRPr="008C2D78">
        <w:rPr>
          <w:vertAlign w:val="superscript"/>
          <w:lang w:val="fr-CH"/>
        </w:rPr>
        <w:t>o</w:t>
      </w:r>
      <w:r w:rsidRPr="008C2D78">
        <w:rPr>
          <w:lang w:val="fr-CH"/>
        </w:rPr>
        <w:t> ONU 3082)</w:t>
      </w: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Style w:val="FootnoteReference"/>
          <w:spacing w:val="4"/>
          <w:vertAlign w:val="baseline"/>
          <w:lang w:val="fr-CH"/>
        </w:rPr>
      </w:pPr>
      <w:r w:rsidRPr="008C2D78">
        <w:rPr>
          <w:lang w:val="fr-CH"/>
        </w:rPr>
        <w:tab/>
      </w:r>
      <w:r w:rsidRPr="008C2D78">
        <w:rPr>
          <w:lang w:val="fr-CH"/>
        </w:rPr>
        <w:tab/>
        <w:t xml:space="preserve">Communication de </w:t>
      </w:r>
      <w:proofErr w:type="spellStart"/>
      <w:r w:rsidRPr="008C2D78">
        <w:rPr>
          <w:lang w:val="fr-CH"/>
        </w:rPr>
        <w:t>FuelsEurope</w:t>
      </w:r>
      <w:proofErr w:type="spellEnd"/>
      <w:r w:rsidRPr="008C2D78">
        <w:rPr>
          <w:rStyle w:val="FootnoteReference"/>
          <w:b w:val="0"/>
          <w:bCs/>
          <w:sz w:val="20"/>
          <w:szCs w:val="20"/>
          <w:lang w:val="fr-CH"/>
        </w:rPr>
        <w:footnoteReference w:id="1"/>
      </w: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C2D78">
        <w:rPr>
          <w:lang w:val="fr-CH"/>
        </w:rPr>
        <w:tab/>
      </w:r>
      <w:r w:rsidRPr="008C2D78">
        <w:rPr>
          <w:lang w:val="fr-CH"/>
        </w:rPr>
        <w:tab/>
        <w:t>Contexte</w:t>
      </w:r>
    </w:p>
    <w:p w:rsidR="008C2D78" w:rsidRPr="008C2D78" w:rsidRDefault="008C2D78" w:rsidP="008C2D78">
      <w:pPr>
        <w:pStyle w:val="SingleTxt"/>
        <w:tabs>
          <w:tab w:val="clear" w:pos="1742"/>
        </w:tabs>
        <w:spacing w:after="0" w:line="120" w:lineRule="exact"/>
        <w:rPr>
          <w:sz w:val="10"/>
          <w:lang w:val="fr-CH"/>
        </w:rPr>
      </w:pPr>
    </w:p>
    <w:p w:rsidR="008C2D78" w:rsidRPr="008C2D78" w:rsidRDefault="008C2D78" w:rsidP="008C2D78">
      <w:pPr>
        <w:pStyle w:val="SingleTxt"/>
        <w:tabs>
          <w:tab w:val="clear" w:pos="1742"/>
        </w:tabs>
        <w:spacing w:after="0" w:line="120" w:lineRule="exact"/>
        <w:rPr>
          <w:sz w:val="10"/>
          <w:lang w:val="fr-CH"/>
        </w:rPr>
      </w:pPr>
    </w:p>
    <w:p w:rsidR="008C2D78" w:rsidRPr="008C2D78" w:rsidRDefault="008C2D78" w:rsidP="008C2D78">
      <w:pPr>
        <w:pStyle w:val="SingleTxt"/>
        <w:numPr>
          <w:ilvl w:val="0"/>
          <w:numId w:val="6"/>
        </w:numPr>
        <w:tabs>
          <w:tab w:val="clear" w:pos="475"/>
          <w:tab w:val="num" w:pos="1742"/>
        </w:tabs>
        <w:ind w:left="1267"/>
        <w:rPr>
          <w:lang w:val="fr-CH"/>
        </w:rPr>
      </w:pPr>
      <w:r w:rsidRPr="008C2D78">
        <w:rPr>
          <w:lang w:val="fr-CH"/>
        </w:rPr>
        <w:t>Il est fait référence au document informel INF.33 publié à l’occasion de la vingt-deuxième session de la Réunion commune d’experts sur le Règlement annexé à l’ADN (Comité de sécurité de l’ADN), dans lequel sont retracées les grandes lignes de l’étude CONCAWE relative aux émissions de gaz lors du chargement d’huiles de chauffe lourdes répertoriées sous le numéro ONU 3082 et aux risques liés à l’exposition du personnel à ces gaz. Comme suite aux modifications apportées aux spécifications de classement des huiles de chauffe lourdes sous le numéro ONU 3082, le transport des produits doit se faire dans des bateaux-citernes du type C ou des bateaux-citernes fermés et à double coque du type N. À sa réunion d’août 2012, le Comité de sécurité de l’ADN a accordé une dérogation temporaire à la prescription du 7.2.4.25.5 allant jusqu’au 31 décembre 2016, dans l’attente qu’une analyse complète des risques liés au chargement du numéro ONU </w:t>
      </w:r>
      <w:r w:rsidR="00AB4616">
        <w:rPr>
          <w:lang w:val="fr-CH"/>
        </w:rPr>
        <w:t>3082 soit réalisée et examinée.</w:t>
      </w:r>
    </w:p>
    <w:p w:rsidR="008C2D78" w:rsidRPr="008C2D78" w:rsidRDefault="008C2D78" w:rsidP="008C2D78">
      <w:pPr>
        <w:pStyle w:val="SingleTxt"/>
        <w:numPr>
          <w:ilvl w:val="0"/>
          <w:numId w:val="6"/>
        </w:numPr>
        <w:tabs>
          <w:tab w:val="clear" w:pos="475"/>
          <w:tab w:val="num" w:pos="1742"/>
        </w:tabs>
        <w:ind w:left="1267"/>
        <w:rPr>
          <w:lang w:val="fr-CH"/>
        </w:rPr>
      </w:pPr>
      <w:r w:rsidRPr="008C2D78">
        <w:rPr>
          <w:lang w:val="fr-CH"/>
        </w:rPr>
        <w:lastRenderedPageBreak/>
        <w:t>Il est également fait référence au document informel INF.23 publié à l’occasion de la vingt-sixième session du Comité de sécurité de l’ADN, dans lequel figurait le rapport final de l’étude CONCAWE sur les risques liés au chargement du numéro ONU 3082 (</w:t>
      </w:r>
      <w:proofErr w:type="spellStart"/>
      <w:r w:rsidRPr="008C2D78">
        <w:rPr>
          <w:lang w:val="fr-CH"/>
        </w:rPr>
        <w:t>Risk</w:t>
      </w:r>
      <w:proofErr w:type="spellEnd"/>
      <w:r w:rsidRPr="008C2D78">
        <w:rPr>
          <w:lang w:val="fr-CH"/>
        </w:rPr>
        <w:t xml:space="preserve"> </w:t>
      </w:r>
      <w:proofErr w:type="spellStart"/>
      <w:r w:rsidRPr="008C2D78">
        <w:rPr>
          <w:lang w:val="fr-CH"/>
        </w:rPr>
        <w:t>assessment</w:t>
      </w:r>
      <w:proofErr w:type="spellEnd"/>
      <w:r w:rsidRPr="008C2D78">
        <w:rPr>
          <w:lang w:val="fr-CH"/>
        </w:rPr>
        <w:t xml:space="preserve"> for </w:t>
      </w:r>
      <w:proofErr w:type="spellStart"/>
      <w:r w:rsidRPr="008C2D78">
        <w:rPr>
          <w:lang w:val="fr-CH"/>
        </w:rPr>
        <w:t>emissions</w:t>
      </w:r>
      <w:proofErr w:type="spellEnd"/>
      <w:r w:rsidRPr="008C2D78">
        <w:rPr>
          <w:lang w:val="fr-CH"/>
        </w:rPr>
        <w:t xml:space="preserve"> </w:t>
      </w:r>
      <w:proofErr w:type="spellStart"/>
      <w:r w:rsidRPr="008C2D78">
        <w:rPr>
          <w:lang w:val="fr-CH"/>
        </w:rPr>
        <w:t>from</w:t>
      </w:r>
      <w:proofErr w:type="spellEnd"/>
      <w:r w:rsidRPr="008C2D78">
        <w:rPr>
          <w:lang w:val="fr-CH"/>
        </w:rPr>
        <w:t xml:space="preserve"> hot </w:t>
      </w:r>
      <w:proofErr w:type="spellStart"/>
      <w:r w:rsidRPr="008C2D78">
        <w:rPr>
          <w:lang w:val="fr-CH"/>
        </w:rPr>
        <w:t>heavy</w:t>
      </w:r>
      <w:proofErr w:type="spellEnd"/>
      <w:r w:rsidRPr="008C2D78">
        <w:rPr>
          <w:lang w:val="fr-CH"/>
        </w:rPr>
        <w:t xml:space="preserve"> fuel </w:t>
      </w:r>
      <w:proofErr w:type="spellStart"/>
      <w:r w:rsidRPr="008C2D78">
        <w:rPr>
          <w:lang w:val="fr-CH"/>
        </w:rPr>
        <w:t>oil</w:t>
      </w:r>
      <w:proofErr w:type="spellEnd"/>
      <w:r w:rsidRPr="008C2D78">
        <w:rPr>
          <w:lang w:val="fr-CH"/>
        </w:rPr>
        <w:t xml:space="preserve"> </w:t>
      </w:r>
      <w:proofErr w:type="spellStart"/>
      <w:r w:rsidRPr="008C2D78">
        <w:rPr>
          <w:lang w:val="fr-CH"/>
        </w:rPr>
        <w:t>during</w:t>
      </w:r>
      <w:proofErr w:type="spellEnd"/>
      <w:r w:rsidRPr="008C2D78">
        <w:rPr>
          <w:lang w:val="fr-CH"/>
        </w:rPr>
        <w:t xml:space="preserve"> barge </w:t>
      </w:r>
      <w:proofErr w:type="spellStart"/>
      <w:r w:rsidRPr="008C2D78">
        <w:rPr>
          <w:lang w:val="fr-CH"/>
        </w:rPr>
        <w:t>loading</w:t>
      </w:r>
      <w:proofErr w:type="spellEnd"/>
      <w:r w:rsidRPr="008C2D78">
        <w:rPr>
          <w:lang w:val="fr-CH"/>
        </w:rPr>
        <w:t xml:space="preserve"> – CONCAWE). </w:t>
      </w:r>
    </w:p>
    <w:p w:rsidR="008C2D78" w:rsidRPr="008C2D78" w:rsidRDefault="008C2D78" w:rsidP="008C2D78">
      <w:pPr>
        <w:pStyle w:val="SingleTxt"/>
        <w:numPr>
          <w:ilvl w:val="0"/>
          <w:numId w:val="6"/>
        </w:numPr>
        <w:tabs>
          <w:tab w:val="clear" w:pos="475"/>
          <w:tab w:val="num" w:pos="1742"/>
        </w:tabs>
        <w:ind w:left="1267"/>
        <w:rPr>
          <w:lang w:val="fr-CH"/>
        </w:rPr>
      </w:pPr>
      <w:r w:rsidRPr="008C2D78">
        <w:rPr>
          <w:lang w:val="fr-CH"/>
        </w:rPr>
        <w:t xml:space="preserve">Sachant que les risques pour la santé humaine dépendent à la fois des propriétés de la substance concernée et de l’exposition individuelle des travailleurs par inhalation, les essais et analyses réalisés dans le cadre de l’étude CONCAWE indiquent que l’exposition des travailleurs qui manipulent des huiles de chauffe lourdes répertoriées sous le numéro ONU 3082 lors d’opérations de chargement ne présente pas de risques pour leur santé. </w:t>
      </w: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C2D78">
        <w:rPr>
          <w:lang w:val="fr-CH"/>
        </w:rPr>
        <w:tab/>
      </w:r>
      <w:r w:rsidRPr="008C2D78">
        <w:rPr>
          <w:lang w:val="fr-CH"/>
        </w:rPr>
        <w:tab/>
        <w:t>Proposition d’amendement</w:t>
      </w:r>
    </w:p>
    <w:p w:rsidR="008C2D78" w:rsidRPr="008C2D78" w:rsidRDefault="008C2D78" w:rsidP="008C2D78">
      <w:pPr>
        <w:pStyle w:val="SingleTxt"/>
        <w:spacing w:after="0" w:line="120" w:lineRule="exact"/>
        <w:rPr>
          <w:sz w:val="10"/>
          <w:lang w:val="fr-CH"/>
        </w:rPr>
      </w:pPr>
    </w:p>
    <w:p w:rsidR="008C2D78" w:rsidRPr="008C2D78" w:rsidRDefault="008C2D78" w:rsidP="008C2D78">
      <w:pPr>
        <w:pStyle w:val="SingleTxt"/>
        <w:spacing w:after="0" w:line="120" w:lineRule="exact"/>
        <w:rPr>
          <w:sz w:val="10"/>
          <w:lang w:val="fr-CH"/>
        </w:rPr>
      </w:pPr>
    </w:p>
    <w:p w:rsidR="008C2D78" w:rsidRPr="008C2D78" w:rsidRDefault="008C2D78" w:rsidP="008C2D78">
      <w:pPr>
        <w:pStyle w:val="SingleTxt"/>
        <w:numPr>
          <w:ilvl w:val="0"/>
          <w:numId w:val="6"/>
        </w:numPr>
        <w:tabs>
          <w:tab w:val="clear" w:pos="475"/>
          <w:tab w:val="num" w:pos="1742"/>
        </w:tabs>
        <w:ind w:left="1267"/>
        <w:rPr>
          <w:lang w:val="fr-CH"/>
        </w:rPr>
      </w:pPr>
      <w:r w:rsidRPr="008C2D78">
        <w:rPr>
          <w:lang w:val="fr-CH"/>
        </w:rPr>
        <w:t>Compte tenu de ce qui précède, il est demandé au Comité de sécurité d’appuyer la proposition de dérogation à la prescription du 7.2.4.25.5 selon laquelle les mélanges gaz-air survenant lors du chargement d’huiles de chauffe lourdes (numéro ONU 3082) doivent être renvoyés à terre au moyen d’une conduite de retour de gaz.</w:t>
      </w:r>
    </w:p>
    <w:p w:rsidR="008C2D78" w:rsidRPr="008C2D78" w:rsidRDefault="008C2D78" w:rsidP="008C2D78">
      <w:pPr>
        <w:pStyle w:val="SingleTxt"/>
        <w:numPr>
          <w:ilvl w:val="0"/>
          <w:numId w:val="6"/>
        </w:numPr>
        <w:tabs>
          <w:tab w:val="clear" w:pos="475"/>
          <w:tab w:val="num" w:pos="1742"/>
        </w:tabs>
        <w:ind w:left="1267"/>
        <w:rPr>
          <w:lang w:val="fr-CH"/>
        </w:rPr>
      </w:pPr>
      <w:r w:rsidRPr="008C2D78">
        <w:rPr>
          <w:lang w:val="fr-CH"/>
        </w:rPr>
        <w:t xml:space="preserve">Il est proposé d’introduire cette dérogation en ajoutant une nouvelle disposition spéciale : </w:t>
      </w:r>
    </w:p>
    <w:p w:rsidR="008C2D78" w:rsidRPr="008C2D78" w:rsidRDefault="008C2D78" w:rsidP="008C2D78">
      <w:pPr>
        <w:pStyle w:val="Bullet1"/>
        <w:rPr>
          <w:lang w:val="fr-CH"/>
        </w:rPr>
      </w:pPr>
      <w:r w:rsidRPr="008C2D78">
        <w:rPr>
          <w:lang w:val="fr-CH"/>
        </w:rPr>
        <w:t>Ajouter dans la section 3.3.1 de l’ADN le texte suivant : « 804 : La disposition énoncée au 7.2.4.25.5 ne s’applique pas au chargement du numéro ONU 3082, MATIÈRES DANGEREUSES POUR L’ENVIRONNEMENT, LIQUIDES, N.S.A. (HUILE DE CHAUFFE LOURDE). Dans le cas où, lors des opérations de chargement, les mélanges gaz-air ne sont pas renvoyés à terre au moyen d’une conduite de retour de gaz, il convient d’ouvrir les citernes à cargaison en utilisant un dispositif de décompression en toute sécurité, comme indiqué à l’alinéa a) du 9.3.2.22.4 ou du 9.3.3.22.4. Dans ce cas, il n’est pas nécessaire que le dispositif de décompression comporte un coupe-flammes résistant au feu. »;</w:t>
      </w:r>
    </w:p>
    <w:p w:rsidR="008C2D78" w:rsidRPr="008C2D78" w:rsidRDefault="008C2D78" w:rsidP="008C2D78">
      <w:pPr>
        <w:pStyle w:val="Bullet1"/>
        <w:rPr>
          <w:lang w:val="fr-CH"/>
        </w:rPr>
      </w:pPr>
      <w:r w:rsidRPr="008C2D78">
        <w:rPr>
          <w:lang w:val="fr-CH"/>
        </w:rPr>
        <w:t>Ajouter « 804 » dans la colonne (6) du tableau A du chapitre 3.2 de l’ADN, en regard du numéro ONU 3082;</w:t>
      </w:r>
    </w:p>
    <w:p w:rsidR="008C2D78" w:rsidRPr="008C2D78" w:rsidRDefault="008C2D78" w:rsidP="008C2D78">
      <w:pPr>
        <w:pStyle w:val="Bullet1"/>
        <w:rPr>
          <w:lang w:val="fr-CH"/>
        </w:rPr>
      </w:pPr>
      <w:r w:rsidRPr="008C2D78">
        <w:rPr>
          <w:lang w:val="fr-CH"/>
        </w:rPr>
        <w:t>Ajouter « Voir disposition spéciale 804 » dans la colonne (20) du tableau C du chapitre 3.2 de l’ADN, en regard du numéro ONU 3082, MATIÈRES DANGEREUSES POUR L’ENVIRONNEMENT, LIQUIDES, N.S.A. (HUILE DE CHAUFFE LOURDE).</w:t>
      </w:r>
    </w:p>
    <w:p w:rsidR="008C2D78" w:rsidRPr="008C2D78" w:rsidRDefault="008C2D78" w:rsidP="008C2D78">
      <w:pPr>
        <w:pStyle w:val="SingleTxt"/>
        <w:spacing w:after="0" w:line="120" w:lineRule="exact"/>
        <w:rPr>
          <w:b/>
          <w:sz w:val="10"/>
          <w:lang w:val="fr-CH"/>
        </w:rPr>
      </w:pPr>
    </w:p>
    <w:p w:rsidR="008C2D78" w:rsidRPr="008C2D78" w:rsidRDefault="008C2D78" w:rsidP="008C2D78">
      <w:pPr>
        <w:pStyle w:val="SingleTxt"/>
        <w:spacing w:after="0" w:line="120" w:lineRule="exact"/>
        <w:rPr>
          <w:b/>
          <w:sz w:val="10"/>
          <w:lang w:val="fr-CH"/>
        </w:rPr>
      </w:pPr>
    </w:p>
    <w:p w:rsidR="008C2D78" w:rsidRPr="00C93DBF" w:rsidRDefault="008C2D78" w:rsidP="008C2D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8C2D78">
        <w:rPr>
          <w:lang w:val="fr-CH"/>
        </w:rPr>
        <w:tab/>
      </w:r>
      <w:r w:rsidRPr="008C2D78">
        <w:rPr>
          <w:lang w:val="fr-CH"/>
        </w:rPr>
        <w:tab/>
      </w:r>
      <w:r w:rsidRPr="00C93DBF">
        <w:rPr>
          <w:lang w:val="en-US"/>
        </w:rPr>
        <w:t>Relevant document</w:t>
      </w:r>
    </w:p>
    <w:p w:rsidR="008C2D78" w:rsidRPr="00C93DBF" w:rsidRDefault="008C2D78" w:rsidP="008C2D78">
      <w:pPr>
        <w:pStyle w:val="SingleTxt"/>
        <w:spacing w:after="0" w:line="120" w:lineRule="exact"/>
        <w:rPr>
          <w:sz w:val="10"/>
          <w:lang w:val="en-US"/>
        </w:rPr>
      </w:pPr>
    </w:p>
    <w:p w:rsidR="008C2D78" w:rsidRPr="00C93DBF" w:rsidRDefault="008C2D78" w:rsidP="008C2D78">
      <w:pPr>
        <w:pStyle w:val="SingleTxt"/>
        <w:spacing w:after="0" w:line="120" w:lineRule="exact"/>
        <w:rPr>
          <w:sz w:val="10"/>
          <w:lang w:val="en-US"/>
        </w:rPr>
      </w:pPr>
    </w:p>
    <w:p w:rsidR="008C2D78" w:rsidRPr="00C93DBF" w:rsidRDefault="008C2D78" w:rsidP="008C2D78">
      <w:pPr>
        <w:pStyle w:val="SingleTxt"/>
        <w:rPr>
          <w:lang w:val="en-US"/>
        </w:rPr>
      </w:pPr>
      <w:r w:rsidRPr="00C93DBF">
        <w:rPr>
          <w:lang w:val="en-US"/>
        </w:rPr>
        <w:t>Risk assessment for emissions from hot heavy fuel oil during barge loading – CONCAWE – January 2015 – ISBN 978-2-87567-044-1.</w:t>
      </w:r>
    </w:p>
    <w:p w:rsidR="00180FEE" w:rsidRPr="008C2D78" w:rsidRDefault="008C2D78" w:rsidP="008C2D78">
      <w:pPr>
        <w:pStyle w:val="SingleTxt"/>
        <w:spacing w:after="0" w:line="240" w:lineRule="auto"/>
        <w:rPr>
          <w:lang w:val="fr-CH"/>
        </w:rPr>
      </w:pPr>
      <w:r w:rsidRPr="008C2D78">
        <w:rPr>
          <w:noProof/>
          <w:w w:val="100"/>
          <w:lang w:val="en-GB" w:eastAsia="en-GB"/>
        </w:rPr>
        <mc:AlternateContent>
          <mc:Choice Requires="wps">
            <w:drawing>
              <wp:anchor distT="0" distB="0" distL="114300" distR="114300" simplePos="0" relativeHeight="251659264" behindDoc="0" locked="0" layoutInCell="1" allowOverlap="1" wp14:anchorId="15CA0CFB" wp14:editId="0360AC83">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80FEE" w:rsidRPr="008C2D78" w:rsidSect="00180FEE">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35" w:rsidRDefault="00BD6635" w:rsidP="00F3330B">
      <w:pPr>
        <w:spacing w:line="240" w:lineRule="auto"/>
      </w:pPr>
      <w:r>
        <w:separator/>
      </w:r>
    </w:p>
  </w:endnote>
  <w:endnote w:type="continuationSeparator" w:id="0">
    <w:p w:rsidR="00BD6635" w:rsidRDefault="00BD663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80FEE" w:rsidTr="00180FEE">
      <w:trPr>
        <w:jc w:val="center"/>
      </w:trPr>
      <w:tc>
        <w:tcPr>
          <w:tcW w:w="5088" w:type="dxa"/>
          <w:shd w:val="clear" w:color="auto" w:fill="auto"/>
        </w:tcPr>
        <w:p w:rsidR="00180FEE" w:rsidRPr="00180FEE" w:rsidRDefault="00180FEE" w:rsidP="00180FE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571E">
            <w:rPr>
              <w:b w:val="0"/>
              <w:w w:val="103"/>
              <w:sz w:val="14"/>
            </w:rPr>
            <w:t>GE.15-19152</w:t>
          </w:r>
          <w:r>
            <w:rPr>
              <w:b w:val="0"/>
              <w:w w:val="103"/>
              <w:sz w:val="14"/>
            </w:rPr>
            <w:fldChar w:fldCharType="end"/>
          </w:r>
        </w:p>
      </w:tc>
      <w:tc>
        <w:tcPr>
          <w:tcW w:w="5089" w:type="dxa"/>
          <w:shd w:val="clear" w:color="auto" w:fill="auto"/>
        </w:tcPr>
        <w:p w:rsidR="00180FEE" w:rsidRPr="00180FEE" w:rsidRDefault="00180FEE" w:rsidP="00180FEE">
          <w:pPr>
            <w:pStyle w:val="Footer"/>
            <w:rPr>
              <w:w w:val="103"/>
            </w:rPr>
          </w:pPr>
          <w:r>
            <w:rPr>
              <w:w w:val="103"/>
            </w:rPr>
            <w:fldChar w:fldCharType="begin"/>
          </w:r>
          <w:r>
            <w:rPr>
              <w:w w:val="103"/>
            </w:rPr>
            <w:instrText xml:space="preserve"> PAGE  \* Arabic  \* MERGEFORMAT </w:instrText>
          </w:r>
          <w:r>
            <w:rPr>
              <w:w w:val="103"/>
            </w:rPr>
            <w:fldChar w:fldCharType="separate"/>
          </w:r>
          <w:r w:rsidR="002F388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F388E">
            <w:rPr>
              <w:noProof/>
              <w:w w:val="103"/>
            </w:rPr>
            <w:t>2</w:t>
          </w:r>
          <w:r>
            <w:rPr>
              <w:w w:val="103"/>
            </w:rPr>
            <w:fldChar w:fldCharType="end"/>
          </w:r>
        </w:p>
      </w:tc>
    </w:tr>
  </w:tbl>
  <w:p w:rsidR="00180FEE" w:rsidRPr="00180FEE" w:rsidRDefault="00180FEE" w:rsidP="00180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180FEE" w:rsidTr="00180FEE">
      <w:trPr>
        <w:jc w:val="center"/>
      </w:trPr>
      <w:tc>
        <w:tcPr>
          <w:tcW w:w="5088" w:type="dxa"/>
          <w:shd w:val="clear" w:color="auto" w:fill="auto"/>
        </w:tcPr>
        <w:p w:rsidR="00180FEE" w:rsidRPr="00180FEE" w:rsidRDefault="00180FEE" w:rsidP="00180FE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3571E">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3571E">
            <w:rPr>
              <w:noProof/>
              <w:w w:val="103"/>
            </w:rPr>
            <w:t>2</w:t>
          </w:r>
          <w:r>
            <w:rPr>
              <w:w w:val="103"/>
            </w:rPr>
            <w:fldChar w:fldCharType="end"/>
          </w:r>
        </w:p>
      </w:tc>
      <w:tc>
        <w:tcPr>
          <w:tcW w:w="5089" w:type="dxa"/>
          <w:shd w:val="clear" w:color="auto" w:fill="auto"/>
        </w:tcPr>
        <w:p w:rsidR="00180FEE" w:rsidRPr="00180FEE" w:rsidRDefault="00180FEE" w:rsidP="00180FE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3571E">
            <w:rPr>
              <w:b w:val="0"/>
              <w:w w:val="103"/>
              <w:sz w:val="14"/>
            </w:rPr>
            <w:t>GE.15-19152</w:t>
          </w:r>
          <w:r>
            <w:rPr>
              <w:b w:val="0"/>
              <w:w w:val="103"/>
              <w:sz w:val="14"/>
            </w:rPr>
            <w:fldChar w:fldCharType="end"/>
          </w:r>
        </w:p>
      </w:tc>
    </w:tr>
  </w:tbl>
  <w:p w:rsidR="00180FEE" w:rsidRPr="00180FEE" w:rsidRDefault="00180FEE" w:rsidP="00180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FEE" w:rsidRDefault="00180FEE">
    <w:pPr>
      <w:pStyle w:val="Footer"/>
    </w:pPr>
    <w:r>
      <w:rPr>
        <w:noProof/>
        <w:lang w:val="en-GB" w:eastAsia="en-GB"/>
      </w:rPr>
      <w:drawing>
        <wp:anchor distT="0" distB="0" distL="114300" distR="114300" simplePos="0" relativeHeight="251658240" behindDoc="0" locked="0" layoutInCell="1" allowOverlap="1" wp14:anchorId="3B915391" wp14:editId="513FA47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6/2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6/2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180FEE" w:rsidTr="00180FEE">
      <w:tc>
        <w:tcPr>
          <w:tcW w:w="3859" w:type="dxa"/>
        </w:tcPr>
        <w:p w:rsidR="00180FEE" w:rsidRDefault="00180FEE" w:rsidP="008C2D7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3571E">
            <w:rPr>
              <w:b w:val="0"/>
              <w:sz w:val="20"/>
            </w:rPr>
            <w:t>GE.15-19152 (F)</w:t>
          </w:r>
          <w:r>
            <w:rPr>
              <w:b w:val="0"/>
              <w:sz w:val="20"/>
            </w:rPr>
            <w:fldChar w:fldCharType="end"/>
          </w:r>
          <w:r w:rsidR="008C2D78">
            <w:rPr>
              <w:b w:val="0"/>
              <w:sz w:val="20"/>
            </w:rPr>
            <w:t xml:space="preserve">    25</w:t>
          </w:r>
          <w:r>
            <w:rPr>
              <w:b w:val="0"/>
              <w:sz w:val="20"/>
            </w:rPr>
            <w:t xml:space="preserve">1115    </w:t>
          </w:r>
          <w:r w:rsidR="008C2D78">
            <w:rPr>
              <w:b w:val="0"/>
              <w:sz w:val="20"/>
            </w:rPr>
            <w:t>1412</w:t>
          </w:r>
          <w:r>
            <w:rPr>
              <w:b w:val="0"/>
              <w:sz w:val="20"/>
            </w:rPr>
            <w:t>15</w:t>
          </w:r>
        </w:p>
        <w:p w:rsidR="00180FEE" w:rsidRPr="00180FEE" w:rsidRDefault="00180FEE" w:rsidP="00180FE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3571E">
            <w:rPr>
              <w:rFonts w:ascii="Barcode 3 of 9 by request" w:hAnsi="Barcode 3 of 9 by request"/>
              <w:b w:val="0"/>
              <w:spacing w:val="0"/>
              <w:w w:val="100"/>
              <w:sz w:val="24"/>
            </w:rPr>
            <w:t>*1519152*</w:t>
          </w:r>
          <w:r>
            <w:rPr>
              <w:rFonts w:ascii="Barcode 3 of 9 by request" w:hAnsi="Barcode 3 of 9 by request"/>
              <w:b w:val="0"/>
              <w:spacing w:val="0"/>
              <w:w w:val="100"/>
              <w:sz w:val="24"/>
            </w:rPr>
            <w:fldChar w:fldCharType="end"/>
          </w:r>
        </w:p>
      </w:tc>
      <w:tc>
        <w:tcPr>
          <w:tcW w:w="5089" w:type="dxa"/>
        </w:tcPr>
        <w:p w:rsidR="00180FEE" w:rsidRDefault="00180FEE" w:rsidP="00180FEE">
          <w:pPr>
            <w:pStyle w:val="Footer"/>
            <w:spacing w:line="240" w:lineRule="atLeast"/>
            <w:jc w:val="right"/>
            <w:rPr>
              <w:b w:val="0"/>
              <w:sz w:val="20"/>
            </w:rPr>
          </w:pPr>
          <w:r>
            <w:rPr>
              <w:b w:val="0"/>
              <w:noProof/>
              <w:sz w:val="20"/>
              <w:lang w:val="en-GB" w:eastAsia="en-GB"/>
            </w:rPr>
            <w:drawing>
              <wp:inline distT="0" distB="0" distL="0" distR="0" wp14:anchorId="11943076" wp14:editId="7D13D53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80FEE" w:rsidRPr="00180FEE" w:rsidRDefault="00180FEE" w:rsidP="00180FE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35" w:rsidRPr="008C2D78" w:rsidRDefault="008C2D78" w:rsidP="008C2D78">
      <w:pPr>
        <w:pStyle w:val="Footer"/>
        <w:spacing w:after="80"/>
        <w:ind w:left="792"/>
        <w:rPr>
          <w:sz w:val="16"/>
        </w:rPr>
      </w:pPr>
      <w:r w:rsidRPr="008C2D78">
        <w:rPr>
          <w:sz w:val="16"/>
        </w:rPr>
        <w:t>__________________</w:t>
      </w:r>
    </w:p>
  </w:footnote>
  <w:footnote w:type="continuationSeparator" w:id="0">
    <w:p w:rsidR="00BD6635" w:rsidRPr="008C2D78" w:rsidRDefault="008C2D78" w:rsidP="008C2D78">
      <w:pPr>
        <w:pStyle w:val="Footer"/>
        <w:spacing w:after="80"/>
        <w:ind w:left="792"/>
        <w:rPr>
          <w:sz w:val="16"/>
        </w:rPr>
      </w:pPr>
      <w:r w:rsidRPr="008C2D78">
        <w:rPr>
          <w:sz w:val="16"/>
        </w:rPr>
        <w:t>__________________</w:t>
      </w:r>
    </w:p>
  </w:footnote>
  <w:footnote w:id="1">
    <w:p w:rsidR="008C2D78" w:rsidRDefault="008C2D78" w:rsidP="008C2D78">
      <w:pPr>
        <w:pStyle w:val="FootnoteText"/>
        <w:tabs>
          <w:tab w:val="right" w:pos="1195"/>
          <w:tab w:val="left" w:pos="1267"/>
          <w:tab w:val="left" w:pos="1742"/>
          <w:tab w:val="left" w:pos="2218"/>
          <w:tab w:val="left" w:pos="2693"/>
        </w:tabs>
        <w:ind w:left="1267" w:right="1260" w:hanging="432"/>
        <w:rPr>
          <w:spacing w:val="5"/>
          <w:w w:val="104"/>
          <w:lang w:val="fr-CH"/>
        </w:rPr>
      </w:pPr>
      <w:r>
        <w:rPr>
          <w:spacing w:val="5"/>
          <w:w w:val="104"/>
        </w:rPr>
        <w:tab/>
      </w:r>
      <w:r>
        <w:rPr>
          <w:rStyle w:val="FootnoteReference"/>
          <w:w w:val="104"/>
        </w:rPr>
        <w:footnoteRef/>
      </w:r>
      <w:r>
        <w:rPr>
          <w:spacing w:val="5"/>
          <w:w w:val="104"/>
          <w:lang w:val="fr-CH"/>
        </w:rPr>
        <w:tab/>
        <w:t>Document diffusé en langue allemande par la Commission centrale pour la navigation du Rhin sous la cote CCNR-ZKR/ADN/WP.15/AC.2/2016/26.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80FEE" w:rsidTr="00180FEE">
      <w:trPr>
        <w:trHeight w:hRule="exact" w:val="864"/>
        <w:jc w:val="center"/>
      </w:trPr>
      <w:tc>
        <w:tcPr>
          <w:tcW w:w="4882" w:type="dxa"/>
          <w:shd w:val="clear" w:color="auto" w:fill="auto"/>
          <w:vAlign w:val="bottom"/>
        </w:tcPr>
        <w:p w:rsidR="00180FEE" w:rsidRPr="00180FEE" w:rsidRDefault="00180FEE" w:rsidP="00180FEE">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571E">
            <w:rPr>
              <w:b/>
              <w:color w:val="000000"/>
            </w:rPr>
            <w:t>ECE/TRANS/WP.15/AC.2/2016/26</w:t>
          </w:r>
          <w:r>
            <w:rPr>
              <w:b/>
              <w:color w:val="000000"/>
            </w:rPr>
            <w:fldChar w:fldCharType="end"/>
          </w:r>
        </w:p>
      </w:tc>
      <w:tc>
        <w:tcPr>
          <w:tcW w:w="5089" w:type="dxa"/>
          <w:shd w:val="clear" w:color="auto" w:fill="auto"/>
          <w:vAlign w:val="bottom"/>
        </w:tcPr>
        <w:p w:rsidR="00180FEE" w:rsidRDefault="00180FEE" w:rsidP="00180FEE">
          <w:pPr>
            <w:pStyle w:val="Header"/>
          </w:pPr>
        </w:p>
      </w:tc>
    </w:tr>
  </w:tbl>
  <w:p w:rsidR="00180FEE" w:rsidRPr="00180FEE" w:rsidRDefault="00180FEE" w:rsidP="00180FEE">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180FEE" w:rsidTr="00180FEE">
      <w:trPr>
        <w:trHeight w:hRule="exact" w:val="864"/>
        <w:jc w:val="center"/>
      </w:trPr>
      <w:tc>
        <w:tcPr>
          <w:tcW w:w="4882" w:type="dxa"/>
          <w:shd w:val="clear" w:color="auto" w:fill="auto"/>
          <w:vAlign w:val="bottom"/>
        </w:tcPr>
        <w:p w:rsidR="00180FEE" w:rsidRDefault="00180FEE" w:rsidP="00180FEE">
          <w:pPr>
            <w:pStyle w:val="Header"/>
          </w:pPr>
        </w:p>
      </w:tc>
      <w:tc>
        <w:tcPr>
          <w:tcW w:w="5089" w:type="dxa"/>
          <w:shd w:val="clear" w:color="auto" w:fill="auto"/>
          <w:vAlign w:val="bottom"/>
        </w:tcPr>
        <w:p w:rsidR="00180FEE" w:rsidRPr="00180FEE" w:rsidRDefault="00180FEE" w:rsidP="00180FEE">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3571E">
            <w:rPr>
              <w:b/>
              <w:color w:val="000000"/>
            </w:rPr>
            <w:t>ECE/TRANS/WP.15/AC.2/2016/26</w:t>
          </w:r>
          <w:r>
            <w:rPr>
              <w:b/>
              <w:color w:val="000000"/>
            </w:rPr>
            <w:fldChar w:fldCharType="end"/>
          </w:r>
        </w:p>
      </w:tc>
    </w:tr>
  </w:tbl>
  <w:p w:rsidR="00180FEE" w:rsidRPr="00180FEE" w:rsidRDefault="00180FEE" w:rsidP="00180F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80FEE" w:rsidRPr="008C2D78" w:rsidTr="00180FEE">
      <w:trPr>
        <w:trHeight w:hRule="exact" w:val="864"/>
      </w:trPr>
      <w:tc>
        <w:tcPr>
          <w:tcW w:w="1267" w:type="dxa"/>
          <w:tcBorders>
            <w:bottom w:val="single" w:sz="4" w:space="0" w:color="auto"/>
          </w:tcBorders>
          <w:shd w:val="clear" w:color="auto" w:fill="auto"/>
          <w:vAlign w:val="bottom"/>
        </w:tcPr>
        <w:p w:rsidR="00180FEE" w:rsidRPr="008C2D78" w:rsidRDefault="00180FEE" w:rsidP="00180FEE">
          <w:pPr>
            <w:pStyle w:val="Header"/>
            <w:spacing w:after="120"/>
            <w:rPr>
              <w:lang w:val="fr-CH"/>
            </w:rPr>
          </w:pPr>
        </w:p>
      </w:tc>
      <w:tc>
        <w:tcPr>
          <w:tcW w:w="2059" w:type="dxa"/>
          <w:tcBorders>
            <w:bottom w:val="single" w:sz="4" w:space="0" w:color="auto"/>
          </w:tcBorders>
          <w:shd w:val="clear" w:color="auto" w:fill="auto"/>
          <w:vAlign w:val="bottom"/>
        </w:tcPr>
        <w:p w:rsidR="00180FEE" w:rsidRPr="008C2D78" w:rsidRDefault="00180FEE" w:rsidP="00180FEE">
          <w:pPr>
            <w:pStyle w:val="HCH"/>
            <w:spacing w:after="80"/>
            <w:rPr>
              <w:b w:val="0"/>
              <w:color w:val="010000"/>
              <w:spacing w:val="2"/>
              <w:w w:val="96"/>
              <w:lang w:val="fr-CH"/>
            </w:rPr>
          </w:pPr>
          <w:r w:rsidRPr="008C2D78">
            <w:rPr>
              <w:b w:val="0"/>
              <w:color w:val="010000"/>
              <w:spacing w:val="2"/>
              <w:w w:val="96"/>
              <w:lang w:val="fr-CH"/>
            </w:rPr>
            <w:t>Nations Unies</w:t>
          </w:r>
        </w:p>
      </w:tc>
      <w:tc>
        <w:tcPr>
          <w:tcW w:w="58" w:type="dxa"/>
          <w:tcBorders>
            <w:bottom w:val="single" w:sz="4" w:space="0" w:color="auto"/>
          </w:tcBorders>
          <w:shd w:val="clear" w:color="auto" w:fill="auto"/>
          <w:vAlign w:val="bottom"/>
        </w:tcPr>
        <w:p w:rsidR="00180FEE" w:rsidRPr="008C2D78" w:rsidRDefault="00180FEE" w:rsidP="00180FEE">
          <w:pPr>
            <w:pStyle w:val="Header"/>
            <w:spacing w:after="120"/>
            <w:rPr>
              <w:lang w:val="fr-CH"/>
            </w:rPr>
          </w:pPr>
        </w:p>
      </w:tc>
      <w:tc>
        <w:tcPr>
          <w:tcW w:w="6653" w:type="dxa"/>
          <w:gridSpan w:val="4"/>
          <w:tcBorders>
            <w:bottom w:val="single" w:sz="4" w:space="0" w:color="auto"/>
          </w:tcBorders>
          <w:shd w:val="clear" w:color="auto" w:fill="auto"/>
          <w:vAlign w:val="bottom"/>
        </w:tcPr>
        <w:p w:rsidR="00180FEE" w:rsidRPr="008C2D78" w:rsidRDefault="00180FEE" w:rsidP="00180FEE">
          <w:pPr>
            <w:spacing w:after="80" w:line="240" w:lineRule="auto"/>
            <w:jc w:val="right"/>
            <w:rPr>
              <w:position w:val="-4"/>
              <w:lang w:val="fr-CH"/>
            </w:rPr>
          </w:pPr>
          <w:r w:rsidRPr="008C2D78">
            <w:rPr>
              <w:position w:val="-4"/>
              <w:sz w:val="40"/>
              <w:lang w:val="fr-CH"/>
            </w:rPr>
            <w:t>ECE</w:t>
          </w:r>
          <w:r w:rsidRPr="008C2D78">
            <w:rPr>
              <w:position w:val="-4"/>
              <w:lang w:val="fr-CH"/>
            </w:rPr>
            <w:t>/TRANS/WP.15/AC.2/2016/26</w:t>
          </w:r>
        </w:p>
      </w:tc>
    </w:tr>
    <w:tr w:rsidR="00180FEE" w:rsidRPr="008C2D78" w:rsidTr="00180FEE">
      <w:trPr>
        <w:gridAfter w:val="1"/>
        <w:wAfter w:w="18" w:type="dxa"/>
        <w:trHeight w:hRule="exact" w:val="2880"/>
      </w:trPr>
      <w:tc>
        <w:tcPr>
          <w:tcW w:w="1267" w:type="dxa"/>
          <w:tcBorders>
            <w:top w:val="single" w:sz="4" w:space="0" w:color="auto"/>
            <w:bottom w:val="single" w:sz="12" w:space="0" w:color="auto"/>
          </w:tcBorders>
          <w:shd w:val="clear" w:color="auto" w:fill="auto"/>
        </w:tcPr>
        <w:p w:rsidR="00180FEE" w:rsidRPr="008C2D78" w:rsidRDefault="00180FEE" w:rsidP="00180FEE">
          <w:pPr>
            <w:pStyle w:val="Header"/>
            <w:spacing w:before="120" w:line="240" w:lineRule="auto"/>
            <w:ind w:left="-72"/>
            <w:jc w:val="center"/>
            <w:rPr>
              <w:lang w:val="fr-CH"/>
            </w:rPr>
          </w:pPr>
          <w:r w:rsidRPr="008C2D78">
            <w:rPr>
              <w:lang w:val="fr-CH"/>
            </w:rPr>
            <w:t xml:space="preserve">  </w:t>
          </w:r>
          <w:r w:rsidRPr="008C2D78">
            <w:rPr>
              <w:noProof/>
              <w:lang w:val="en-GB" w:eastAsia="en-GB"/>
            </w:rPr>
            <w:drawing>
              <wp:inline distT="0" distB="0" distL="0" distR="0" wp14:anchorId="4EDF89FE" wp14:editId="70BDC73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80FEE" w:rsidRPr="008C2D78" w:rsidRDefault="00180FEE" w:rsidP="00180FEE">
          <w:pPr>
            <w:pStyle w:val="XLarge"/>
            <w:spacing w:before="109"/>
            <w:rPr>
              <w:lang w:val="fr-CH"/>
            </w:rPr>
          </w:pPr>
          <w:r w:rsidRPr="008C2D78">
            <w:rPr>
              <w:lang w:val="fr-CH"/>
            </w:rPr>
            <w:t>Conseil économique et social</w:t>
          </w:r>
        </w:p>
      </w:tc>
      <w:tc>
        <w:tcPr>
          <w:tcW w:w="245" w:type="dxa"/>
          <w:tcBorders>
            <w:top w:val="single" w:sz="4" w:space="0" w:color="auto"/>
            <w:bottom w:val="single" w:sz="12" w:space="0" w:color="auto"/>
          </w:tcBorders>
          <w:shd w:val="clear" w:color="auto" w:fill="auto"/>
        </w:tcPr>
        <w:p w:rsidR="00180FEE" w:rsidRPr="008C2D78" w:rsidRDefault="00180FEE" w:rsidP="00180FEE">
          <w:pPr>
            <w:pStyle w:val="Header"/>
            <w:spacing w:before="109"/>
            <w:rPr>
              <w:lang w:val="fr-CH"/>
            </w:rPr>
          </w:pPr>
        </w:p>
      </w:tc>
      <w:tc>
        <w:tcPr>
          <w:tcW w:w="3280" w:type="dxa"/>
          <w:tcBorders>
            <w:top w:val="single" w:sz="4" w:space="0" w:color="auto"/>
            <w:bottom w:val="single" w:sz="12" w:space="0" w:color="auto"/>
          </w:tcBorders>
          <w:shd w:val="clear" w:color="auto" w:fill="auto"/>
        </w:tcPr>
        <w:p w:rsidR="00180FEE" w:rsidRPr="008C2D78" w:rsidRDefault="00180FEE" w:rsidP="00180FEE">
          <w:pPr>
            <w:pStyle w:val="Distribution"/>
            <w:rPr>
              <w:color w:val="000000"/>
              <w:lang w:val="fr-CH"/>
            </w:rPr>
          </w:pPr>
          <w:proofErr w:type="spellStart"/>
          <w:r w:rsidRPr="008C2D78">
            <w:rPr>
              <w:color w:val="000000"/>
              <w:lang w:val="fr-CH"/>
            </w:rPr>
            <w:t>Distr</w:t>
          </w:r>
          <w:proofErr w:type="spellEnd"/>
          <w:r w:rsidRPr="008C2D78">
            <w:rPr>
              <w:color w:val="000000"/>
              <w:lang w:val="fr-CH"/>
            </w:rPr>
            <w:t>. générale</w:t>
          </w:r>
        </w:p>
        <w:p w:rsidR="00180FEE" w:rsidRPr="008C2D78" w:rsidRDefault="008C2D78" w:rsidP="00180FEE">
          <w:pPr>
            <w:pStyle w:val="Publication"/>
            <w:rPr>
              <w:color w:val="000000"/>
              <w:lang w:val="fr-CH"/>
            </w:rPr>
          </w:pPr>
          <w:r>
            <w:rPr>
              <w:color w:val="000000"/>
              <w:lang w:val="fr-CH"/>
            </w:rPr>
            <w:t>4 </w:t>
          </w:r>
          <w:r w:rsidR="00180FEE" w:rsidRPr="008C2D78">
            <w:rPr>
              <w:color w:val="000000"/>
              <w:lang w:val="fr-CH"/>
            </w:rPr>
            <w:t>novembre 2015</w:t>
          </w:r>
        </w:p>
        <w:p w:rsidR="00180FEE" w:rsidRPr="008C2D78" w:rsidRDefault="00180FEE" w:rsidP="00180FEE">
          <w:pPr>
            <w:rPr>
              <w:lang w:val="fr-CH"/>
            </w:rPr>
          </w:pPr>
          <w:r w:rsidRPr="008C2D78">
            <w:rPr>
              <w:lang w:val="fr-CH"/>
            </w:rPr>
            <w:t>Français</w:t>
          </w:r>
        </w:p>
        <w:p w:rsidR="00180FEE" w:rsidRPr="008C2D78" w:rsidRDefault="008C2D78" w:rsidP="00180FEE">
          <w:pPr>
            <w:pStyle w:val="Original"/>
            <w:rPr>
              <w:color w:val="000000"/>
              <w:lang w:val="fr-CH"/>
            </w:rPr>
          </w:pPr>
          <w:r>
            <w:rPr>
              <w:color w:val="000000"/>
              <w:lang w:val="fr-CH"/>
            </w:rPr>
            <w:t>Original </w:t>
          </w:r>
          <w:r w:rsidR="00180FEE" w:rsidRPr="008C2D78">
            <w:rPr>
              <w:color w:val="000000"/>
              <w:lang w:val="fr-CH"/>
            </w:rPr>
            <w:t>: anglais</w:t>
          </w:r>
        </w:p>
      </w:tc>
    </w:tr>
  </w:tbl>
  <w:p w:rsidR="00180FEE" w:rsidRPr="008C2D78" w:rsidRDefault="00180FEE" w:rsidP="00180FE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7360A"/>
    <w:multiLevelType w:val="singleLevel"/>
    <w:tmpl w:val="52AE677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9152*"/>
    <w:docVar w:name="CreationDt" w:val="11/26/2015 10:58 AM"/>
    <w:docVar w:name="DocCategory" w:val="Doc"/>
    <w:docVar w:name="DocType" w:val="Final"/>
    <w:docVar w:name="DutyStation" w:val="Geneva"/>
    <w:docVar w:name="FooterJN" w:val="GE.15-19152"/>
    <w:docVar w:name="jobn" w:val="GE.15-19152 (F)"/>
    <w:docVar w:name="jobnDT" w:val="GE.15-19152 (F)   261115"/>
    <w:docVar w:name="jobnDTDT" w:val="GE.15-19152 (F)   261115   261115"/>
    <w:docVar w:name="JobNo" w:val="GE.1519152F"/>
    <w:docVar w:name="JobNo2" w:val="GE.1524991F"/>
    <w:docVar w:name="LocalDrive" w:val="0"/>
    <w:docVar w:name="OandT" w:val="N.Morin"/>
    <w:docVar w:name="PaperSize" w:val="A4"/>
    <w:docVar w:name="sss1" w:val="ECE/TRANS/WP.15/AC.2/2016/26"/>
    <w:docVar w:name="sss2" w:val="-"/>
    <w:docVar w:name="Symbol1" w:val="ECE/TRANS/WP.15/AC.2/2016/26"/>
    <w:docVar w:name="Symbol2" w:val="-"/>
  </w:docVars>
  <w:rsids>
    <w:rsidRoot w:val="00BD663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0FEE"/>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388E"/>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65C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8B9"/>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97A32"/>
    <w:rsid w:val="006A04E6"/>
    <w:rsid w:val="006A0B3D"/>
    <w:rsid w:val="006A2F71"/>
    <w:rsid w:val="006A5910"/>
    <w:rsid w:val="006A5E65"/>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2D78"/>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9F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461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635"/>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3DBF"/>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71E"/>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80FEE"/>
    <w:rPr>
      <w:sz w:val="16"/>
      <w:szCs w:val="16"/>
    </w:rPr>
  </w:style>
  <w:style w:type="paragraph" w:styleId="CommentText">
    <w:name w:val="annotation text"/>
    <w:basedOn w:val="Normal"/>
    <w:link w:val="CommentTextChar"/>
    <w:uiPriority w:val="99"/>
    <w:semiHidden/>
    <w:unhideWhenUsed/>
    <w:rsid w:val="00180FEE"/>
    <w:pPr>
      <w:spacing w:line="240" w:lineRule="auto"/>
    </w:pPr>
    <w:rPr>
      <w:szCs w:val="20"/>
    </w:rPr>
  </w:style>
  <w:style w:type="character" w:customStyle="1" w:styleId="CommentTextChar">
    <w:name w:val="Comment Text Char"/>
    <w:basedOn w:val="DefaultParagraphFont"/>
    <w:link w:val="CommentText"/>
    <w:uiPriority w:val="99"/>
    <w:semiHidden/>
    <w:rsid w:val="00180F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80FEE"/>
    <w:rPr>
      <w:b/>
      <w:bCs/>
    </w:rPr>
  </w:style>
  <w:style w:type="character" w:customStyle="1" w:styleId="CommentSubjectChar">
    <w:name w:val="Comment Subject Char"/>
    <w:basedOn w:val="CommentTextChar"/>
    <w:link w:val="CommentSubject"/>
    <w:uiPriority w:val="99"/>
    <w:semiHidden/>
    <w:rsid w:val="00180FEE"/>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180FEE"/>
    <w:rPr>
      <w:sz w:val="16"/>
      <w:szCs w:val="16"/>
    </w:rPr>
  </w:style>
  <w:style w:type="paragraph" w:styleId="CommentText">
    <w:name w:val="annotation text"/>
    <w:basedOn w:val="Normal"/>
    <w:link w:val="CommentTextChar"/>
    <w:uiPriority w:val="99"/>
    <w:semiHidden/>
    <w:unhideWhenUsed/>
    <w:rsid w:val="00180FEE"/>
    <w:pPr>
      <w:spacing w:line="240" w:lineRule="auto"/>
    </w:pPr>
    <w:rPr>
      <w:szCs w:val="20"/>
    </w:rPr>
  </w:style>
  <w:style w:type="character" w:customStyle="1" w:styleId="CommentTextChar">
    <w:name w:val="Comment Text Char"/>
    <w:basedOn w:val="DefaultParagraphFont"/>
    <w:link w:val="CommentText"/>
    <w:uiPriority w:val="99"/>
    <w:semiHidden/>
    <w:rsid w:val="00180FEE"/>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180FEE"/>
    <w:rPr>
      <w:b/>
      <w:bCs/>
    </w:rPr>
  </w:style>
  <w:style w:type="character" w:customStyle="1" w:styleId="CommentSubjectChar">
    <w:name w:val="Comment Subject Char"/>
    <w:basedOn w:val="CommentTextChar"/>
    <w:link w:val="CommentSubject"/>
    <w:uiPriority w:val="99"/>
    <w:semiHidden/>
    <w:rsid w:val="00180FEE"/>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4586A-7F54-482E-8B2D-E4CD42E8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Morin</dc:creator>
  <cp:lastModifiedBy>Caillot</cp:lastModifiedBy>
  <cp:revision>3</cp:revision>
  <cp:lastPrinted>2015-11-26T10:12:00Z</cp:lastPrinted>
  <dcterms:created xsi:type="dcterms:W3CDTF">2015-12-14T09:34:00Z</dcterms:created>
  <dcterms:modified xsi:type="dcterms:W3CDTF">2015-12-14T09:38:00Z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1519152F</vt:lpwstr>
  </property>
  <property fmtid="{D5CDD505-2E9C-101B-9397-08002B2CF9AE}" pid="3" name="ODSRefJobNo">
    <vt:lpwstr>1524991F</vt:lpwstr>
  </property>
  <property fmtid="{D5CDD505-2E9C-101B-9397-08002B2CF9AE}" pid="4" name="Symbol1">
    <vt:lpwstr>ECE/TRANS/WP.15/AC.2/2016/26</vt:lpwstr>
  </property>
  <property fmtid="{D5CDD505-2E9C-101B-9397-08002B2CF9AE}" pid="5" name="Symbol2">
    <vt:lpwstr/>
  </property>
  <property fmtid="{D5CDD505-2E9C-101B-9397-08002B2CF9AE}" pid="6" name="Translator">
    <vt:lpwstr/>
  </property>
  <property fmtid="{D5CDD505-2E9C-101B-9397-08002B2CF9AE}" pid="7" name="Operator">
    <vt:lpwstr>N.Morin</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novembre 2015</vt:lpwstr>
  </property>
  <property fmtid="{D5CDD505-2E9C-101B-9397-08002B2CF9AE}" pid="12" name="Original">
    <vt:lpwstr>anglais</vt:lpwstr>
  </property>
  <property fmtid="{D5CDD505-2E9C-101B-9397-08002B2CF9AE}" pid="13" name="Release Date">
    <vt:lpwstr>261115</vt:lpwstr>
  </property>
</Properties>
</file>