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CD4281" w:rsidP="007E6519">
            <w:pPr>
              <w:jc w:val="right"/>
            </w:pPr>
            <w:r w:rsidRPr="00CD4281">
              <w:rPr>
                <w:sz w:val="40"/>
              </w:rPr>
              <w:t>ECE</w:t>
            </w:r>
            <w:r w:rsidR="00AF1499">
              <w:t>/TRANS/WP.15/AC.2/201</w:t>
            </w:r>
            <w:r w:rsidR="00CB0B63">
              <w:t>6</w:t>
            </w:r>
            <w:r>
              <w:t>/</w:t>
            </w:r>
            <w:r w:rsidR="007D70C8">
              <w:t>1</w:t>
            </w:r>
            <w:r w:rsidR="007E6519">
              <w:t>1</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523538" w:rsidP="00F01516">
            <w:pPr>
              <w:spacing w:before="120"/>
              <w:jc w:val="center"/>
            </w:pPr>
            <w:r>
              <w:rPr>
                <w:noProof/>
                <w:lang w:val="fr-FR" w:eastAsia="fr-FR"/>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CD4281" w:rsidRDefault="00CD4281" w:rsidP="00F01516">
            <w:pPr>
              <w:spacing w:before="240"/>
            </w:pPr>
            <w:r>
              <w:t>Distr. générale</w:t>
            </w:r>
          </w:p>
          <w:p w:rsidR="00CD4281" w:rsidRDefault="00E83FE2" w:rsidP="00CD4281">
            <w:pPr>
              <w:spacing w:line="240" w:lineRule="exact"/>
            </w:pPr>
            <w:r>
              <w:t>23</w:t>
            </w:r>
            <w:r w:rsidR="00426657">
              <w:t xml:space="preserve"> </w:t>
            </w:r>
            <w:r w:rsidR="00497E7A">
              <w:t>octobre</w:t>
            </w:r>
            <w:r w:rsidR="00911DA7">
              <w:t xml:space="preserve"> </w:t>
            </w:r>
            <w:r w:rsidR="00CD4281">
              <w:t>201</w:t>
            </w:r>
            <w:r w:rsidR="006B6C93">
              <w:t>5</w:t>
            </w:r>
          </w:p>
          <w:p w:rsidR="001B0BE2" w:rsidRDefault="001B0BE2" w:rsidP="00CD4281">
            <w:pPr>
              <w:spacing w:line="240" w:lineRule="exact"/>
            </w:pPr>
          </w:p>
          <w:p w:rsidR="003D1DF3" w:rsidRPr="00DB58B5" w:rsidRDefault="00CD4281" w:rsidP="00AF1499">
            <w:pPr>
              <w:spacing w:line="240" w:lineRule="exact"/>
            </w:pPr>
            <w:r>
              <w:t xml:space="preserve">Original: </w:t>
            </w:r>
            <w:r w:rsidR="001B0BE2">
              <w:t>français</w:t>
            </w:r>
          </w:p>
        </w:tc>
      </w:tr>
    </w:tbl>
    <w:p w:rsidR="00FF1DBD" w:rsidRPr="000312C0" w:rsidRDefault="000312C0" w:rsidP="000312C0">
      <w:pPr>
        <w:spacing w:before="120"/>
        <w:rPr>
          <w:b/>
          <w:sz w:val="28"/>
          <w:szCs w:val="28"/>
        </w:rPr>
      </w:pPr>
      <w:r w:rsidRPr="000312C0">
        <w:rPr>
          <w:b/>
          <w:sz w:val="28"/>
          <w:szCs w:val="28"/>
        </w:rPr>
        <w:t>Commission économique pour l</w:t>
      </w:r>
      <w:r w:rsidR="004D0439">
        <w:rPr>
          <w:b/>
          <w:sz w:val="28"/>
          <w:szCs w:val="28"/>
        </w:rPr>
        <w:t>’</w:t>
      </w:r>
      <w:r w:rsidRPr="000312C0">
        <w:rPr>
          <w:b/>
          <w:sz w:val="28"/>
          <w:szCs w:val="28"/>
        </w:rPr>
        <w:t>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93E72">
      <w:pPr>
        <w:spacing w:before="120"/>
        <w:rPr>
          <w:b/>
          <w:sz w:val="24"/>
          <w:szCs w:val="24"/>
        </w:rPr>
      </w:pPr>
      <w:r w:rsidRPr="009E01B8">
        <w:rPr>
          <w:b/>
          <w:sz w:val="24"/>
          <w:szCs w:val="24"/>
        </w:rPr>
        <w:t>Groupe de travail des transports</w:t>
      </w:r>
      <w:r w:rsidR="00CE5BF6">
        <w:rPr>
          <w:b/>
          <w:sz w:val="24"/>
          <w:szCs w:val="24"/>
        </w:rPr>
        <w:t xml:space="preserve"> </w:t>
      </w:r>
      <w:r w:rsidRPr="009E01B8">
        <w:rPr>
          <w:b/>
          <w:sz w:val="24"/>
          <w:szCs w:val="24"/>
        </w:rPr>
        <w:t>de marchandises dangereuses</w:t>
      </w:r>
    </w:p>
    <w:p w:rsidR="00B93E72" w:rsidRPr="004812F5" w:rsidRDefault="00234E40" w:rsidP="00B93E72">
      <w:pPr>
        <w:spacing w:before="120"/>
        <w:rPr>
          <w:b/>
        </w:rPr>
      </w:pPr>
      <w:r w:rsidRPr="004812F5">
        <w:rPr>
          <w:b/>
          <w:lang w:val="fr-FR"/>
        </w:rPr>
        <w:t>Réunion commune d</w:t>
      </w:r>
      <w:r w:rsidR="004D0439">
        <w:rPr>
          <w:b/>
          <w:lang w:val="fr-FR"/>
        </w:rPr>
        <w:t>’</w:t>
      </w:r>
      <w:r w:rsidRPr="004812F5">
        <w:rPr>
          <w:b/>
          <w:lang w:val="fr-FR"/>
        </w:rPr>
        <w:t>experts sur le Règlement annexé</w:t>
      </w:r>
      <w:r w:rsidR="00CE5BF6">
        <w:rPr>
          <w:b/>
          <w:lang w:val="fr-FR"/>
        </w:rPr>
        <w:br/>
      </w:r>
      <w:r w:rsidRPr="004812F5">
        <w:rPr>
          <w:b/>
          <w:lang w:val="fr-FR"/>
        </w:rPr>
        <w:t>à l</w:t>
      </w:r>
      <w:r w:rsidR="004D0439">
        <w:rPr>
          <w:b/>
          <w:lang w:val="fr-FR"/>
        </w:rPr>
        <w:t>’</w:t>
      </w:r>
      <w:r w:rsidRPr="004812F5">
        <w:rPr>
          <w:b/>
          <w:lang w:val="fr-FR"/>
        </w:rPr>
        <w:t>Accord européen</w:t>
      </w:r>
      <w:r w:rsidR="00CE5BF6">
        <w:rPr>
          <w:b/>
          <w:lang w:val="fr-FR"/>
        </w:rPr>
        <w:t xml:space="preserve"> </w:t>
      </w:r>
      <w:r w:rsidRPr="004812F5">
        <w:rPr>
          <w:b/>
          <w:lang w:val="fr-FR"/>
        </w:rPr>
        <w:t>relatif au transport international</w:t>
      </w:r>
      <w:r w:rsidR="00CE5BF6">
        <w:rPr>
          <w:b/>
          <w:lang w:val="fr-FR"/>
        </w:rPr>
        <w:br/>
      </w:r>
      <w:r w:rsidRPr="004812F5">
        <w:rPr>
          <w:b/>
          <w:lang w:val="fr-FR"/>
        </w:rPr>
        <w:t xml:space="preserve">des marchandises </w:t>
      </w:r>
      <w:r w:rsidRPr="004812F5">
        <w:rPr>
          <w:b/>
          <w:bCs/>
          <w:iCs/>
          <w:lang w:val="fr-FR"/>
        </w:rPr>
        <w:t>dangereuses par voies</w:t>
      </w:r>
      <w:r w:rsidR="00CE5BF6">
        <w:rPr>
          <w:b/>
          <w:bCs/>
          <w:iCs/>
          <w:lang w:val="fr-FR"/>
        </w:rPr>
        <w:t xml:space="preserve"> </w:t>
      </w:r>
      <w:r w:rsidRPr="004812F5">
        <w:rPr>
          <w:b/>
          <w:bCs/>
          <w:iCs/>
          <w:lang w:val="fr-FR"/>
        </w:rPr>
        <w:t>de navigation</w:t>
      </w:r>
      <w:r w:rsidR="00CE5BF6">
        <w:rPr>
          <w:b/>
          <w:bCs/>
          <w:iCs/>
          <w:lang w:val="fr-FR"/>
        </w:rPr>
        <w:br/>
      </w:r>
      <w:r w:rsidRPr="004812F5">
        <w:rPr>
          <w:b/>
          <w:bCs/>
          <w:iCs/>
          <w:lang w:val="fr-FR"/>
        </w:rPr>
        <w:t xml:space="preserve">intérieures (ADN) </w:t>
      </w:r>
      <w:r w:rsidRPr="004812F5">
        <w:rPr>
          <w:b/>
          <w:bCs/>
          <w:lang w:val="fr-FR"/>
        </w:rPr>
        <w:t>(Comité de sécurité de l</w:t>
      </w:r>
      <w:r w:rsidR="004D0439">
        <w:rPr>
          <w:b/>
          <w:bCs/>
          <w:lang w:val="fr-FR"/>
        </w:rPr>
        <w:t>’</w:t>
      </w:r>
      <w:r w:rsidRPr="004812F5">
        <w:rPr>
          <w:b/>
          <w:bCs/>
          <w:lang w:val="fr-FR"/>
        </w:rPr>
        <w:t>ADN)</w:t>
      </w:r>
    </w:p>
    <w:p w:rsidR="00234E40" w:rsidRPr="00234E40" w:rsidRDefault="004A5935" w:rsidP="004812F5">
      <w:pPr>
        <w:spacing w:before="120"/>
        <w:rPr>
          <w:b/>
        </w:rPr>
      </w:pPr>
      <w:r>
        <w:rPr>
          <w:b/>
        </w:rPr>
        <w:t>Vingt</w:t>
      </w:r>
      <w:r w:rsidR="001B0BE2">
        <w:rPr>
          <w:b/>
        </w:rPr>
        <w:t>-</w:t>
      </w:r>
      <w:r w:rsidR="00523538">
        <w:rPr>
          <w:b/>
        </w:rPr>
        <w:t>huitième</w:t>
      </w:r>
      <w:r>
        <w:rPr>
          <w:b/>
        </w:rPr>
        <w:t xml:space="preserve"> </w:t>
      </w:r>
      <w:r w:rsidR="00234E40" w:rsidRPr="00234E40">
        <w:rPr>
          <w:b/>
        </w:rPr>
        <w:t>session</w:t>
      </w:r>
    </w:p>
    <w:p w:rsidR="00B93E72" w:rsidRDefault="003E5551" w:rsidP="00B93E72">
      <w:r>
        <w:t xml:space="preserve">Genève, </w:t>
      </w:r>
      <w:r w:rsidR="004A5935">
        <w:t>2</w:t>
      </w:r>
      <w:r w:rsidR="00CB0B63">
        <w:t>5</w:t>
      </w:r>
      <w:r w:rsidR="004A5935">
        <w:t>-</w:t>
      </w:r>
      <w:r w:rsidR="006B6C93">
        <w:t>2</w:t>
      </w:r>
      <w:r w:rsidR="00CB0B63">
        <w:t>9</w:t>
      </w:r>
      <w:r w:rsidR="004A5935">
        <w:t xml:space="preserve"> </w:t>
      </w:r>
      <w:r w:rsidR="00CB0B63">
        <w:t>janvier</w:t>
      </w:r>
      <w:r w:rsidR="00B73AAE">
        <w:t xml:space="preserve"> 20</w:t>
      </w:r>
      <w:r w:rsidR="00263074">
        <w:t>1</w:t>
      </w:r>
      <w:r w:rsidR="00CB0B63">
        <w:t>6</w:t>
      </w:r>
    </w:p>
    <w:p w:rsidR="000312C0" w:rsidRDefault="00B93E72" w:rsidP="00B93E72">
      <w:r w:rsidRPr="00B93E72">
        <w:t xml:space="preserve">Point </w:t>
      </w:r>
      <w:r w:rsidR="00D92026">
        <w:t>5</w:t>
      </w:r>
      <w:r w:rsidR="006B6C93">
        <w:t xml:space="preserve"> b</w:t>
      </w:r>
      <w:r w:rsidR="001636E0">
        <w:t>)</w:t>
      </w:r>
      <w:r w:rsidRPr="00B93E72">
        <w:t xml:space="preserve"> de l</w:t>
      </w:r>
      <w:r w:rsidR="004D0439">
        <w:t>’</w:t>
      </w:r>
      <w:r w:rsidRPr="00B93E72">
        <w:t>ordre du jour provisoire</w:t>
      </w:r>
    </w:p>
    <w:p w:rsidR="00602512" w:rsidRPr="00602512" w:rsidRDefault="00602512" w:rsidP="00602512">
      <w:pPr>
        <w:rPr>
          <w:b/>
          <w:lang w:val="fr-FR"/>
        </w:rPr>
      </w:pPr>
      <w:r w:rsidRPr="00602512">
        <w:rPr>
          <w:b/>
          <w:lang w:val="fr-FR"/>
        </w:rPr>
        <w:t>Propositions d’amendements au règlement annexé à l’ADN</w:t>
      </w:r>
      <w:r>
        <w:rPr>
          <w:b/>
          <w:lang w:val="fr-FR"/>
        </w:rPr>
        <w:t>:</w:t>
      </w:r>
    </w:p>
    <w:p w:rsidR="00602512" w:rsidRPr="00602512" w:rsidRDefault="00602512" w:rsidP="00602512">
      <w:pPr>
        <w:suppressAutoHyphens w:val="0"/>
        <w:spacing w:line="240" w:lineRule="auto"/>
        <w:rPr>
          <w:color w:val="000000"/>
          <w:szCs w:val="24"/>
          <w:lang w:val="fr-FR" w:eastAsia="fr-FR"/>
        </w:rPr>
      </w:pPr>
      <w:r w:rsidRPr="00602512">
        <w:rPr>
          <w:b/>
          <w:color w:val="000000"/>
          <w:szCs w:val="24"/>
          <w:lang w:val="fr-FR" w:eastAsia="fr-FR"/>
        </w:rPr>
        <w:t>Autres propositions</w:t>
      </w:r>
    </w:p>
    <w:p w:rsidR="00C26F66" w:rsidRPr="00C26F66" w:rsidRDefault="00C26F66" w:rsidP="00D64213">
      <w:pPr>
        <w:pStyle w:val="HChG"/>
        <w:rPr>
          <w:snapToGrid w:val="0"/>
          <w:lang w:val="fr-FR" w:eastAsia="fr-FR"/>
        </w:rPr>
      </w:pPr>
      <w:r>
        <w:rPr>
          <w:snapToGrid w:val="0"/>
          <w:lang w:val="fr-FR" w:eastAsia="fr-FR"/>
        </w:rPr>
        <w:tab/>
      </w:r>
      <w:r>
        <w:rPr>
          <w:snapToGrid w:val="0"/>
          <w:lang w:val="fr-FR" w:eastAsia="fr-FR"/>
        </w:rPr>
        <w:tab/>
      </w:r>
      <w:r w:rsidR="007E6519" w:rsidRPr="007E6519">
        <w:rPr>
          <w:bCs/>
          <w:iCs/>
          <w:lang w:val="fr-FR"/>
        </w:rPr>
        <w:t>1.16.2.5 ADN – Assistance lors de la délivrance des certificats d’agré</w:t>
      </w:r>
      <w:bookmarkStart w:id="0" w:name="_GoBack"/>
      <w:bookmarkEnd w:id="0"/>
      <w:r w:rsidR="007E6519" w:rsidRPr="007E6519">
        <w:rPr>
          <w:bCs/>
          <w:iCs/>
          <w:lang w:val="fr-FR"/>
        </w:rPr>
        <w:t>ment</w:t>
      </w:r>
    </w:p>
    <w:p w:rsidR="00C26F66" w:rsidRDefault="00D64213" w:rsidP="00D64213">
      <w:pPr>
        <w:pStyle w:val="H1G"/>
        <w:rPr>
          <w:snapToGrid w:val="0"/>
          <w:lang w:val="fr-FR" w:eastAsia="fr-FR" w:bidi="fr-FR"/>
        </w:rPr>
      </w:pPr>
      <w:r>
        <w:rPr>
          <w:snapToGrid w:val="0"/>
          <w:lang w:val="fr-FR" w:eastAsia="fr-FR" w:bidi="fr-FR"/>
        </w:rPr>
        <w:tab/>
      </w:r>
      <w:r>
        <w:rPr>
          <w:snapToGrid w:val="0"/>
          <w:lang w:val="fr-FR" w:eastAsia="fr-FR" w:bidi="fr-FR"/>
        </w:rPr>
        <w:tab/>
      </w:r>
      <w:r w:rsidR="007D70C8" w:rsidRPr="007D70C8">
        <w:rPr>
          <w:snapToGrid w:val="0"/>
          <w:lang w:val="fr-FR" w:eastAsia="fr-FR" w:bidi="fr-FR"/>
        </w:rPr>
        <w:t>Communication du Gouvernement de l'Allemagne</w:t>
      </w:r>
      <w:r w:rsidR="00C26F66" w:rsidRPr="00497E7A">
        <w:rPr>
          <w:noProof/>
          <w:snapToGrid w:val="0"/>
          <w:szCs w:val="24"/>
          <w:vertAlign w:val="superscript"/>
          <w:lang w:val="fr-FR" w:eastAsia="fr-FR"/>
        </w:rPr>
        <w:footnoteReference w:id="2"/>
      </w:r>
    </w:p>
    <w:tbl>
      <w:tblPr>
        <w:tblStyle w:val="TableGrid"/>
        <w:tblW w:w="0" w:type="auto"/>
        <w:jc w:val="center"/>
        <w:tblBorders>
          <w:insideH w:val="none" w:sz="0" w:space="0" w:color="auto"/>
        </w:tblBorders>
        <w:tblLook w:val="05E0" w:firstRow="1" w:lastRow="1" w:firstColumn="1" w:lastColumn="1" w:noHBand="0" w:noVBand="1"/>
      </w:tblPr>
      <w:tblGrid>
        <w:gridCol w:w="2409"/>
        <w:gridCol w:w="7228"/>
      </w:tblGrid>
      <w:tr w:rsidR="007D70C8" w:rsidTr="007D70C8">
        <w:trPr>
          <w:jc w:val="center"/>
        </w:trPr>
        <w:tc>
          <w:tcPr>
            <w:tcW w:w="9637" w:type="dxa"/>
            <w:gridSpan w:val="2"/>
            <w:shd w:val="clear" w:color="auto" w:fill="auto"/>
          </w:tcPr>
          <w:p w:rsidR="007D70C8" w:rsidRPr="007D70C8" w:rsidRDefault="007D70C8" w:rsidP="007D70C8">
            <w:pPr>
              <w:spacing w:before="240" w:after="120"/>
              <w:ind w:left="255"/>
              <w:rPr>
                <w:i/>
                <w:sz w:val="24"/>
                <w:lang w:val="fr-FR" w:eastAsia="fr-FR" w:bidi="fr-FR"/>
              </w:rPr>
            </w:pPr>
            <w:r w:rsidRPr="007D70C8">
              <w:rPr>
                <w:i/>
                <w:sz w:val="24"/>
                <w:lang w:val="fr-FR" w:eastAsia="fr-FR" w:bidi="fr-FR"/>
              </w:rPr>
              <w:t xml:space="preserve">Résumé </w:t>
            </w:r>
          </w:p>
        </w:tc>
      </w:tr>
      <w:tr w:rsidR="007D70C8" w:rsidTr="007D70C8">
        <w:trPr>
          <w:jc w:val="center"/>
        </w:trPr>
        <w:tc>
          <w:tcPr>
            <w:tcW w:w="2409" w:type="dxa"/>
            <w:shd w:val="clear" w:color="auto" w:fill="auto"/>
          </w:tcPr>
          <w:p w:rsidR="007D70C8" w:rsidRDefault="007D70C8" w:rsidP="007D70C8">
            <w:pPr>
              <w:spacing w:before="60" w:after="60"/>
              <w:ind w:left="113"/>
              <w:rPr>
                <w:lang w:val="fr-FR" w:eastAsia="fr-FR" w:bidi="fr-FR"/>
              </w:rPr>
            </w:pPr>
            <w:r w:rsidRPr="007D70C8">
              <w:rPr>
                <w:b/>
                <w:lang w:val="fr-FR"/>
              </w:rPr>
              <w:t>Résumé analytique:</w:t>
            </w:r>
          </w:p>
        </w:tc>
        <w:tc>
          <w:tcPr>
            <w:tcW w:w="7228" w:type="dxa"/>
            <w:shd w:val="clear" w:color="auto" w:fill="auto"/>
          </w:tcPr>
          <w:p w:rsidR="007E6519" w:rsidRPr="007E6519" w:rsidRDefault="007E6519" w:rsidP="007E6519">
            <w:pPr>
              <w:spacing w:before="60" w:after="60"/>
              <w:ind w:left="113"/>
              <w:rPr>
                <w:lang w:val="fr-FR" w:eastAsia="fr-FR" w:bidi="fr-FR"/>
              </w:rPr>
            </w:pPr>
            <w:r w:rsidRPr="007E6519">
              <w:rPr>
                <w:lang w:val="fr-FR" w:eastAsia="fr-FR" w:bidi="fr-FR"/>
              </w:rPr>
              <w:t xml:space="preserve">Selon 1.16.2.5 </w:t>
            </w:r>
            <w:r w:rsidR="00304DDB">
              <w:rPr>
                <w:lang w:val="fr-FR" w:eastAsia="fr-FR" w:bidi="fr-FR"/>
              </w:rPr>
              <w:t>de l'</w:t>
            </w:r>
            <w:r w:rsidRPr="007E6519">
              <w:rPr>
                <w:lang w:val="fr-FR" w:eastAsia="fr-FR" w:bidi="fr-FR"/>
              </w:rPr>
              <w:t>ADN, les Parties contractantes se prêtent mutuellement assistance lors de la délivrance des certificats d’agrément.</w:t>
            </w:r>
          </w:p>
          <w:p w:rsidR="007E6519" w:rsidRPr="007E6519" w:rsidRDefault="007E6519" w:rsidP="007E6519">
            <w:pPr>
              <w:spacing w:before="60" w:after="60"/>
              <w:ind w:left="113"/>
              <w:rPr>
                <w:lang w:val="fr-FR" w:eastAsia="fr-FR" w:bidi="fr-FR"/>
              </w:rPr>
            </w:pPr>
            <w:r w:rsidRPr="007E6519">
              <w:rPr>
                <w:lang w:val="fr-FR" w:eastAsia="fr-FR" w:bidi="fr-FR"/>
              </w:rPr>
              <w:t>Les autorités publiées sur le site de la CEE-ONU (</w:t>
            </w:r>
            <w:hyperlink r:id="rId9" w:history="1">
              <w:r w:rsidRPr="007E6519">
                <w:rPr>
                  <w:rStyle w:val="Hyperlink"/>
                  <w:lang w:val="fr-FR" w:eastAsia="fr-FR" w:bidi="fr-FR"/>
                </w:rPr>
                <w:t>http://www.unece.org/trans/danger/publi/adn/country-info_e.html</w:t>
              </w:r>
            </w:hyperlink>
            <w:r w:rsidRPr="007E6519">
              <w:rPr>
                <w:lang w:val="fr-FR" w:eastAsia="fr-FR" w:bidi="fr-FR"/>
              </w:rPr>
              <w:t>) ne semblent pas être compétentes pour la délivrance des certificats d’agrément.</w:t>
            </w:r>
          </w:p>
          <w:p w:rsidR="007D70C8" w:rsidRDefault="007E6519" w:rsidP="007E6519">
            <w:pPr>
              <w:spacing w:before="60" w:after="60"/>
              <w:ind w:left="113"/>
              <w:rPr>
                <w:lang w:val="fr-FR" w:eastAsia="fr-FR" w:bidi="fr-FR"/>
              </w:rPr>
            </w:pPr>
            <w:r w:rsidRPr="007E6519">
              <w:rPr>
                <w:lang w:val="fr-FR" w:eastAsia="fr-FR" w:bidi="fr-FR"/>
              </w:rPr>
              <w:t>Un échange entre les Parties contractantes quant aux autorités compétentes pour la délivrance des certificats d’agrément est nécessaire.</w:t>
            </w:r>
          </w:p>
        </w:tc>
      </w:tr>
      <w:tr w:rsidR="007D70C8" w:rsidTr="007D70C8">
        <w:trPr>
          <w:jc w:val="center"/>
        </w:trPr>
        <w:tc>
          <w:tcPr>
            <w:tcW w:w="2409" w:type="dxa"/>
            <w:shd w:val="clear" w:color="auto" w:fill="auto"/>
          </w:tcPr>
          <w:p w:rsidR="007D70C8" w:rsidRPr="007D70C8" w:rsidRDefault="007D70C8" w:rsidP="007D70C8">
            <w:pPr>
              <w:spacing w:before="60" w:after="60"/>
              <w:ind w:left="113"/>
              <w:rPr>
                <w:b/>
                <w:lang w:val="fr-FR"/>
              </w:rPr>
            </w:pPr>
            <w:r w:rsidRPr="007D70C8">
              <w:rPr>
                <w:b/>
                <w:lang w:val="fr-FR"/>
              </w:rPr>
              <w:t>Mesures à prendre :</w:t>
            </w:r>
          </w:p>
        </w:tc>
        <w:tc>
          <w:tcPr>
            <w:tcW w:w="7228" w:type="dxa"/>
            <w:shd w:val="clear" w:color="auto" w:fill="auto"/>
          </w:tcPr>
          <w:p w:rsidR="007D70C8" w:rsidRPr="007D70C8" w:rsidRDefault="007E6519" w:rsidP="007D70C8">
            <w:pPr>
              <w:spacing w:before="60" w:after="60"/>
              <w:ind w:left="113"/>
              <w:rPr>
                <w:lang w:val="fr-FR" w:eastAsia="fr-FR" w:bidi="fr-FR"/>
              </w:rPr>
            </w:pPr>
            <w:r w:rsidRPr="007E6519">
              <w:rPr>
                <w:lang w:val="fr-FR" w:eastAsia="fr-FR" w:bidi="fr-FR"/>
              </w:rPr>
              <w:t>Information mutuelle quant aux autorités des Parties contractantes qui sont compétentes pour la délivrance des certificats d’agrément</w:t>
            </w:r>
            <w:r w:rsidR="00304DDB">
              <w:rPr>
                <w:lang w:val="fr-FR" w:eastAsia="fr-FR" w:bidi="fr-FR"/>
              </w:rPr>
              <w:t>.</w:t>
            </w:r>
          </w:p>
        </w:tc>
      </w:tr>
      <w:tr w:rsidR="007D70C8" w:rsidTr="007D70C8">
        <w:trPr>
          <w:jc w:val="center"/>
        </w:trPr>
        <w:tc>
          <w:tcPr>
            <w:tcW w:w="2409" w:type="dxa"/>
            <w:shd w:val="clear" w:color="auto" w:fill="auto"/>
          </w:tcPr>
          <w:p w:rsidR="007D70C8" w:rsidRPr="007D70C8" w:rsidRDefault="007D70C8" w:rsidP="007D70C8">
            <w:pPr>
              <w:spacing w:before="60" w:after="60"/>
              <w:ind w:left="113"/>
              <w:rPr>
                <w:b/>
                <w:lang w:val="fr-FR"/>
              </w:rPr>
            </w:pPr>
            <w:r w:rsidRPr="007D70C8">
              <w:rPr>
                <w:b/>
                <w:lang w:val="fr-FR"/>
              </w:rPr>
              <w:t>Documents connexes :</w:t>
            </w:r>
          </w:p>
        </w:tc>
        <w:tc>
          <w:tcPr>
            <w:tcW w:w="7228" w:type="dxa"/>
            <w:shd w:val="clear" w:color="auto" w:fill="auto"/>
          </w:tcPr>
          <w:p w:rsidR="007D70C8" w:rsidRPr="007D70C8" w:rsidRDefault="007D70C8" w:rsidP="007D70C8">
            <w:pPr>
              <w:spacing w:before="60" w:after="60"/>
              <w:ind w:left="113"/>
              <w:rPr>
                <w:lang w:val="fr-FR" w:eastAsia="fr-FR" w:bidi="fr-FR"/>
              </w:rPr>
            </w:pPr>
            <w:r w:rsidRPr="007D70C8">
              <w:rPr>
                <w:lang w:val="fr-FR" w:eastAsia="fr-FR" w:bidi="fr-FR"/>
              </w:rPr>
              <w:t>Aucun</w:t>
            </w:r>
            <w:r w:rsidR="00304DDB">
              <w:rPr>
                <w:lang w:val="fr-FR" w:eastAsia="fr-FR" w:bidi="fr-FR"/>
              </w:rPr>
              <w:t>.</w:t>
            </w:r>
          </w:p>
        </w:tc>
      </w:tr>
      <w:tr w:rsidR="007D70C8" w:rsidTr="007D70C8">
        <w:trPr>
          <w:jc w:val="center"/>
        </w:trPr>
        <w:tc>
          <w:tcPr>
            <w:tcW w:w="9637" w:type="dxa"/>
            <w:gridSpan w:val="2"/>
            <w:shd w:val="clear" w:color="auto" w:fill="auto"/>
          </w:tcPr>
          <w:p w:rsidR="007D70C8" w:rsidRDefault="007D70C8" w:rsidP="007D70C8">
            <w:pPr>
              <w:rPr>
                <w:lang w:val="fr-FR" w:eastAsia="fr-FR" w:bidi="fr-FR"/>
              </w:rPr>
            </w:pPr>
          </w:p>
        </w:tc>
      </w:tr>
    </w:tbl>
    <w:p w:rsidR="007D70C8" w:rsidRPr="007D70C8" w:rsidRDefault="007D70C8" w:rsidP="007D70C8">
      <w:pPr>
        <w:pStyle w:val="HChG"/>
        <w:rPr>
          <w:lang w:val="fr-FR" w:eastAsia="de-DE" w:bidi="fr-FR"/>
        </w:rPr>
      </w:pPr>
      <w:r>
        <w:rPr>
          <w:lang w:val="fr-FR" w:eastAsia="de-DE" w:bidi="fr-FR"/>
        </w:rPr>
        <w:lastRenderedPageBreak/>
        <w:tab/>
      </w:r>
      <w:r>
        <w:rPr>
          <w:lang w:val="fr-FR" w:eastAsia="de-DE" w:bidi="fr-FR"/>
        </w:rPr>
        <w:tab/>
      </w:r>
      <w:r w:rsidRPr="007D70C8">
        <w:rPr>
          <w:lang w:val="fr-FR" w:eastAsia="de-DE" w:bidi="fr-FR"/>
        </w:rPr>
        <w:t>Introduction</w:t>
      </w:r>
    </w:p>
    <w:p w:rsidR="007E6519" w:rsidRPr="007E6519" w:rsidRDefault="007E6519" w:rsidP="007E6519">
      <w:pPr>
        <w:pStyle w:val="SingleTxtG"/>
        <w:rPr>
          <w:lang w:val="fr-FR" w:eastAsia="de-DE" w:bidi="fr-FR"/>
        </w:rPr>
      </w:pPr>
      <w:r w:rsidRPr="007E6519">
        <w:rPr>
          <w:lang w:val="fr-FR" w:eastAsia="de-DE" w:bidi="fr-FR"/>
        </w:rPr>
        <w:t>1.</w:t>
      </w:r>
      <w:r w:rsidRPr="007E6519">
        <w:rPr>
          <w:lang w:val="fr-FR" w:eastAsia="de-DE" w:bidi="fr-FR"/>
        </w:rPr>
        <w:tab/>
        <w:t>Selon 1.16.1.4, les certificats d’agrément et les certificats d’agrément provisoires doivent être accompagnés d’une annexe. L’historique des certificats délivrés jusqu’alors doit ressortir de cette annexe.</w:t>
      </w:r>
    </w:p>
    <w:p w:rsidR="007E6519" w:rsidRPr="007E6519" w:rsidRDefault="007E6519" w:rsidP="007E6519">
      <w:pPr>
        <w:pStyle w:val="SingleTxtG"/>
        <w:rPr>
          <w:lang w:val="fr-FR" w:eastAsia="de-DE" w:bidi="fr-FR"/>
        </w:rPr>
      </w:pPr>
      <w:r w:rsidRPr="007E6519">
        <w:rPr>
          <w:lang w:val="fr-FR" w:eastAsia="de-DE" w:bidi="fr-FR"/>
        </w:rPr>
        <w:t>2.</w:t>
      </w:r>
      <w:r w:rsidRPr="007E6519">
        <w:rPr>
          <w:lang w:val="fr-FR" w:eastAsia="de-DE" w:bidi="fr-FR"/>
        </w:rPr>
        <w:tab/>
        <w:t>Lors de la création de l’annexe, l’autorité compétente allemande a constaté que l’historique ne peut pas être entièrement établi sur la base des documents dont elle dispose.</w:t>
      </w:r>
    </w:p>
    <w:p w:rsidR="007E6519" w:rsidRPr="007E6519" w:rsidRDefault="007E6519" w:rsidP="007E6519">
      <w:pPr>
        <w:pStyle w:val="SingleTxtG"/>
        <w:rPr>
          <w:lang w:val="fr-FR" w:eastAsia="de-DE" w:bidi="fr-FR"/>
        </w:rPr>
      </w:pPr>
      <w:r w:rsidRPr="007E6519">
        <w:rPr>
          <w:lang w:val="fr-FR" w:eastAsia="de-DE" w:bidi="fr-FR"/>
        </w:rPr>
        <w:t>3.</w:t>
      </w:r>
      <w:r w:rsidRPr="007E6519">
        <w:rPr>
          <w:lang w:val="fr-FR" w:eastAsia="de-DE" w:bidi="fr-FR"/>
        </w:rPr>
        <w:tab/>
        <w:t>Selon 1.16.2.5, les Parties contractantes se prêtent mutuellement assistance.</w:t>
      </w:r>
    </w:p>
    <w:p w:rsidR="007E6519" w:rsidRPr="007E6519" w:rsidRDefault="007E6519" w:rsidP="007E6519">
      <w:pPr>
        <w:pStyle w:val="SingleTxtG"/>
        <w:rPr>
          <w:lang w:val="fr-FR" w:eastAsia="de-DE" w:bidi="fr-FR"/>
        </w:rPr>
      </w:pPr>
      <w:r w:rsidRPr="007E6519">
        <w:rPr>
          <w:lang w:val="fr-FR" w:eastAsia="de-DE" w:bidi="fr-FR"/>
        </w:rPr>
        <w:t>4.</w:t>
      </w:r>
      <w:r w:rsidRPr="007E6519">
        <w:rPr>
          <w:lang w:val="fr-FR" w:eastAsia="de-DE" w:bidi="fr-FR"/>
        </w:rPr>
        <w:tab/>
        <w:t>Les demandes auprès des autorités publiées par le Secrétariat de la CEE-ONU (</w:t>
      </w:r>
      <w:hyperlink r:id="rId10" w:history="1">
        <w:r w:rsidRPr="007E6519">
          <w:rPr>
            <w:rStyle w:val="Hyperlink"/>
            <w:lang w:val="fr-FR" w:eastAsia="de-DE" w:bidi="fr-FR"/>
          </w:rPr>
          <w:t>http://www.unece.org/trans/danger/publi/adn/country-info_e.html</w:t>
        </w:r>
      </w:hyperlink>
      <w:r w:rsidRPr="007E6519">
        <w:rPr>
          <w:lang w:val="fr-FR" w:eastAsia="de-DE" w:bidi="fr-FR"/>
        </w:rPr>
        <w:t>) sont restées sans succès. Soit ces autorités ont renvoyé vers d’autres organismes, soit elles ont déclarées d’une manière générale leur incompétence.</w:t>
      </w:r>
    </w:p>
    <w:p w:rsidR="007D70C8" w:rsidRPr="007D70C8" w:rsidRDefault="007D70C8" w:rsidP="007D70C8">
      <w:pPr>
        <w:pStyle w:val="HChG"/>
        <w:rPr>
          <w:lang w:val="fr-FR" w:eastAsia="de-DE" w:bidi="fr-FR"/>
        </w:rPr>
      </w:pPr>
      <w:r>
        <w:rPr>
          <w:lang w:val="fr-FR" w:eastAsia="de-DE" w:bidi="fr-FR"/>
        </w:rPr>
        <w:tab/>
      </w:r>
      <w:r>
        <w:rPr>
          <w:lang w:val="fr-FR" w:eastAsia="de-DE" w:bidi="fr-FR"/>
        </w:rPr>
        <w:tab/>
      </w:r>
      <w:r w:rsidR="007E6519" w:rsidRPr="007E6519">
        <w:rPr>
          <w:lang w:val="fr-FR" w:eastAsia="de-DE" w:bidi="fr-FR"/>
        </w:rPr>
        <w:t>Demande</w:t>
      </w:r>
    </w:p>
    <w:p w:rsidR="007D70C8" w:rsidRPr="007D70C8" w:rsidRDefault="007E6519" w:rsidP="007E6519">
      <w:pPr>
        <w:pStyle w:val="SingleTxtG"/>
        <w:rPr>
          <w:lang w:val="fr-FR" w:eastAsia="de-DE" w:bidi="fr-FR"/>
        </w:rPr>
      </w:pPr>
      <w:r w:rsidRPr="007E6519">
        <w:rPr>
          <w:lang w:val="fr-FR" w:eastAsia="de-DE" w:bidi="fr-FR"/>
        </w:rPr>
        <w:t>5.</w:t>
      </w:r>
      <w:r w:rsidRPr="007E6519">
        <w:rPr>
          <w:lang w:val="fr-FR" w:eastAsia="de-DE" w:bidi="fr-FR"/>
        </w:rPr>
        <w:tab/>
        <w:t>L’Allemagne prie les autres Parties contractantes de communiquer leurs autorités compétentes pour la délivrance des certificats d’agrément, et le Secrétariat d’actualiser et de compléter en conséquence les informations sur le site Internet.</w:t>
      </w:r>
    </w:p>
    <w:p w:rsidR="007D70C8" w:rsidRPr="007D70C8" w:rsidRDefault="007D70C8" w:rsidP="007D70C8">
      <w:pPr>
        <w:pStyle w:val="HChG"/>
        <w:rPr>
          <w:lang w:val="fr-FR" w:eastAsia="de-DE" w:bidi="fr-FR"/>
        </w:rPr>
      </w:pPr>
      <w:r>
        <w:rPr>
          <w:lang w:val="fr-FR" w:eastAsia="de-DE" w:bidi="fr-FR"/>
        </w:rPr>
        <w:tab/>
      </w:r>
      <w:r>
        <w:rPr>
          <w:lang w:val="fr-FR" w:eastAsia="de-DE" w:bidi="fr-FR"/>
        </w:rPr>
        <w:tab/>
      </w:r>
      <w:r w:rsidR="007E6519" w:rsidRPr="007E6519">
        <w:rPr>
          <w:lang w:val="de-DE" w:eastAsia="de-DE" w:bidi="fr-FR"/>
        </w:rPr>
        <w:t>Autorité compétente en Allemagne</w:t>
      </w:r>
    </w:p>
    <w:p w:rsidR="007E6519" w:rsidRPr="007E6519" w:rsidRDefault="007E6519" w:rsidP="007E6519">
      <w:pPr>
        <w:spacing w:before="120" w:after="120"/>
        <w:ind w:left="1134"/>
        <w:rPr>
          <w:snapToGrid w:val="0"/>
          <w:lang w:val="de-DE" w:eastAsia="fr-FR"/>
        </w:rPr>
      </w:pPr>
      <w:r w:rsidRPr="007E6519">
        <w:rPr>
          <w:snapToGrid w:val="0"/>
          <w:lang w:val="de-DE" w:eastAsia="fr-FR"/>
        </w:rPr>
        <w:t xml:space="preserve">Zentralstelle SUK/SEA </w:t>
      </w:r>
      <w:r w:rsidRPr="007E6519">
        <w:rPr>
          <w:snapToGrid w:val="0"/>
          <w:lang w:val="de-DE" w:eastAsia="fr-FR"/>
        </w:rPr>
        <w:br/>
        <w:t>bei der Generaldirektion</w:t>
      </w:r>
      <w:r w:rsidRPr="007E6519">
        <w:rPr>
          <w:snapToGrid w:val="0"/>
          <w:lang w:val="de-DE" w:eastAsia="fr-FR"/>
        </w:rPr>
        <w:br/>
        <w:t>Wasserstraßen und Schifffahrt</w:t>
      </w:r>
      <w:r w:rsidRPr="007E6519">
        <w:rPr>
          <w:snapToGrid w:val="0"/>
          <w:lang w:val="de-DE" w:eastAsia="fr-FR"/>
        </w:rPr>
        <w:br/>
        <w:t xml:space="preserve">Brucknerstraße 2 </w:t>
      </w:r>
      <w:r w:rsidRPr="007E6519">
        <w:rPr>
          <w:snapToGrid w:val="0"/>
          <w:lang w:val="de-DE" w:eastAsia="fr-FR"/>
        </w:rPr>
        <w:br/>
        <w:t xml:space="preserve">D-55127 Mainz </w:t>
      </w:r>
      <w:r w:rsidRPr="007E6519">
        <w:rPr>
          <w:snapToGrid w:val="0"/>
          <w:lang w:val="de-DE" w:eastAsia="fr-FR"/>
        </w:rPr>
        <w:br/>
        <w:t xml:space="preserve">Tel. 0049 6131 979 540 </w:t>
      </w:r>
      <w:r w:rsidRPr="007E6519">
        <w:rPr>
          <w:snapToGrid w:val="0"/>
          <w:lang w:val="de-DE" w:eastAsia="fr-FR"/>
        </w:rPr>
        <w:br/>
        <w:t xml:space="preserve">Fax 0049 6131 979 157 </w:t>
      </w:r>
    </w:p>
    <w:p w:rsidR="007D70C8" w:rsidRPr="007E6519" w:rsidRDefault="004B26F7" w:rsidP="007E6519">
      <w:pPr>
        <w:spacing w:before="120" w:after="120"/>
        <w:ind w:left="1134"/>
        <w:rPr>
          <w:snapToGrid w:val="0"/>
          <w:lang w:val="de-DE" w:eastAsia="fr-FR"/>
        </w:rPr>
      </w:pPr>
      <w:hyperlink r:id="rId11" w:history="1">
        <w:r w:rsidR="007E6519" w:rsidRPr="007E6519">
          <w:rPr>
            <w:snapToGrid w:val="0"/>
            <w:lang w:val="de-DE" w:eastAsia="fr-FR"/>
          </w:rPr>
          <w:t>zsuk@wsv.bund.de</w:t>
        </w:r>
      </w:hyperlink>
    </w:p>
    <w:p w:rsidR="00191B0F" w:rsidRPr="00191B0F" w:rsidRDefault="00191B0F" w:rsidP="00191B0F">
      <w:pPr>
        <w:pStyle w:val="SingleTxtG"/>
        <w:spacing w:before="240" w:after="0"/>
        <w:jc w:val="center"/>
        <w:rPr>
          <w:u w:val="single"/>
          <w:lang w:val="fr-FR" w:eastAsia="de-DE"/>
        </w:rPr>
      </w:pPr>
      <w:r>
        <w:rPr>
          <w:u w:val="single"/>
          <w:lang w:val="fr-FR" w:eastAsia="de-DE"/>
        </w:rPr>
        <w:tab/>
      </w:r>
      <w:r>
        <w:rPr>
          <w:u w:val="single"/>
          <w:lang w:val="fr-FR" w:eastAsia="de-DE"/>
        </w:rPr>
        <w:tab/>
      </w:r>
      <w:r>
        <w:rPr>
          <w:u w:val="single"/>
          <w:lang w:val="fr-FR" w:eastAsia="de-DE"/>
        </w:rPr>
        <w:tab/>
      </w:r>
    </w:p>
    <w:sectPr w:rsidR="00191B0F" w:rsidRPr="00191B0F" w:rsidSect="00BD44CD">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6F7" w:rsidRDefault="004B26F7"/>
  </w:endnote>
  <w:endnote w:type="continuationSeparator" w:id="0">
    <w:p w:rsidR="004B26F7" w:rsidRDefault="004B26F7"/>
  </w:endnote>
  <w:endnote w:type="continuationNotice" w:id="1">
    <w:p w:rsidR="004B26F7" w:rsidRPr="00BF38EF" w:rsidRDefault="004B26F7" w:rsidP="00BF38E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CF1893" w:rsidP="00CD4281">
    <w:pPr>
      <w:pStyle w:val="Footer"/>
      <w:tabs>
        <w:tab w:val="right" w:pos="9638"/>
      </w:tabs>
    </w:pPr>
    <w:r w:rsidRPr="00CD4281">
      <w:rPr>
        <w:b/>
        <w:sz w:val="18"/>
      </w:rPr>
      <w:fldChar w:fldCharType="begin"/>
    </w:r>
    <w:r w:rsidRPr="00CD4281">
      <w:rPr>
        <w:b/>
        <w:sz w:val="18"/>
      </w:rPr>
      <w:instrText xml:space="preserve"> PAGE  \* MERGEFORMAT </w:instrText>
    </w:r>
    <w:r w:rsidRPr="00CD4281">
      <w:rPr>
        <w:b/>
        <w:sz w:val="18"/>
      </w:rPr>
      <w:fldChar w:fldCharType="separate"/>
    </w:r>
    <w:r w:rsidR="001E593E">
      <w:rPr>
        <w:b/>
        <w:noProof/>
        <w:sz w:val="18"/>
      </w:rPr>
      <w:t>2</w:t>
    </w:r>
    <w:r w:rsidRPr="00CD4281">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CF1893" w:rsidP="00CD4281">
    <w:pPr>
      <w:pStyle w:val="Footer"/>
      <w:tabs>
        <w:tab w:val="right" w:pos="9638"/>
      </w:tabs>
      <w:rPr>
        <w:b/>
        <w:sz w:val="18"/>
      </w:rPr>
    </w:pPr>
    <w:r>
      <w:tab/>
    </w:r>
    <w:r w:rsidRPr="00CD4281">
      <w:rPr>
        <w:b/>
        <w:sz w:val="18"/>
      </w:rPr>
      <w:fldChar w:fldCharType="begin"/>
    </w:r>
    <w:r w:rsidRPr="00CD4281">
      <w:rPr>
        <w:b/>
        <w:sz w:val="18"/>
      </w:rPr>
      <w:instrText xml:space="preserve"> PAGE  \* MERGEFORMAT </w:instrText>
    </w:r>
    <w:r w:rsidRPr="00CD4281">
      <w:rPr>
        <w:b/>
        <w:sz w:val="18"/>
      </w:rPr>
      <w:fldChar w:fldCharType="separate"/>
    </w:r>
    <w:r w:rsidR="007E6519">
      <w:rPr>
        <w:b/>
        <w:noProof/>
        <w:sz w:val="18"/>
      </w:rPr>
      <w:t>3</w:t>
    </w:r>
    <w:r w:rsidRPr="00CD428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CF1893">
    <w:pPr>
      <w:pStyle w:val="Footer"/>
      <w:rPr>
        <w:sz w:val="20"/>
      </w:rPr>
    </w:pPr>
    <w:r>
      <w:rPr>
        <w:sz w:val="20"/>
      </w:rPr>
      <w:t>GE.</w:t>
    </w:r>
    <w:r w:rsidR="00523538">
      <w:rPr>
        <w:noProof/>
        <w:lang w:val="fr-FR" w:eastAsia="fr-FR"/>
      </w:rPr>
      <w:drawing>
        <wp:anchor distT="0" distB="0" distL="114300" distR="114300" simplePos="0" relativeHeight="251657728" behindDoc="0" locked="0" layoutInCell="1" allowOverlap="1">
          <wp:simplePos x="0" y="0"/>
          <wp:positionH relativeFrom="column">
            <wp:posOffset>5040630</wp:posOffset>
          </wp:positionH>
          <wp:positionV relativeFrom="line">
            <wp:posOffset>-107950</wp:posOffset>
          </wp:positionV>
          <wp:extent cx="1104265" cy="233045"/>
          <wp:effectExtent l="0" t="0" r="635" b="0"/>
          <wp:wrapNone/>
          <wp:docPr id="2" name="Pictur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074">
      <w:rPr>
        <w:sz w:val="20"/>
      </w:rPr>
      <w:t>1</w:t>
    </w:r>
    <w:r w:rsidR="006B6C93">
      <w:rPr>
        <w:sz w:val="20"/>
      </w:rPr>
      <w:t>5</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6F7" w:rsidRPr="00D27D5E" w:rsidRDefault="004B26F7" w:rsidP="00D27D5E">
      <w:pPr>
        <w:tabs>
          <w:tab w:val="right" w:pos="2155"/>
        </w:tabs>
        <w:spacing w:after="80"/>
        <w:ind w:left="680"/>
        <w:rPr>
          <w:u w:val="single"/>
        </w:rPr>
      </w:pPr>
      <w:r>
        <w:rPr>
          <w:u w:val="single"/>
        </w:rPr>
        <w:tab/>
      </w:r>
    </w:p>
  </w:footnote>
  <w:footnote w:type="continuationSeparator" w:id="0">
    <w:p w:rsidR="004B26F7" w:rsidRPr="00836A24" w:rsidRDefault="004B26F7" w:rsidP="00836A24">
      <w:pPr>
        <w:tabs>
          <w:tab w:val="right" w:pos="2155"/>
        </w:tabs>
        <w:spacing w:after="80"/>
        <w:ind w:left="680"/>
        <w:rPr>
          <w:u w:val="single"/>
        </w:rPr>
      </w:pPr>
      <w:r w:rsidRPr="00836A24">
        <w:rPr>
          <w:u w:val="single"/>
        </w:rPr>
        <w:tab/>
      </w:r>
    </w:p>
  </w:footnote>
  <w:footnote w:type="continuationNotice" w:id="1">
    <w:p w:rsidR="004B26F7" w:rsidRPr="00BF38EF" w:rsidRDefault="004B26F7" w:rsidP="00BF38EF">
      <w:pPr>
        <w:spacing w:line="240" w:lineRule="auto"/>
        <w:rPr>
          <w:sz w:val="2"/>
          <w:szCs w:val="2"/>
        </w:rPr>
      </w:pPr>
    </w:p>
  </w:footnote>
  <w:footnote w:id="2">
    <w:p w:rsidR="00C26F66" w:rsidRPr="00F337B3" w:rsidRDefault="00D64213" w:rsidP="00D64213">
      <w:pPr>
        <w:pStyle w:val="FootnoteText"/>
      </w:pPr>
      <w:r>
        <w:rPr>
          <w:szCs w:val="24"/>
        </w:rPr>
        <w:tab/>
      </w:r>
      <w:r w:rsidR="00C26F66" w:rsidRPr="00F337B3">
        <w:rPr>
          <w:rStyle w:val="FootnoteReference"/>
          <w:szCs w:val="24"/>
        </w:rPr>
        <w:footnoteRef/>
      </w:r>
      <w:r w:rsidR="00C26F66" w:rsidRPr="00F337B3">
        <w:rPr>
          <w:szCs w:val="24"/>
        </w:rPr>
        <w:tab/>
      </w:r>
      <w:r w:rsidR="00C26F66" w:rsidRPr="00F337B3">
        <w:t xml:space="preserve">Diffusé en langue </w:t>
      </w:r>
      <w:r w:rsidR="00C26F66" w:rsidRPr="00D64213">
        <w:t>allemande</w:t>
      </w:r>
      <w:r w:rsidR="00C26F66" w:rsidRPr="00F337B3">
        <w:t xml:space="preserve"> par la Commission centrale pour la navigation du Rhin sous la cote</w:t>
      </w:r>
      <w:r w:rsidR="00C26F66">
        <w:t xml:space="preserve"> CCNR/ZKR/ADN/WP.15/AC.2/201</w:t>
      </w:r>
      <w:r w:rsidR="00CB0B63">
        <w:t>6</w:t>
      </w:r>
      <w:r w:rsidR="00C26F66">
        <w:t>/</w:t>
      </w:r>
      <w:r w:rsidR="007D70C8">
        <w:t>1</w:t>
      </w:r>
      <w:r w:rsidR="007E6519">
        <w:t>1</w:t>
      </w:r>
      <w:r w:rsidR="00C26F66" w:rsidRPr="00F337B3">
        <w:rPr>
          <w:noProo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263074">
    <w:pPr>
      <w:pStyle w:val="Header"/>
    </w:pPr>
    <w:r>
      <w:t>ECE/TRANS/WP.15/AC.2/201</w:t>
    </w:r>
    <w:r w:rsidR="00CB0B63">
      <w:t>6</w:t>
    </w:r>
    <w:r w:rsidR="006B6C93">
      <w:t>/</w:t>
    </w:r>
    <w:r w:rsidR="007D70C8">
      <w:t>1</w:t>
    </w:r>
    <w:r w:rsidR="007E6519">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93" w:rsidRPr="00CD4281" w:rsidRDefault="00AA4C53" w:rsidP="00CD4281">
    <w:pPr>
      <w:pStyle w:val="Header"/>
      <w:jc w:val="right"/>
    </w:pPr>
    <w:r>
      <w:t>ECE/TRANS/WP.15/AC.2/2015</w:t>
    </w:r>
    <w:r w:rsidR="00812C43">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7212"/>
    <w:multiLevelType w:val="hybridMultilevel"/>
    <w:tmpl w:val="46967074"/>
    <w:lvl w:ilvl="0" w:tplc="81AE7D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29571F96"/>
    <w:multiLevelType w:val="hybridMultilevel"/>
    <w:tmpl w:val="D58CD566"/>
    <w:lvl w:ilvl="0" w:tplc="E5E2B3DE">
      <w:start w:val="2"/>
      <w:numFmt w:val="bullet"/>
      <w:lvlText w:val="•"/>
      <w:lvlJc w:val="left"/>
      <w:pPr>
        <w:ind w:left="2772" w:hanging="360"/>
      </w:pPr>
      <w:rPr>
        <w:rFonts w:ascii="Arial" w:eastAsia="Calibri" w:hAnsi="Arial" w:cs="Arial" w:hint="default"/>
      </w:rPr>
    </w:lvl>
    <w:lvl w:ilvl="1" w:tplc="04070003" w:tentative="1">
      <w:start w:val="1"/>
      <w:numFmt w:val="bullet"/>
      <w:lvlText w:val="o"/>
      <w:lvlJc w:val="left"/>
      <w:pPr>
        <w:ind w:left="3492" w:hanging="360"/>
      </w:pPr>
      <w:rPr>
        <w:rFonts w:ascii="Courier New" w:hAnsi="Courier New" w:cs="Courier New" w:hint="default"/>
      </w:rPr>
    </w:lvl>
    <w:lvl w:ilvl="2" w:tplc="04070005" w:tentative="1">
      <w:start w:val="1"/>
      <w:numFmt w:val="bullet"/>
      <w:lvlText w:val=""/>
      <w:lvlJc w:val="left"/>
      <w:pPr>
        <w:ind w:left="4212" w:hanging="360"/>
      </w:pPr>
      <w:rPr>
        <w:rFonts w:ascii="Wingdings" w:hAnsi="Wingdings" w:hint="default"/>
      </w:rPr>
    </w:lvl>
    <w:lvl w:ilvl="3" w:tplc="04070001" w:tentative="1">
      <w:start w:val="1"/>
      <w:numFmt w:val="bullet"/>
      <w:lvlText w:val=""/>
      <w:lvlJc w:val="left"/>
      <w:pPr>
        <w:ind w:left="4932" w:hanging="360"/>
      </w:pPr>
      <w:rPr>
        <w:rFonts w:ascii="Symbol" w:hAnsi="Symbol" w:hint="default"/>
      </w:rPr>
    </w:lvl>
    <w:lvl w:ilvl="4" w:tplc="04070003" w:tentative="1">
      <w:start w:val="1"/>
      <w:numFmt w:val="bullet"/>
      <w:lvlText w:val="o"/>
      <w:lvlJc w:val="left"/>
      <w:pPr>
        <w:ind w:left="5652" w:hanging="360"/>
      </w:pPr>
      <w:rPr>
        <w:rFonts w:ascii="Courier New" w:hAnsi="Courier New" w:cs="Courier New" w:hint="default"/>
      </w:rPr>
    </w:lvl>
    <w:lvl w:ilvl="5" w:tplc="04070005" w:tentative="1">
      <w:start w:val="1"/>
      <w:numFmt w:val="bullet"/>
      <w:lvlText w:val=""/>
      <w:lvlJc w:val="left"/>
      <w:pPr>
        <w:ind w:left="6372" w:hanging="360"/>
      </w:pPr>
      <w:rPr>
        <w:rFonts w:ascii="Wingdings" w:hAnsi="Wingdings" w:hint="default"/>
      </w:rPr>
    </w:lvl>
    <w:lvl w:ilvl="6" w:tplc="04070001" w:tentative="1">
      <w:start w:val="1"/>
      <w:numFmt w:val="bullet"/>
      <w:lvlText w:val=""/>
      <w:lvlJc w:val="left"/>
      <w:pPr>
        <w:ind w:left="7092" w:hanging="360"/>
      </w:pPr>
      <w:rPr>
        <w:rFonts w:ascii="Symbol" w:hAnsi="Symbol" w:hint="default"/>
      </w:rPr>
    </w:lvl>
    <w:lvl w:ilvl="7" w:tplc="04070003" w:tentative="1">
      <w:start w:val="1"/>
      <w:numFmt w:val="bullet"/>
      <w:lvlText w:val="o"/>
      <w:lvlJc w:val="left"/>
      <w:pPr>
        <w:ind w:left="7812" w:hanging="360"/>
      </w:pPr>
      <w:rPr>
        <w:rFonts w:ascii="Courier New" w:hAnsi="Courier New" w:cs="Courier New" w:hint="default"/>
      </w:rPr>
    </w:lvl>
    <w:lvl w:ilvl="8" w:tplc="04070005" w:tentative="1">
      <w:start w:val="1"/>
      <w:numFmt w:val="bullet"/>
      <w:lvlText w:val=""/>
      <w:lvlJc w:val="left"/>
      <w:pPr>
        <w:ind w:left="8532" w:hanging="360"/>
      </w:pPr>
      <w:rPr>
        <w:rFonts w:ascii="Wingdings" w:hAnsi="Wingdings" w:hint="default"/>
      </w:r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3BBA7BD7"/>
    <w:multiLevelType w:val="hybridMultilevel"/>
    <w:tmpl w:val="46C2CE76"/>
    <w:lvl w:ilvl="0" w:tplc="41D4EDE0">
      <w:start w:val="5"/>
      <w:numFmt w:val="upperRoman"/>
      <w:lvlText w:val="%1."/>
      <w:lvlJc w:val="left"/>
      <w:pPr>
        <w:tabs>
          <w:tab w:val="num" w:pos="1848"/>
        </w:tabs>
        <w:ind w:left="1848" w:hanging="720"/>
      </w:pPr>
      <w:rPr>
        <w:rFonts w:hint="default"/>
      </w:rPr>
    </w:lvl>
    <w:lvl w:ilvl="1" w:tplc="040C0019" w:tentative="1">
      <w:start w:val="1"/>
      <w:numFmt w:val="lowerLetter"/>
      <w:lvlText w:val="%2."/>
      <w:lvlJc w:val="left"/>
      <w:pPr>
        <w:tabs>
          <w:tab w:val="num" w:pos="2208"/>
        </w:tabs>
        <w:ind w:left="2208" w:hanging="360"/>
      </w:pPr>
    </w:lvl>
    <w:lvl w:ilvl="2" w:tplc="040C001B" w:tentative="1">
      <w:start w:val="1"/>
      <w:numFmt w:val="lowerRoman"/>
      <w:lvlText w:val="%3."/>
      <w:lvlJc w:val="right"/>
      <w:pPr>
        <w:tabs>
          <w:tab w:val="num" w:pos="2928"/>
        </w:tabs>
        <w:ind w:left="2928" w:hanging="180"/>
      </w:pPr>
    </w:lvl>
    <w:lvl w:ilvl="3" w:tplc="040C000F" w:tentative="1">
      <w:start w:val="1"/>
      <w:numFmt w:val="decimal"/>
      <w:lvlText w:val="%4."/>
      <w:lvlJc w:val="left"/>
      <w:pPr>
        <w:tabs>
          <w:tab w:val="num" w:pos="3648"/>
        </w:tabs>
        <w:ind w:left="3648" w:hanging="360"/>
      </w:pPr>
    </w:lvl>
    <w:lvl w:ilvl="4" w:tplc="040C0019" w:tentative="1">
      <w:start w:val="1"/>
      <w:numFmt w:val="lowerLetter"/>
      <w:lvlText w:val="%5."/>
      <w:lvlJc w:val="left"/>
      <w:pPr>
        <w:tabs>
          <w:tab w:val="num" w:pos="4368"/>
        </w:tabs>
        <w:ind w:left="4368" w:hanging="360"/>
      </w:pPr>
    </w:lvl>
    <w:lvl w:ilvl="5" w:tplc="040C001B" w:tentative="1">
      <w:start w:val="1"/>
      <w:numFmt w:val="lowerRoman"/>
      <w:lvlText w:val="%6."/>
      <w:lvlJc w:val="right"/>
      <w:pPr>
        <w:tabs>
          <w:tab w:val="num" w:pos="5088"/>
        </w:tabs>
        <w:ind w:left="5088" w:hanging="180"/>
      </w:pPr>
    </w:lvl>
    <w:lvl w:ilvl="6" w:tplc="040C000F" w:tentative="1">
      <w:start w:val="1"/>
      <w:numFmt w:val="decimal"/>
      <w:lvlText w:val="%7."/>
      <w:lvlJc w:val="left"/>
      <w:pPr>
        <w:tabs>
          <w:tab w:val="num" w:pos="5808"/>
        </w:tabs>
        <w:ind w:left="5808" w:hanging="360"/>
      </w:pPr>
    </w:lvl>
    <w:lvl w:ilvl="7" w:tplc="040C0019" w:tentative="1">
      <w:start w:val="1"/>
      <w:numFmt w:val="lowerLetter"/>
      <w:lvlText w:val="%8."/>
      <w:lvlJc w:val="left"/>
      <w:pPr>
        <w:tabs>
          <w:tab w:val="num" w:pos="6528"/>
        </w:tabs>
        <w:ind w:left="6528" w:hanging="360"/>
      </w:pPr>
    </w:lvl>
    <w:lvl w:ilvl="8" w:tplc="040C001B" w:tentative="1">
      <w:start w:val="1"/>
      <w:numFmt w:val="lowerRoman"/>
      <w:lvlText w:val="%9."/>
      <w:lvlJc w:val="right"/>
      <w:pPr>
        <w:tabs>
          <w:tab w:val="num" w:pos="7248"/>
        </w:tabs>
        <w:ind w:left="7248" w:hanging="180"/>
      </w:pPr>
    </w:lvl>
  </w:abstractNum>
  <w:abstractNum w:abstractNumId="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36"/>
    <w:rsid w:val="00016AC5"/>
    <w:rsid w:val="000229BE"/>
    <w:rsid w:val="00023FAD"/>
    <w:rsid w:val="00030ADE"/>
    <w:rsid w:val="000312C0"/>
    <w:rsid w:val="00075AF8"/>
    <w:rsid w:val="00090A5D"/>
    <w:rsid w:val="000A0D7D"/>
    <w:rsid w:val="000A55CE"/>
    <w:rsid w:val="000B0D4D"/>
    <w:rsid w:val="000B60CE"/>
    <w:rsid w:val="000D17BF"/>
    <w:rsid w:val="000F41F2"/>
    <w:rsid w:val="00103471"/>
    <w:rsid w:val="00111648"/>
    <w:rsid w:val="00114D3F"/>
    <w:rsid w:val="001260A6"/>
    <w:rsid w:val="00133F18"/>
    <w:rsid w:val="00135C0D"/>
    <w:rsid w:val="001542D1"/>
    <w:rsid w:val="00160540"/>
    <w:rsid w:val="001636E0"/>
    <w:rsid w:val="001701DC"/>
    <w:rsid w:val="0017182C"/>
    <w:rsid w:val="0017360A"/>
    <w:rsid w:val="0017549B"/>
    <w:rsid w:val="00177007"/>
    <w:rsid w:val="001823D4"/>
    <w:rsid w:val="00186EE9"/>
    <w:rsid w:val="00191B0F"/>
    <w:rsid w:val="00192EEB"/>
    <w:rsid w:val="001947FF"/>
    <w:rsid w:val="001A20FB"/>
    <w:rsid w:val="001B0BE2"/>
    <w:rsid w:val="001B46BD"/>
    <w:rsid w:val="001B6F40"/>
    <w:rsid w:val="001C4184"/>
    <w:rsid w:val="001C61AA"/>
    <w:rsid w:val="001D7F8A"/>
    <w:rsid w:val="001E3FEB"/>
    <w:rsid w:val="001E4A02"/>
    <w:rsid w:val="001E593E"/>
    <w:rsid w:val="00223B89"/>
    <w:rsid w:val="002255DD"/>
    <w:rsid w:val="00225A8C"/>
    <w:rsid w:val="00234E40"/>
    <w:rsid w:val="00251000"/>
    <w:rsid w:val="00263074"/>
    <w:rsid w:val="002659F1"/>
    <w:rsid w:val="00271AAD"/>
    <w:rsid w:val="00271C7C"/>
    <w:rsid w:val="00287E79"/>
    <w:rsid w:val="002928F9"/>
    <w:rsid w:val="002A5D07"/>
    <w:rsid w:val="002B4585"/>
    <w:rsid w:val="002B64EB"/>
    <w:rsid w:val="002C4C91"/>
    <w:rsid w:val="002D31AC"/>
    <w:rsid w:val="002D7669"/>
    <w:rsid w:val="002E6444"/>
    <w:rsid w:val="002E6F0D"/>
    <w:rsid w:val="003016B7"/>
    <w:rsid w:val="003044AA"/>
    <w:rsid w:val="00304DDB"/>
    <w:rsid w:val="00330F9C"/>
    <w:rsid w:val="00331156"/>
    <w:rsid w:val="00340C35"/>
    <w:rsid w:val="00343C15"/>
    <w:rsid w:val="003515AA"/>
    <w:rsid w:val="00364866"/>
    <w:rsid w:val="00370352"/>
    <w:rsid w:val="00370E0F"/>
    <w:rsid w:val="00374106"/>
    <w:rsid w:val="003976D5"/>
    <w:rsid w:val="003A2976"/>
    <w:rsid w:val="003C3BD4"/>
    <w:rsid w:val="003D1DF3"/>
    <w:rsid w:val="003D46A7"/>
    <w:rsid w:val="003D6C68"/>
    <w:rsid w:val="003E5551"/>
    <w:rsid w:val="004159D0"/>
    <w:rsid w:val="00416747"/>
    <w:rsid w:val="0042377E"/>
    <w:rsid w:val="004249E7"/>
    <w:rsid w:val="00426657"/>
    <w:rsid w:val="0043292F"/>
    <w:rsid w:val="00442D65"/>
    <w:rsid w:val="004532CE"/>
    <w:rsid w:val="00460C54"/>
    <w:rsid w:val="004812F5"/>
    <w:rsid w:val="004856F9"/>
    <w:rsid w:val="00493C5D"/>
    <w:rsid w:val="004958E9"/>
    <w:rsid w:val="00497E7A"/>
    <w:rsid w:val="004A5935"/>
    <w:rsid w:val="004B26F7"/>
    <w:rsid w:val="004D0439"/>
    <w:rsid w:val="004E6373"/>
    <w:rsid w:val="00523538"/>
    <w:rsid w:val="00530F2E"/>
    <w:rsid w:val="00543D5E"/>
    <w:rsid w:val="00571F41"/>
    <w:rsid w:val="00580744"/>
    <w:rsid w:val="00580EEC"/>
    <w:rsid w:val="00595BE4"/>
    <w:rsid w:val="005A20B5"/>
    <w:rsid w:val="005A69D3"/>
    <w:rsid w:val="005B76A3"/>
    <w:rsid w:val="005E0BAE"/>
    <w:rsid w:val="005E5D1F"/>
    <w:rsid w:val="00602512"/>
    <w:rsid w:val="00603391"/>
    <w:rsid w:val="00611D43"/>
    <w:rsid w:val="00612D48"/>
    <w:rsid w:val="00616B45"/>
    <w:rsid w:val="00630D9B"/>
    <w:rsid w:val="00631953"/>
    <w:rsid w:val="006320E9"/>
    <w:rsid w:val="006439EC"/>
    <w:rsid w:val="00650FD4"/>
    <w:rsid w:val="00653D13"/>
    <w:rsid w:val="006606BB"/>
    <w:rsid w:val="006834E6"/>
    <w:rsid w:val="00694F83"/>
    <w:rsid w:val="006B4590"/>
    <w:rsid w:val="006B6C93"/>
    <w:rsid w:val="006C340C"/>
    <w:rsid w:val="006C7F8A"/>
    <w:rsid w:val="006D3C84"/>
    <w:rsid w:val="006E5FC7"/>
    <w:rsid w:val="0070347C"/>
    <w:rsid w:val="007176C1"/>
    <w:rsid w:val="007330FE"/>
    <w:rsid w:val="00735A79"/>
    <w:rsid w:val="00757352"/>
    <w:rsid w:val="00763EB9"/>
    <w:rsid w:val="00790336"/>
    <w:rsid w:val="00790F2F"/>
    <w:rsid w:val="007A1954"/>
    <w:rsid w:val="007B0F68"/>
    <w:rsid w:val="007C3462"/>
    <w:rsid w:val="007C3C4F"/>
    <w:rsid w:val="007D70C8"/>
    <w:rsid w:val="007E6519"/>
    <w:rsid w:val="007F55CB"/>
    <w:rsid w:val="00805BAD"/>
    <w:rsid w:val="00812C1A"/>
    <w:rsid w:val="00812C43"/>
    <w:rsid w:val="00830891"/>
    <w:rsid w:val="008317F6"/>
    <w:rsid w:val="00836A24"/>
    <w:rsid w:val="00844750"/>
    <w:rsid w:val="00846C19"/>
    <w:rsid w:val="0086369F"/>
    <w:rsid w:val="008940D7"/>
    <w:rsid w:val="008A767B"/>
    <w:rsid w:val="008B09B3"/>
    <w:rsid w:val="008B44C4"/>
    <w:rsid w:val="008B7879"/>
    <w:rsid w:val="008D3919"/>
    <w:rsid w:val="008E7FAE"/>
    <w:rsid w:val="008F059B"/>
    <w:rsid w:val="00911BF7"/>
    <w:rsid w:val="00911DA7"/>
    <w:rsid w:val="00916183"/>
    <w:rsid w:val="009165B3"/>
    <w:rsid w:val="00945FF8"/>
    <w:rsid w:val="009461E5"/>
    <w:rsid w:val="00952FDB"/>
    <w:rsid w:val="0095536D"/>
    <w:rsid w:val="00974DF0"/>
    <w:rsid w:val="00975B8F"/>
    <w:rsid w:val="009761FC"/>
    <w:rsid w:val="00977EC8"/>
    <w:rsid w:val="00980B3E"/>
    <w:rsid w:val="00984468"/>
    <w:rsid w:val="009A5E81"/>
    <w:rsid w:val="009B18A3"/>
    <w:rsid w:val="009D3A8C"/>
    <w:rsid w:val="009E01B8"/>
    <w:rsid w:val="009E2194"/>
    <w:rsid w:val="009E7956"/>
    <w:rsid w:val="00A15CB2"/>
    <w:rsid w:val="00A24903"/>
    <w:rsid w:val="00A2492E"/>
    <w:rsid w:val="00A31A6B"/>
    <w:rsid w:val="00A666CE"/>
    <w:rsid w:val="00A70163"/>
    <w:rsid w:val="00A96408"/>
    <w:rsid w:val="00A97D9A"/>
    <w:rsid w:val="00AA4C53"/>
    <w:rsid w:val="00AA5935"/>
    <w:rsid w:val="00AB7D3D"/>
    <w:rsid w:val="00AC2802"/>
    <w:rsid w:val="00AC67A1"/>
    <w:rsid w:val="00AC7977"/>
    <w:rsid w:val="00AE352C"/>
    <w:rsid w:val="00AF1499"/>
    <w:rsid w:val="00AF4C64"/>
    <w:rsid w:val="00B03463"/>
    <w:rsid w:val="00B32E2D"/>
    <w:rsid w:val="00B4466B"/>
    <w:rsid w:val="00B5393D"/>
    <w:rsid w:val="00B57132"/>
    <w:rsid w:val="00B60BEC"/>
    <w:rsid w:val="00B61990"/>
    <w:rsid w:val="00B6334B"/>
    <w:rsid w:val="00B73AAE"/>
    <w:rsid w:val="00B75DC2"/>
    <w:rsid w:val="00B75EC5"/>
    <w:rsid w:val="00B85D99"/>
    <w:rsid w:val="00B86EA9"/>
    <w:rsid w:val="00B93E72"/>
    <w:rsid w:val="00BA5250"/>
    <w:rsid w:val="00BB5362"/>
    <w:rsid w:val="00BC5FA7"/>
    <w:rsid w:val="00BD44CD"/>
    <w:rsid w:val="00BD67A2"/>
    <w:rsid w:val="00BF0556"/>
    <w:rsid w:val="00BF38EF"/>
    <w:rsid w:val="00C24B53"/>
    <w:rsid w:val="00C261F8"/>
    <w:rsid w:val="00C26F66"/>
    <w:rsid w:val="00C27150"/>
    <w:rsid w:val="00C33100"/>
    <w:rsid w:val="00C57892"/>
    <w:rsid w:val="00C74D15"/>
    <w:rsid w:val="00C908B9"/>
    <w:rsid w:val="00C940E9"/>
    <w:rsid w:val="00CA1414"/>
    <w:rsid w:val="00CB0B63"/>
    <w:rsid w:val="00CB373C"/>
    <w:rsid w:val="00CB6267"/>
    <w:rsid w:val="00CB694A"/>
    <w:rsid w:val="00CD1A25"/>
    <w:rsid w:val="00CD1A71"/>
    <w:rsid w:val="00CD1FBB"/>
    <w:rsid w:val="00CD3488"/>
    <w:rsid w:val="00CD4281"/>
    <w:rsid w:val="00CE5BF6"/>
    <w:rsid w:val="00CF1893"/>
    <w:rsid w:val="00CF7A47"/>
    <w:rsid w:val="00D016B5"/>
    <w:rsid w:val="00D034F1"/>
    <w:rsid w:val="00D04D8B"/>
    <w:rsid w:val="00D11B17"/>
    <w:rsid w:val="00D205A3"/>
    <w:rsid w:val="00D24779"/>
    <w:rsid w:val="00D24B1D"/>
    <w:rsid w:val="00D27D5E"/>
    <w:rsid w:val="00D46004"/>
    <w:rsid w:val="00D60301"/>
    <w:rsid w:val="00D64213"/>
    <w:rsid w:val="00D761E2"/>
    <w:rsid w:val="00D92026"/>
    <w:rsid w:val="00DA4A3C"/>
    <w:rsid w:val="00DA57D4"/>
    <w:rsid w:val="00DB4793"/>
    <w:rsid w:val="00DB6CD1"/>
    <w:rsid w:val="00DC794A"/>
    <w:rsid w:val="00DE01E3"/>
    <w:rsid w:val="00DE45DF"/>
    <w:rsid w:val="00DE56E5"/>
    <w:rsid w:val="00DE6D90"/>
    <w:rsid w:val="00DF002F"/>
    <w:rsid w:val="00E0244D"/>
    <w:rsid w:val="00E0331A"/>
    <w:rsid w:val="00E2484C"/>
    <w:rsid w:val="00E37AE2"/>
    <w:rsid w:val="00E401F2"/>
    <w:rsid w:val="00E413D8"/>
    <w:rsid w:val="00E47862"/>
    <w:rsid w:val="00E50079"/>
    <w:rsid w:val="00E55D71"/>
    <w:rsid w:val="00E56ED3"/>
    <w:rsid w:val="00E75221"/>
    <w:rsid w:val="00E81E94"/>
    <w:rsid w:val="00E82607"/>
    <w:rsid w:val="00E83FE2"/>
    <w:rsid w:val="00EA31C2"/>
    <w:rsid w:val="00EA320D"/>
    <w:rsid w:val="00EC510E"/>
    <w:rsid w:val="00EE2EA3"/>
    <w:rsid w:val="00EE56CB"/>
    <w:rsid w:val="00EF1183"/>
    <w:rsid w:val="00EF486C"/>
    <w:rsid w:val="00F01516"/>
    <w:rsid w:val="00F32462"/>
    <w:rsid w:val="00F50F4F"/>
    <w:rsid w:val="00F56DE8"/>
    <w:rsid w:val="00F57129"/>
    <w:rsid w:val="00FA5A79"/>
    <w:rsid w:val="00FB00CB"/>
    <w:rsid w:val="00FB0BFE"/>
    <w:rsid w:val="00FB44CA"/>
    <w:rsid w:val="00FB4C51"/>
    <w:rsid w:val="00FC017A"/>
    <w:rsid w:val="00FD3CA2"/>
    <w:rsid w:val="00FF0745"/>
    <w:rsid w:val="00FF10CF"/>
    <w:rsid w:val="00FF1DBD"/>
    <w:rsid w:val="00FF4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4C34A10-1112-4A30-845B-E3C8374A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semiHidden/>
    <w:rsid w:val="00BF38E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locked/>
    <w:rsid w:val="002E6F0D"/>
    <w:rPr>
      <w:lang w:val="fr-CH" w:eastAsia="en-US"/>
    </w:rPr>
  </w:style>
  <w:style w:type="character" w:customStyle="1" w:styleId="H23GChar">
    <w:name w:val="_ H_2/3_G Char"/>
    <w:link w:val="H23G"/>
    <w:rsid w:val="002E6F0D"/>
    <w:rPr>
      <w:b/>
      <w:lang w:val="fr-CH" w:eastAsia="en-US"/>
    </w:rPr>
  </w:style>
  <w:style w:type="paragraph" w:styleId="BalloonText">
    <w:name w:val="Balloon Text"/>
    <w:basedOn w:val="Normal"/>
    <w:link w:val="BalloonTextChar"/>
    <w:rsid w:val="00023FAD"/>
    <w:pPr>
      <w:spacing w:line="240" w:lineRule="auto"/>
    </w:pPr>
    <w:rPr>
      <w:rFonts w:ascii="Tahoma" w:hAnsi="Tahoma" w:cs="Tahoma"/>
      <w:sz w:val="16"/>
      <w:szCs w:val="16"/>
    </w:rPr>
  </w:style>
  <w:style w:type="character" w:customStyle="1" w:styleId="BalloonTextChar">
    <w:name w:val="Balloon Text Char"/>
    <w:link w:val="BalloonText"/>
    <w:rsid w:val="00023FAD"/>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354138">
      <w:bodyDiv w:val="1"/>
      <w:marLeft w:val="0"/>
      <w:marRight w:val="0"/>
      <w:marTop w:val="0"/>
      <w:marBottom w:val="0"/>
      <w:divBdr>
        <w:top w:val="none" w:sz="0" w:space="0" w:color="auto"/>
        <w:left w:val="none" w:sz="0" w:space="0" w:color="auto"/>
        <w:bottom w:val="none" w:sz="0" w:space="0" w:color="auto"/>
        <w:right w:val="none" w:sz="0" w:space="0" w:color="auto"/>
      </w:divBdr>
      <w:divsChild>
        <w:div w:id="1267957048">
          <w:marLeft w:val="0"/>
          <w:marRight w:val="0"/>
          <w:marTop w:val="0"/>
          <w:marBottom w:val="0"/>
          <w:divBdr>
            <w:top w:val="none" w:sz="0" w:space="0" w:color="auto"/>
            <w:left w:val="none" w:sz="0" w:space="0" w:color="auto"/>
            <w:bottom w:val="none" w:sz="0" w:space="0" w:color="auto"/>
            <w:right w:val="none" w:sz="0" w:space="0" w:color="auto"/>
          </w:divBdr>
          <w:divsChild>
            <w:div w:id="1375034013">
              <w:marLeft w:val="0"/>
              <w:marRight w:val="0"/>
              <w:marTop w:val="0"/>
              <w:marBottom w:val="0"/>
              <w:divBdr>
                <w:top w:val="none" w:sz="0" w:space="0" w:color="auto"/>
                <w:left w:val="none" w:sz="0" w:space="0" w:color="auto"/>
                <w:bottom w:val="none" w:sz="0" w:space="0" w:color="auto"/>
                <w:right w:val="none" w:sz="0" w:space="0" w:color="auto"/>
              </w:divBdr>
              <w:divsChild>
                <w:div w:id="2036538188">
                  <w:marLeft w:val="0"/>
                  <w:marRight w:val="0"/>
                  <w:marTop w:val="0"/>
                  <w:marBottom w:val="0"/>
                  <w:divBdr>
                    <w:top w:val="none" w:sz="0" w:space="0" w:color="auto"/>
                    <w:left w:val="none" w:sz="0" w:space="0" w:color="auto"/>
                    <w:bottom w:val="none" w:sz="0" w:space="0" w:color="auto"/>
                    <w:right w:val="none" w:sz="0" w:space="0" w:color="auto"/>
                  </w:divBdr>
                  <w:divsChild>
                    <w:div w:id="721487795">
                      <w:marLeft w:val="0"/>
                      <w:marRight w:val="0"/>
                      <w:marTop w:val="0"/>
                      <w:marBottom w:val="0"/>
                      <w:divBdr>
                        <w:top w:val="none" w:sz="0" w:space="0" w:color="auto"/>
                        <w:left w:val="none" w:sz="0" w:space="0" w:color="auto"/>
                        <w:bottom w:val="none" w:sz="0" w:space="0" w:color="auto"/>
                        <w:right w:val="none" w:sz="0" w:space="0" w:color="auto"/>
                      </w:divBdr>
                      <w:divsChild>
                        <w:div w:id="1303922587">
                          <w:marLeft w:val="0"/>
                          <w:marRight w:val="0"/>
                          <w:marTop w:val="0"/>
                          <w:marBottom w:val="0"/>
                          <w:divBdr>
                            <w:top w:val="none" w:sz="0" w:space="0" w:color="auto"/>
                            <w:left w:val="none" w:sz="0" w:space="0" w:color="auto"/>
                            <w:bottom w:val="none" w:sz="0" w:space="0" w:color="auto"/>
                            <w:right w:val="none" w:sz="0" w:space="0" w:color="auto"/>
                          </w:divBdr>
                          <w:divsChild>
                            <w:div w:id="1575698532">
                              <w:marLeft w:val="0"/>
                              <w:marRight w:val="0"/>
                              <w:marTop w:val="0"/>
                              <w:marBottom w:val="0"/>
                              <w:divBdr>
                                <w:top w:val="none" w:sz="0" w:space="0" w:color="auto"/>
                                <w:left w:val="none" w:sz="0" w:space="0" w:color="auto"/>
                                <w:bottom w:val="none" w:sz="0" w:space="0" w:color="auto"/>
                                <w:right w:val="none" w:sz="0" w:space="0" w:color="auto"/>
                              </w:divBdr>
                              <w:divsChild>
                                <w:div w:id="1814903297">
                                  <w:marLeft w:val="0"/>
                                  <w:marRight w:val="0"/>
                                  <w:marTop w:val="0"/>
                                  <w:marBottom w:val="0"/>
                                  <w:divBdr>
                                    <w:top w:val="none" w:sz="0" w:space="0" w:color="auto"/>
                                    <w:left w:val="none" w:sz="0" w:space="0" w:color="auto"/>
                                    <w:bottom w:val="none" w:sz="0" w:space="0" w:color="auto"/>
                                    <w:right w:val="none" w:sz="0" w:space="0" w:color="auto"/>
                                  </w:divBdr>
                                  <w:divsChild>
                                    <w:div w:id="1885217430">
                                      <w:marLeft w:val="0"/>
                                      <w:marRight w:val="0"/>
                                      <w:marTop w:val="0"/>
                                      <w:marBottom w:val="0"/>
                                      <w:divBdr>
                                        <w:top w:val="single" w:sz="6" w:space="0" w:color="F5F5F5"/>
                                        <w:left w:val="single" w:sz="6" w:space="0" w:color="F5F5F5"/>
                                        <w:bottom w:val="single" w:sz="6" w:space="0" w:color="F5F5F5"/>
                                        <w:right w:val="single" w:sz="6" w:space="0" w:color="F5F5F5"/>
                                      </w:divBdr>
                                      <w:divsChild>
                                        <w:div w:id="1010832895">
                                          <w:marLeft w:val="0"/>
                                          <w:marRight w:val="0"/>
                                          <w:marTop w:val="0"/>
                                          <w:marBottom w:val="0"/>
                                          <w:divBdr>
                                            <w:top w:val="none" w:sz="0" w:space="0" w:color="auto"/>
                                            <w:left w:val="none" w:sz="0" w:space="0" w:color="auto"/>
                                            <w:bottom w:val="none" w:sz="0" w:space="0" w:color="auto"/>
                                            <w:right w:val="none" w:sz="0" w:space="0" w:color="auto"/>
                                          </w:divBdr>
                                          <w:divsChild>
                                            <w:div w:id="19961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uk@wsv.bund.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ece.org/trans/danger/publi/adn/country-info_e.html" TargetMode="External"/><Relationship Id="rId4" Type="http://schemas.openxmlformats.org/officeDocument/2006/relationships/settings" Target="settings.xml"/><Relationship Id="rId9" Type="http://schemas.openxmlformats.org/officeDocument/2006/relationships/hyperlink" Target="http://www.unece.org/trans/danger/publi/adn/country-info_e.htm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26072-674F-4A78-85EB-D6973276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ECE/TRANS/WP.15/AC.2/2012/7</vt:lpstr>
    </vt:vector>
  </TitlesOfParts>
  <Company>CSD</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ECE/TRANS/WP.15/AC.2/2012/7</dc:title>
  <dc:subject>Semifinal</dc:subject>
  <dc:creator>Letaillieur</dc:creator>
  <cp:lastModifiedBy>Caillot</cp:lastModifiedBy>
  <cp:revision>2</cp:revision>
  <cp:lastPrinted>2015-04-23T08:25:00Z</cp:lastPrinted>
  <dcterms:created xsi:type="dcterms:W3CDTF">2015-10-23T14:26:00Z</dcterms:created>
  <dcterms:modified xsi:type="dcterms:W3CDTF">2015-10-23T14:26:00Z</dcterms:modified>
</cp:coreProperties>
</file>