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bookmarkStart w:id="0" w:name="_GoBack"/>
            <w:bookmarkEnd w:id="0"/>
          </w:p>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CD4281" w:rsidP="00075AF8">
            <w:pPr>
              <w:jc w:val="right"/>
            </w:pPr>
            <w:r w:rsidRPr="00CD4281">
              <w:rPr>
                <w:sz w:val="40"/>
              </w:rPr>
              <w:t>ECE</w:t>
            </w:r>
            <w:r w:rsidR="00AF1499">
              <w:t>/TRANS/WP.15/AC.2/201</w:t>
            </w:r>
            <w:r w:rsidR="00CB0B63">
              <w:t>6</w:t>
            </w:r>
            <w:r>
              <w:t>/</w:t>
            </w:r>
            <w:r w:rsidR="00075AF8">
              <w:t>9</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523538" w:rsidP="00F01516">
            <w:pPr>
              <w:spacing w:before="120"/>
              <w:jc w:val="center"/>
            </w:pPr>
            <w:r>
              <w:rPr>
                <w:noProof/>
                <w:lang w:val="fr-FR" w:eastAsia="fr-FR"/>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CD4281" w:rsidRDefault="00CD4281" w:rsidP="00F01516">
            <w:pPr>
              <w:spacing w:before="240"/>
            </w:pPr>
            <w:r>
              <w:t>Distr. générale</w:t>
            </w:r>
          </w:p>
          <w:p w:rsidR="00CD4281" w:rsidRDefault="00BC0B27" w:rsidP="00CD4281">
            <w:pPr>
              <w:spacing w:line="240" w:lineRule="exact"/>
            </w:pPr>
            <w:r>
              <w:t>23</w:t>
            </w:r>
            <w:r w:rsidR="00426657">
              <w:t xml:space="preserve"> </w:t>
            </w:r>
            <w:r w:rsidR="00497E7A">
              <w:t>octobre</w:t>
            </w:r>
            <w:r w:rsidR="00911DA7">
              <w:t xml:space="preserve"> </w:t>
            </w:r>
            <w:r w:rsidR="00CD4281">
              <w:t>201</w:t>
            </w:r>
            <w:r w:rsidR="006B6C93">
              <w:t>5</w:t>
            </w:r>
          </w:p>
          <w:p w:rsidR="001B0BE2" w:rsidRDefault="001B0BE2" w:rsidP="00CD4281">
            <w:pPr>
              <w:spacing w:line="240" w:lineRule="exact"/>
            </w:pPr>
          </w:p>
          <w:p w:rsidR="003D1DF3" w:rsidRPr="00DB58B5" w:rsidRDefault="00CD4281" w:rsidP="00AF1499">
            <w:pPr>
              <w:spacing w:line="240" w:lineRule="exact"/>
            </w:pPr>
            <w:r>
              <w:t xml:space="preserve">Original: </w:t>
            </w:r>
            <w:r w:rsidR="001B0BE2">
              <w:t>français</w:t>
            </w:r>
          </w:p>
        </w:tc>
      </w:tr>
    </w:tbl>
    <w:p w:rsidR="00FF1DBD" w:rsidRPr="000312C0" w:rsidRDefault="000312C0" w:rsidP="000312C0">
      <w:pPr>
        <w:spacing w:before="120"/>
        <w:rPr>
          <w:b/>
          <w:sz w:val="28"/>
          <w:szCs w:val="28"/>
        </w:rPr>
      </w:pPr>
      <w:r w:rsidRPr="000312C0">
        <w:rPr>
          <w:b/>
          <w:sz w:val="28"/>
          <w:szCs w:val="28"/>
        </w:rPr>
        <w:t>Commission économique pour l</w:t>
      </w:r>
      <w:r w:rsidR="004D0439">
        <w:rPr>
          <w:b/>
          <w:sz w:val="28"/>
          <w:szCs w:val="28"/>
        </w:rPr>
        <w:t>’</w:t>
      </w:r>
      <w:r w:rsidRPr="000312C0">
        <w:rPr>
          <w:b/>
          <w:sz w:val="28"/>
          <w:szCs w:val="28"/>
        </w:rPr>
        <w:t>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CE5BF6">
        <w:rPr>
          <w:b/>
          <w:sz w:val="24"/>
          <w:szCs w:val="24"/>
        </w:rPr>
        <w:t xml:space="preserve"> </w:t>
      </w:r>
      <w:r w:rsidRPr="009E01B8">
        <w:rPr>
          <w:b/>
          <w:sz w:val="24"/>
          <w:szCs w:val="24"/>
        </w:rPr>
        <w:t>de marchandises dangereuses</w:t>
      </w:r>
    </w:p>
    <w:p w:rsidR="00B93E72" w:rsidRPr="004812F5" w:rsidRDefault="00234E40" w:rsidP="00B93E72">
      <w:pPr>
        <w:spacing w:before="120"/>
        <w:rPr>
          <w:b/>
        </w:rPr>
      </w:pPr>
      <w:r w:rsidRPr="004812F5">
        <w:rPr>
          <w:b/>
          <w:lang w:val="fr-FR"/>
        </w:rPr>
        <w:t>Réunion commune d</w:t>
      </w:r>
      <w:r w:rsidR="004D0439">
        <w:rPr>
          <w:b/>
          <w:lang w:val="fr-FR"/>
        </w:rPr>
        <w:t>’</w:t>
      </w:r>
      <w:r w:rsidRPr="004812F5">
        <w:rPr>
          <w:b/>
          <w:lang w:val="fr-FR"/>
        </w:rPr>
        <w:t>experts sur le Règlement annexé</w:t>
      </w:r>
      <w:r w:rsidR="00CE5BF6">
        <w:rPr>
          <w:b/>
          <w:lang w:val="fr-FR"/>
        </w:rPr>
        <w:br/>
      </w:r>
      <w:r w:rsidRPr="004812F5">
        <w:rPr>
          <w:b/>
          <w:lang w:val="fr-FR"/>
        </w:rPr>
        <w:t>à l</w:t>
      </w:r>
      <w:r w:rsidR="004D0439">
        <w:rPr>
          <w:b/>
          <w:lang w:val="fr-FR"/>
        </w:rPr>
        <w:t>’</w:t>
      </w:r>
      <w:r w:rsidRPr="004812F5">
        <w:rPr>
          <w:b/>
          <w:lang w:val="fr-FR"/>
        </w:rPr>
        <w:t>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w:t>
      </w:r>
      <w:r w:rsidR="004D0439">
        <w:rPr>
          <w:b/>
          <w:bCs/>
          <w:lang w:val="fr-FR"/>
        </w:rPr>
        <w:t>’</w:t>
      </w:r>
      <w:r w:rsidRPr="004812F5">
        <w:rPr>
          <w:b/>
          <w:bCs/>
          <w:lang w:val="fr-FR"/>
        </w:rPr>
        <w:t>ADN)</w:t>
      </w:r>
    </w:p>
    <w:p w:rsidR="00234E40" w:rsidRPr="00234E40" w:rsidRDefault="004A5935" w:rsidP="004812F5">
      <w:pPr>
        <w:spacing w:before="120"/>
        <w:rPr>
          <w:b/>
        </w:rPr>
      </w:pPr>
      <w:r>
        <w:rPr>
          <w:b/>
        </w:rPr>
        <w:t>Vingt</w:t>
      </w:r>
      <w:r w:rsidR="001B0BE2">
        <w:rPr>
          <w:b/>
        </w:rPr>
        <w:t>-</w:t>
      </w:r>
      <w:r w:rsidR="00523538">
        <w:rPr>
          <w:b/>
        </w:rPr>
        <w:t>huitième</w:t>
      </w:r>
      <w:r>
        <w:rPr>
          <w:b/>
        </w:rPr>
        <w:t xml:space="preserve"> </w:t>
      </w:r>
      <w:r w:rsidR="00234E40" w:rsidRPr="00234E40">
        <w:rPr>
          <w:b/>
        </w:rPr>
        <w:t>session</w:t>
      </w:r>
    </w:p>
    <w:p w:rsidR="00B93E72" w:rsidRDefault="003E5551" w:rsidP="00B93E72">
      <w:r>
        <w:t xml:space="preserve">Genève, </w:t>
      </w:r>
      <w:r w:rsidR="004A5935">
        <w:t>2</w:t>
      </w:r>
      <w:r w:rsidR="00CB0B63">
        <w:t>5</w:t>
      </w:r>
      <w:r w:rsidR="004A5935">
        <w:t>-</w:t>
      </w:r>
      <w:r w:rsidR="006B6C93">
        <w:t>2</w:t>
      </w:r>
      <w:r w:rsidR="00CB0B63">
        <w:t>9</w:t>
      </w:r>
      <w:r w:rsidR="004A5935">
        <w:t xml:space="preserve"> </w:t>
      </w:r>
      <w:r w:rsidR="00CB0B63">
        <w:t>janvier</w:t>
      </w:r>
      <w:r w:rsidR="00B73AAE">
        <w:t xml:space="preserve"> 20</w:t>
      </w:r>
      <w:r w:rsidR="00263074">
        <w:t>1</w:t>
      </w:r>
      <w:r w:rsidR="00CB0B63">
        <w:t>6</w:t>
      </w:r>
    </w:p>
    <w:p w:rsidR="000312C0" w:rsidRDefault="00B93E72" w:rsidP="00B93E72">
      <w:r w:rsidRPr="00B93E72">
        <w:t xml:space="preserve">Point </w:t>
      </w:r>
      <w:r w:rsidR="00D92026">
        <w:t>5</w:t>
      </w:r>
      <w:r w:rsidR="006B6C93">
        <w:t xml:space="preserve"> b</w:t>
      </w:r>
      <w:r w:rsidR="001636E0">
        <w:t>)</w:t>
      </w:r>
      <w:r w:rsidRPr="00B93E72">
        <w:t xml:space="preserve"> de l</w:t>
      </w:r>
      <w:r w:rsidR="004D0439">
        <w:t>’</w:t>
      </w:r>
      <w:r w:rsidRPr="00B93E72">
        <w:t>ordre du jour provisoire</w:t>
      </w:r>
    </w:p>
    <w:p w:rsidR="00602512" w:rsidRPr="00602512" w:rsidRDefault="00602512" w:rsidP="00602512">
      <w:pPr>
        <w:rPr>
          <w:b/>
          <w:lang w:val="fr-FR"/>
        </w:rPr>
      </w:pPr>
      <w:r w:rsidRPr="00602512">
        <w:rPr>
          <w:b/>
          <w:lang w:val="fr-FR"/>
        </w:rPr>
        <w:t>Propositions d’amendements au règlement annexé à l’ADN</w:t>
      </w:r>
      <w:r>
        <w:rPr>
          <w:b/>
          <w:lang w:val="fr-FR"/>
        </w:rPr>
        <w:t>:</w:t>
      </w:r>
    </w:p>
    <w:p w:rsidR="00602512" w:rsidRPr="00602512" w:rsidRDefault="00602512" w:rsidP="00602512">
      <w:pPr>
        <w:suppressAutoHyphens w:val="0"/>
        <w:spacing w:line="240" w:lineRule="auto"/>
        <w:rPr>
          <w:color w:val="000000"/>
          <w:szCs w:val="24"/>
          <w:lang w:val="fr-FR" w:eastAsia="fr-FR"/>
        </w:rPr>
      </w:pPr>
      <w:r w:rsidRPr="00602512">
        <w:rPr>
          <w:b/>
          <w:color w:val="000000"/>
          <w:szCs w:val="24"/>
          <w:lang w:val="fr-FR" w:eastAsia="fr-FR"/>
        </w:rPr>
        <w:t>Autres propositions</w:t>
      </w:r>
    </w:p>
    <w:p w:rsidR="00C26F66" w:rsidRPr="00C26F66" w:rsidRDefault="00C26F66" w:rsidP="00D64213">
      <w:pPr>
        <w:pStyle w:val="HChG"/>
        <w:rPr>
          <w:snapToGrid w:val="0"/>
          <w:lang w:val="fr-FR" w:eastAsia="fr-FR"/>
        </w:rPr>
      </w:pPr>
      <w:r>
        <w:rPr>
          <w:snapToGrid w:val="0"/>
          <w:lang w:val="fr-FR" w:eastAsia="fr-FR"/>
        </w:rPr>
        <w:tab/>
      </w:r>
      <w:r>
        <w:rPr>
          <w:snapToGrid w:val="0"/>
          <w:lang w:val="fr-FR" w:eastAsia="fr-FR"/>
        </w:rPr>
        <w:tab/>
      </w:r>
      <w:r w:rsidR="00075AF8" w:rsidRPr="00075AF8">
        <w:rPr>
          <w:bCs/>
          <w:iCs/>
          <w:lang w:val="fr-FR"/>
        </w:rPr>
        <w:t>Actualisation du critère de la pression de vapeur pour les matières dangereuses pour l'environnement du groupe N1</w:t>
      </w:r>
    </w:p>
    <w:p w:rsidR="00C26F66" w:rsidRPr="00C26F66" w:rsidRDefault="00D64213" w:rsidP="00D64213">
      <w:pPr>
        <w:pStyle w:val="H1G"/>
        <w:rPr>
          <w:snapToGrid w:val="0"/>
          <w:lang w:val="fr-FR" w:eastAsia="fr-FR"/>
        </w:rPr>
      </w:pPr>
      <w:r>
        <w:rPr>
          <w:snapToGrid w:val="0"/>
          <w:lang w:val="fr-FR" w:eastAsia="fr-FR" w:bidi="fr-FR"/>
        </w:rPr>
        <w:tab/>
      </w:r>
      <w:r>
        <w:rPr>
          <w:snapToGrid w:val="0"/>
          <w:lang w:val="fr-FR" w:eastAsia="fr-FR" w:bidi="fr-FR"/>
        </w:rPr>
        <w:tab/>
      </w:r>
      <w:r w:rsidR="00075AF8" w:rsidRPr="00075AF8">
        <w:rPr>
          <w:snapToGrid w:val="0"/>
          <w:lang w:val="fr-FR" w:eastAsia="fr-FR" w:bidi="fr-FR"/>
        </w:rPr>
        <w:t>Communication de la Commission Centrale pour la Navigation du Rhin (CCNR)</w:t>
      </w:r>
      <w:r w:rsidR="00C26F66" w:rsidRPr="00497E7A">
        <w:rPr>
          <w:noProof/>
          <w:snapToGrid w:val="0"/>
          <w:szCs w:val="24"/>
          <w:vertAlign w:val="superscript"/>
          <w:lang w:val="fr-FR" w:eastAsia="fr-FR"/>
        </w:rPr>
        <w:footnoteReference w:id="2"/>
      </w:r>
    </w:p>
    <w:p w:rsidR="00075AF8" w:rsidRPr="00075AF8" w:rsidRDefault="00075AF8" w:rsidP="00075AF8">
      <w:pPr>
        <w:pStyle w:val="SingleTxtG"/>
        <w:rPr>
          <w:bCs/>
          <w:lang w:val="fr-FR" w:eastAsia="de-DE" w:bidi="fr-FR"/>
        </w:rPr>
      </w:pPr>
      <w:r w:rsidRPr="00075AF8">
        <w:rPr>
          <w:bCs/>
          <w:lang w:val="fr-FR" w:eastAsia="de-DE" w:bidi="fr-FR"/>
        </w:rPr>
        <w:t>1.</w:t>
      </w:r>
      <w:r w:rsidRPr="00075AF8">
        <w:rPr>
          <w:bCs/>
          <w:lang w:val="fr-FR" w:eastAsia="de-DE" w:bidi="fr-FR"/>
        </w:rPr>
        <w:tab/>
        <w:t xml:space="preserve">Afin de résoudre les problèmes constatés en liaison avec le transport de l’huile de chauffe lourde, a été introduit sur la proposition du groupe de travail informel </w:t>
      </w:r>
      <w:r w:rsidR="007B677A">
        <w:rPr>
          <w:bCs/>
          <w:lang w:val="fr-FR" w:eastAsia="de-DE" w:bidi="fr-FR"/>
        </w:rPr>
        <w:t xml:space="preserve">Matières </w:t>
      </w:r>
      <w:r w:rsidRPr="00075AF8">
        <w:rPr>
          <w:bCs/>
          <w:lang w:val="fr-FR" w:eastAsia="de-DE" w:bidi="fr-FR"/>
        </w:rPr>
        <w:t>dans l’ADN 2013 un critère de pression de vapeur pour les matières dangereuses du point de vue de l’environnement du groupe N1, au 3.2.3.3 Diagramme de décision, schémas et critères pour la détermination des prescriptions spéciales applicables (colonnes 6 à 20 du tableau C), pour les diagrammes de décision, 2</w:t>
      </w:r>
      <w:r w:rsidRPr="00075AF8">
        <w:rPr>
          <w:bCs/>
          <w:vertAlign w:val="superscript"/>
          <w:lang w:val="fr-FR" w:eastAsia="de-DE" w:bidi="fr-FR"/>
        </w:rPr>
        <w:t>ème</w:t>
      </w:r>
      <w:r w:rsidRPr="00075AF8">
        <w:rPr>
          <w:bCs/>
          <w:lang w:val="fr-FR" w:eastAsia="de-DE" w:bidi="fr-FR"/>
        </w:rPr>
        <w:t xml:space="preserve"> et 3</w:t>
      </w:r>
      <w:r w:rsidRPr="00075AF8">
        <w:rPr>
          <w:bCs/>
          <w:vertAlign w:val="superscript"/>
          <w:lang w:val="fr-FR" w:eastAsia="de-DE" w:bidi="fr-FR"/>
        </w:rPr>
        <w:t>ème</w:t>
      </w:r>
      <w:r w:rsidRPr="00075AF8">
        <w:rPr>
          <w:bCs/>
          <w:lang w:val="fr-FR" w:eastAsia="de-DE" w:bidi="fr-FR"/>
        </w:rPr>
        <w:t xml:space="preserve"> case.</w:t>
      </w:r>
    </w:p>
    <w:p w:rsidR="00075AF8" w:rsidRPr="00075AF8" w:rsidRDefault="00075AF8" w:rsidP="00075AF8">
      <w:pPr>
        <w:pStyle w:val="SingleTxtG"/>
        <w:rPr>
          <w:bCs/>
          <w:lang w:val="fr-FR" w:eastAsia="de-DE" w:bidi="fr-FR"/>
        </w:rPr>
      </w:pPr>
      <w:r w:rsidRPr="00075AF8">
        <w:rPr>
          <w:bCs/>
          <w:lang w:val="fr-FR" w:eastAsia="de-DE" w:bidi="fr-FR"/>
        </w:rPr>
        <w:t>2.</w:t>
      </w:r>
      <w:r w:rsidRPr="00075AF8">
        <w:rPr>
          <w:bCs/>
          <w:lang w:val="fr-FR" w:eastAsia="de-DE" w:bidi="fr-FR"/>
        </w:rPr>
        <w:tab/>
        <w:t>A cette occasion a été oublié que ce critère doit également être introduit dans « 3.2.4.3 Critères d’affectation des matières ».</w:t>
      </w:r>
    </w:p>
    <w:p w:rsidR="00075AF8" w:rsidRPr="00075AF8" w:rsidRDefault="00075AF8" w:rsidP="00075AF8">
      <w:pPr>
        <w:pStyle w:val="SingleTxtG"/>
        <w:rPr>
          <w:bCs/>
          <w:lang w:val="fr-FR" w:eastAsia="de-DE" w:bidi="fr-FR"/>
        </w:rPr>
      </w:pPr>
      <w:r w:rsidRPr="00075AF8">
        <w:rPr>
          <w:bCs/>
          <w:lang w:val="fr-FR" w:eastAsia="de-DE" w:bidi="fr-FR"/>
        </w:rPr>
        <w:t>3.</w:t>
      </w:r>
      <w:r w:rsidRPr="00075AF8">
        <w:rPr>
          <w:bCs/>
          <w:lang w:val="fr-FR" w:eastAsia="de-DE" w:bidi="fr-FR"/>
        </w:rPr>
        <w:tab/>
        <w:t>Il est par conséquent proposé au « 3.2.4.3 Critères d’affectation des matières » sous « A. Colonnes 6, 7 et 8: Détermination du type de bateau-citerne » au point 2.</w:t>
      </w:r>
      <w:r w:rsidR="007B677A">
        <w:rPr>
          <w:bCs/>
          <w:lang w:val="fr-FR" w:eastAsia="de-DE" w:bidi="fr-FR"/>
        </w:rPr>
        <w:t> </w:t>
      </w:r>
      <w:r w:rsidRPr="00075AF8">
        <w:rPr>
          <w:bCs/>
          <w:lang w:val="fr-FR" w:eastAsia="de-DE" w:bidi="fr-FR"/>
        </w:rPr>
        <w:t>« Hydrocarbures halogénés » de remplacer la formulation</w:t>
      </w:r>
    </w:p>
    <w:p w:rsidR="00075AF8" w:rsidRPr="00075AF8" w:rsidRDefault="00075AF8" w:rsidP="00075AF8">
      <w:pPr>
        <w:pStyle w:val="SingleTxtG"/>
        <w:ind w:left="1701"/>
        <w:rPr>
          <w:bCs/>
          <w:lang w:val="fr-FR" w:eastAsia="de-DE" w:bidi="fr-FR"/>
        </w:rPr>
      </w:pPr>
      <w:r>
        <w:rPr>
          <w:bCs/>
          <w:lang w:val="fr-FR" w:eastAsia="de-DE" w:bidi="fr-FR"/>
        </w:rPr>
        <w:t>«</w:t>
      </w:r>
      <w:r w:rsidRPr="00075AF8">
        <w:rPr>
          <w:bCs/>
          <w:lang w:val="fr-FR" w:eastAsia="de-DE" w:bidi="fr-FR"/>
        </w:rPr>
        <w:t>Matières dangereuses du point de vue de l'environnement, toxicité Aiguë 1 ou toxicité Chronique 1 (groupe N1 selon 2.2.9.1.10.2)»</w:t>
      </w:r>
    </w:p>
    <w:p w:rsidR="00075AF8" w:rsidRPr="00075AF8" w:rsidRDefault="00075AF8" w:rsidP="00075AF8">
      <w:pPr>
        <w:pStyle w:val="SingleTxtG"/>
        <w:rPr>
          <w:bCs/>
          <w:lang w:val="fr-FR" w:eastAsia="de-DE" w:bidi="fr-FR"/>
        </w:rPr>
      </w:pPr>
      <w:r w:rsidRPr="00075AF8">
        <w:rPr>
          <w:bCs/>
          <w:lang w:val="fr-FR" w:eastAsia="de-DE" w:bidi="fr-FR"/>
        </w:rPr>
        <w:lastRenderedPageBreak/>
        <w:t>par</w:t>
      </w:r>
    </w:p>
    <w:p w:rsidR="00075AF8" w:rsidRPr="00075AF8" w:rsidRDefault="00075AF8" w:rsidP="00075AF8">
      <w:pPr>
        <w:pStyle w:val="SingleTxtG"/>
        <w:ind w:left="1701"/>
        <w:rPr>
          <w:bCs/>
          <w:lang w:val="fr-FR" w:eastAsia="de-DE" w:bidi="fr-FR"/>
        </w:rPr>
      </w:pPr>
      <w:r>
        <w:rPr>
          <w:bCs/>
          <w:lang w:val="fr-FR" w:eastAsia="de-DE" w:bidi="fr-FR"/>
        </w:rPr>
        <w:t>«</w:t>
      </w:r>
      <w:r w:rsidRPr="00075AF8">
        <w:rPr>
          <w:bCs/>
          <w:lang w:val="fr-FR" w:eastAsia="de-DE" w:bidi="fr-FR"/>
        </w:rPr>
        <w:t>Matières dangereuses du point de vue de l'environnement, toxicité Aiguë 1 dans l'eau</w:t>
      </w:r>
      <w:r w:rsidRPr="00075AF8">
        <w:rPr>
          <w:bCs/>
          <w:vertAlign w:val="superscript"/>
          <w:lang w:eastAsia="de-DE" w:bidi="fr-FR"/>
        </w:rPr>
        <w:footnoteReference w:id="3"/>
      </w:r>
      <w:r w:rsidRPr="00075AF8">
        <w:rPr>
          <w:bCs/>
          <w:lang w:val="fr-FR" w:eastAsia="de-DE" w:bidi="fr-FR"/>
        </w:rPr>
        <w:t xml:space="preserve"> ou toxicité chronique (groupe N1 selon 2.2.9.1.10.2 </w:t>
      </w:r>
      <w:r w:rsidR="007B677A">
        <w:rPr>
          <w:bCs/>
          <w:lang w:val="fr-FR" w:eastAsia="de-DE" w:bidi="fr-FR"/>
        </w:rPr>
        <w:t>de l'</w:t>
      </w:r>
      <w:r w:rsidRPr="00075AF8">
        <w:rPr>
          <w:bCs/>
          <w:lang w:val="fr-FR" w:eastAsia="de-DE" w:bidi="fr-FR"/>
        </w:rPr>
        <w:t>ADN) et pressi</w:t>
      </w:r>
      <w:r>
        <w:rPr>
          <w:bCs/>
          <w:lang w:val="fr-FR" w:eastAsia="de-DE" w:bidi="fr-FR"/>
        </w:rPr>
        <w:t>on de vapeur à 50 °C de ≥ 1 kPa</w:t>
      </w:r>
      <w:r w:rsidRPr="00075AF8">
        <w:rPr>
          <w:bCs/>
          <w:lang w:val="fr-FR" w:eastAsia="de-DE" w:bidi="fr-FR"/>
        </w:rPr>
        <w:t>»</w:t>
      </w:r>
    </w:p>
    <w:p w:rsidR="00C26F66" w:rsidRDefault="00075AF8" w:rsidP="00075AF8">
      <w:pPr>
        <w:pStyle w:val="SingleTxtG"/>
        <w:rPr>
          <w:bCs/>
          <w:lang w:val="fr-FR" w:eastAsia="de-DE" w:bidi="fr-FR"/>
        </w:rPr>
      </w:pPr>
      <w:r w:rsidRPr="00075AF8">
        <w:rPr>
          <w:bCs/>
          <w:lang w:val="fr-FR" w:eastAsia="de-DE" w:bidi="fr-FR"/>
        </w:rPr>
        <w:t xml:space="preserve">et de compléter le point 5. </w:t>
      </w:r>
      <w:r>
        <w:rPr>
          <w:bCs/>
          <w:lang w:val="fr-FR" w:eastAsia="de-DE" w:bidi="fr-FR"/>
        </w:rPr>
        <w:t>«</w:t>
      </w:r>
      <w:r w:rsidRPr="00075AF8">
        <w:rPr>
          <w:bCs/>
          <w:lang w:val="fr-FR" w:eastAsia="de-DE" w:bidi="fr-FR"/>
        </w:rPr>
        <w:t>Matières dangereuses du point de vue de l'environnement (voir sous 2.2.9.1 de l’ADN)» afin qu'il soit rédigé comme suit :</w:t>
      </w:r>
    </w:p>
    <w:p w:rsidR="00075AF8" w:rsidRDefault="00075AF8" w:rsidP="00075AF8">
      <w:pPr>
        <w:pStyle w:val="SingleTxtG"/>
        <w:rPr>
          <w:lang w:val="fr-FR" w:eastAsia="de-DE"/>
        </w:rPr>
      </w:pPr>
      <w:r>
        <w:rPr>
          <w:lang w:val="fr-FR" w:eastAsia="de-DE"/>
        </w:rPr>
        <w:t>«</w:t>
      </w:r>
      <w:r w:rsidRPr="00075AF8">
        <w:rPr>
          <w:lang w:val="fr-FR" w:eastAsia="de-DE"/>
        </w:rPr>
        <w:t>5. Matières dangereuses du point de vue de l'environnement (voir sous 2.2.9.1 de l’ADN)</w:t>
      </w:r>
    </w:p>
    <w:p w:rsidR="00075AF8" w:rsidRPr="00075AF8" w:rsidRDefault="00075AF8" w:rsidP="00075AF8">
      <w:pPr>
        <w:numPr>
          <w:ilvl w:val="0"/>
          <w:numId w:val="5"/>
        </w:numPr>
        <w:tabs>
          <w:tab w:val="left" w:pos="1418"/>
          <w:tab w:val="left" w:pos="4395"/>
          <w:tab w:val="left" w:pos="5954"/>
        </w:tabs>
        <w:suppressAutoHyphens w:val="0"/>
        <w:ind w:left="1134" w:firstLine="0"/>
        <w:jc w:val="both"/>
        <w:rPr>
          <w:rFonts w:eastAsia="Calibri"/>
          <w:color w:val="000000"/>
          <w:lang w:val="fr-FR" w:eastAsia="fr-FR"/>
        </w:rPr>
      </w:pPr>
      <w:r w:rsidRPr="00075AF8">
        <w:rPr>
          <w:rFonts w:eastAsia="Calibri"/>
          <w:color w:val="000000"/>
          <w:lang w:val="fr-FR" w:eastAsia="fr-FR"/>
        </w:rPr>
        <w:t>Toxicité Aiguë ou Chronique 1</w:t>
      </w:r>
      <w:r w:rsidRPr="00075AF8">
        <w:rPr>
          <w:rFonts w:eastAsia="Calibri"/>
          <w:color w:val="000000"/>
          <w:lang w:val="fr-FR" w:eastAsia="fr-FR"/>
        </w:rPr>
        <w:tab/>
        <w:t>type N fermé</w:t>
      </w:r>
      <w:r w:rsidRPr="00075AF8">
        <w:rPr>
          <w:rFonts w:eastAsia="Calibri"/>
          <w:color w:val="000000"/>
          <w:lang w:val="fr-FR" w:eastAsia="fr-FR"/>
        </w:rPr>
        <w:tab/>
      </w:r>
      <w:r w:rsidRPr="00075AF8">
        <w:rPr>
          <w:rFonts w:eastAsia="Calibri"/>
          <w:color w:val="000000"/>
          <w:lang w:val="fr-FR" w:eastAsia="fr-FR"/>
        </w:rPr>
        <w:tab/>
        <w:t>les parois des citernes à cargaison ne</w:t>
      </w:r>
    </w:p>
    <w:p w:rsidR="00075AF8" w:rsidRPr="00075AF8" w:rsidRDefault="00075AF8" w:rsidP="00075AF8">
      <w:pPr>
        <w:tabs>
          <w:tab w:val="left" w:pos="567"/>
          <w:tab w:val="left" w:pos="851"/>
          <w:tab w:val="left" w:pos="1418"/>
          <w:tab w:val="left" w:pos="4395"/>
          <w:tab w:val="left" w:pos="5954"/>
        </w:tabs>
        <w:suppressAutoHyphens w:val="0"/>
        <w:ind w:left="1134"/>
        <w:jc w:val="both"/>
        <w:rPr>
          <w:rFonts w:eastAsia="Calibri"/>
          <w:color w:val="000000"/>
          <w:lang w:val="fr-FR" w:eastAsia="fr-FR"/>
        </w:rPr>
      </w:pPr>
      <w:r w:rsidRPr="00075AF8">
        <w:rPr>
          <w:rFonts w:eastAsia="Calibri"/>
          <w:color w:val="000000"/>
          <w:lang w:val="fr-FR" w:eastAsia="fr-FR"/>
        </w:rPr>
        <w:tab/>
        <w:t>(groupe N1 selon</w:t>
      </w:r>
      <w:r w:rsidRPr="00075AF8">
        <w:rPr>
          <w:rFonts w:eastAsia="Calibri"/>
          <w:color w:val="000000"/>
          <w:lang w:val="fr-FR" w:eastAsia="fr-FR"/>
        </w:rPr>
        <w:tab/>
      </w:r>
      <w:r w:rsidRPr="00075AF8">
        <w:rPr>
          <w:rFonts w:eastAsia="Calibri"/>
          <w:color w:val="000000"/>
          <w:lang w:val="fr-FR" w:eastAsia="fr-FR"/>
        </w:rPr>
        <w:tab/>
      </w:r>
      <w:r w:rsidRPr="00075AF8">
        <w:rPr>
          <w:rFonts w:eastAsia="Calibri"/>
          <w:color w:val="000000"/>
          <w:lang w:val="fr-FR" w:eastAsia="fr-FR"/>
        </w:rPr>
        <w:tab/>
        <w:t>pouvant constituer la coque du bateau</w:t>
      </w:r>
    </w:p>
    <w:p w:rsidR="00075AF8" w:rsidRPr="00075AF8" w:rsidRDefault="007B677A" w:rsidP="00075AF8">
      <w:pPr>
        <w:tabs>
          <w:tab w:val="left" w:pos="851"/>
          <w:tab w:val="left" w:pos="1418"/>
          <w:tab w:val="left" w:pos="4395"/>
          <w:tab w:val="left" w:pos="5954"/>
        </w:tabs>
        <w:suppressAutoHyphens w:val="0"/>
        <w:ind w:left="1134"/>
        <w:jc w:val="both"/>
        <w:rPr>
          <w:rFonts w:eastAsia="Calibri"/>
          <w:color w:val="000000"/>
          <w:lang w:val="fr-FR" w:eastAsia="fr-FR"/>
        </w:rPr>
      </w:pPr>
      <w:r>
        <w:rPr>
          <w:rFonts w:eastAsia="Calibri"/>
          <w:color w:val="000000"/>
          <w:lang w:val="fr-FR" w:eastAsia="fr-FR"/>
        </w:rPr>
        <w:tab/>
      </w:r>
      <w:r w:rsidR="00075AF8" w:rsidRPr="00075AF8">
        <w:rPr>
          <w:rFonts w:eastAsia="Calibri"/>
          <w:color w:val="000000"/>
          <w:lang w:val="fr-FR" w:eastAsia="fr-FR"/>
        </w:rPr>
        <w:t xml:space="preserve">2.2.9.1.10.2 </w:t>
      </w:r>
      <w:r>
        <w:rPr>
          <w:bCs/>
          <w:lang w:val="fr-FR" w:eastAsia="de-DE" w:bidi="fr-FR"/>
        </w:rPr>
        <w:t>de l'</w:t>
      </w:r>
      <w:r w:rsidR="00075AF8" w:rsidRPr="00075AF8">
        <w:rPr>
          <w:rFonts w:eastAsia="Calibri"/>
          <w:color w:val="000000"/>
          <w:lang w:val="fr-FR" w:eastAsia="fr-FR"/>
        </w:rPr>
        <w:t>ADN) et</w:t>
      </w:r>
    </w:p>
    <w:p w:rsidR="007B677A" w:rsidRDefault="007B677A" w:rsidP="007B677A">
      <w:pPr>
        <w:tabs>
          <w:tab w:val="left" w:pos="1418"/>
          <w:tab w:val="left" w:pos="4395"/>
          <w:tab w:val="left" w:pos="5954"/>
        </w:tabs>
        <w:suppressAutoHyphens w:val="0"/>
        <w:ind w:left="1134"/>
        <w:jc w:val="both"/>
        <w:rPr>
          <w:rFonts w:eastAsia="Calibri"/>
          <w:color w:val="000000"/>
          <w:lang w:val="fr-FR" w:eastAsia="fr-FR"/>
        </w:rPr>
      </w:pPr>
      <w:r>
        <w:rPr>
          <w:rFonts w:eastAsia="Calibri"/>
          <w:color w:val="000000"/>
          <w:lang w:val="fr-FR" w:eastAsia="fr-FR"/>
        </w:rPr>
        <w:tab/>
      </w:r>
      <w:r w:rsidR="00075AF8" w:rsidRPr="00075AF8">
        <w:rPr>
          <w:rFonts w:eastAsia="Calibri"/>
          <w:color w:val="000000"/>
          <w:lang w:val="fr-FR" w:eastAsia="fr-FR"/>
        </w:rPr>
        <w:t xml:space="preserve">pression de vapeur </w:t>
      </w:r>
    </w:p>
    <w:p w:rsidR="00075AF8" w:rsidRPr="00075AF8" w:rsidRDefault="007B677A" w:rsidP="00075AF8">
      <w:pPr>
        <w:tabs>
          <w:tab w:val="left" w:pos="1418"/>
          <w:tab w:val="left" w:pos="4395"/>
          <w:tab w:val="left" w:pos="5954"/>
        </w:tabs>
        <w:suppressAutoHyphens w:val="0"/>
        <w:spacing w:after="120"/>
        <w:ind w:left="1134"/>
        <w:jc w:val="both"/>
        <w:rPr>
          <w:rFonts w:eastAsia="Calibri"/>
          <w:color w:val="000000"/>
          <w:lang w:val="fr-FR" w:eastAsia="fr-FR"/>
        </w:rPr>
      </w:pPr>
      <w:r>
        <w:rPr>
          <w:rFonts w:eastAsia="Calibri"/>
          <w:color w:val="000000"/>
          <w:lang w:val="fr-FR" w:eastAsia="fr-FR"/>
        </w:rPr>
        <w:tab/>
      </w:r>
      <w:r w:rsidR="00075AF8" w:rsidRPr="00075AF8">
        <w:rPr>
          <w:rFonts w:eastAsia="Calibri"/>
          <w:color w:val="000000"/>
          <w:lang w:val="fr-FR" w:eastAsia="fr-FR"/>
        </w:rPr>
        <w:t xml:space="preserve">inférieure à 1 kPa à 50°C </w:t>
      </w:r>
    </w:p>
    <w:p w:rsidR="00075AF8" w:rsidRPr="00075AF8" w:rsidRDefault="00075AF8" w:rsidP="00075AF8">
      <w:pPr>
        <w:tabs>
          <w:tab w:val="left" w:pos="709"/>
          <w:tab w:val="left" w:pos="1418"/>
          <w:tab w:val="left" w:pos="4395"/>
          <w:tab w:val="left" w:pos="5954"/>
        </w:tabs>
        <w:suppressAutoHyphens w:val="0"/>
        <w:ind w:left="1134"/>
        <w:jc w:val="both"/>
        <w:rPr>
          <w:rFonts w:eastAsia="Calibri"/>
          <w:color w:val="000000"/>
          <w:lang w:val="fr-FR" w:eastAsia="fr-FR"/>
        </w:rPr>
      </w:pPr>
      <w:r w:rsidRPr="00075AF8">
        <w:rPr>
          <w:rFonts w:eastAsia="Calibri"/>
          <w:color w:val="000000"/>
          <w:lang w:val="fr-FR" w:eastAsia="fr-FR"/>
        </w:rPr>
        <w:t xml:space="preserve">• </w:t>
      </w:r>
      <w:r w:rsidR="007B677A">
        <w:rPr>
          <w:rFonts w:eastAsia="Calibri"/>
          <w:color w:val="000000"/>
          <w:lang w:val="fr-FR" w:eastAsia="fr-FR"/>
        </w:rPr>
        <w:tab/>
      </w:r>
      <w:r w:rsidRPr="00075AF8">
        <w:rPr>
          <w:rFonts w:eastAsia="Calibri"/>
          <w:color w:val="000000"/>
          <w:lang w:val="fr-FR" w:eastAsia="fr-FR"/>
        </w:rPr>
        <w:t>Toxicité Chronique 2 et 3</w:t>
      </w:r>
      <w:r w:rsidRPr="00075AF8">
        <w:rPr>
          <w:rFonts w:eastAsia="Calibri"/>
          <w:color w:val="000000"/>
          <w:lang w:val="fr-FR" w:eastAsia="fr-FR"/>
        </w:rPr>
        <w:tab/>
        <w:t>type N ouvert</w:t>
      </w:r>
      <w:r w:rsidRPr="00075AF8">
        <w:rPr>
          <w:rFonts w:eastAsia="Calibri"/>
          <w:color w:val="000000"/>
          <w:lang w:val="fr-FR" w:eastAsia="fr-FR"/>
        </w:rPr>
        <w:tab/>
      </w:r>
      <w:r w:rsidRPr="00075AF8">
        <w:rPr>
          <w:rFonts w:eastAsia="Calibri"/>
          <w:color w:val="000000"/>
          <w:lang w:val="fr-FR" w:eastAsia="fr-FR"/>
        </w:rPr>
        <w:tab/>
        <w:t xml:space="preserve">les parois des citernes à cargaison ne </w:t>
      </w:r>
    </w:p>
    <w:p w:rsidR="00075AF8" w:rsidRPr="00075AF8" w:rsidRDefault="00075AF8" w:rsidP="007B677A">
      <w:pPr>
        <w:tabs>
          <w:tab w:val="left" w:pos="567"/>
          <w:tab w:val="left" w:pos="851"/>
          <w:tab w:val="left" w:pos="1418"/>
          <w:tab w:val="left" w:pos="4395"/>
          <w:tab w:val="left" w:pos="5954"/>
        </w:tabs>
        <w:suppressAutoHyphens w:val="0"/>
        <w:spacing w:after="120"/>
        <w:ind w:left="1418"/>
        <w:rPr>
          <w:rFonts w:eastAsia="Calibri"/>
          <w:color w:val="000000"/>
          <w:lang w:val="fr-FR" w:eastAsia="fr-FR"/>
        </w:rPr>
      </w:pPr>
      <w:r w:rsidRPr="00075AF8">
        <w:rPr>
          <w:rFonts w:eastAsia="Calibri"/>
          <w:color w:val="000000"/>
          <w:lang w:val="fr-FR" w:eastAsia="fr-FR"/>
        </w:rPr>
        <w:t xml:space="preserve">(groupe N2 selon 2.2.9.1.10.2 </w:t>
      </w:r>
      <w:r w:rsidR="007B677A">
        <w:rPr>
          <w:rFonts w:eastAsia="Calibri"/>
          <w:color w:val="000000"/>
          <w:lang w:val="fr-FR" w:eastAsia="fr-FR"/>
        </w:rPr>
        <w:tab/>
      </w:r>
      <w:r w:rsidR="007B677A">
        <w:rPr>
          <w:rFonts w:eastAsia="Calibri"/>
          <w:color w:val="000000"/>
          <w:lang w:val="fr-FR" w:eastAsia="fr-FR"/>
        </w:rPr>
        <w:tab/>
      </w:r>
      <w:r w:rsidR="007B677A">
        <w:rPr>
          <w:rFonts w:eastAsia="Calibri"/>
          <w:color w:val="000000"/>
          <w:lang w:val="fr-FR" w:eastAsia="fr-FR"/>
        </w:rPr>
        <w:tab/>
      </w:r>
      <w:r w:rsidR="007B677A" w:rsidRPr="00075AF8">
        <w:rPr>
          <w:rFonts w:eastAsia="Calibri"/>
          <w:color w:val="000000"/>
          <w:lang w:val="fr-FR" w:eastAsia="fr-FR"/>
        </w:rPr>
        <w:t>pouvant constituer la coque du bateau</w:t>
      </w:r>
      <w:r w:rsidR="007B677A">
        <w:rPr>
          <w:rFonts w:eastAsia="Calibri"/>
          <w:color w:val="000000"/>
          <w:lang w:val="fr-FR" w:eastAsia="fr-FR"/>
        </w:rPr>
        <w:br/>
      </w:r>
      <w:r w:rsidR="007B677A">
        <w:rPr>
          <w:bCs/>
          <w:lang w:val="fr-FR" w:eastAsia="de-DE" w:bidi="fr-FR"/>
        </w:rPr>
        <w:t>de l'</w:t>
      </w:r>
      <w:r w:rsidRPr="00075AF8">
        <w:rPr>
          <w:rFonts w:eastAsia="Calibri"/>
          <w:color w:val="000000"/>
          <w:lang w:val="fr-FR" w:eastAsia="fr-FR"/>
        </w:rPr>
        <w:t>ADN)</w:t>
      </w:r>
      <w:r w:rsidRPr="00075AF8">
        <w:rPr>
          <w:rFonts w:eastAsia="Calibri"/>
          <w:color w:val="000000"/>
          <w:lang w:val="fr-FR" w:eastAsia="fr-FR"/>
        </w:rPr>
        <w:tab/>
      </w:r>
      <w:r w:rsidR="007B677A">
        <w:rPr>
          <w:rFonts w:eastAsia="Calibri"/>
          <w:color w:val="000000"/>
          <w:lang w:val="fr-FR" w:eastAsia="fr-FR"/>
        </w:rPr>
        <w:tab/>
      </w:r>
    </w:p>
    <w:p w:rsidR="00075AF8" w:rsidRPr="00075AF8" w:rsidRDefault="00075AF8" w:rsidP="00075AF8">
      <w:pPr>
        <w:tabs>
          <w:tab w:val="left" w:pos="709"/>
          <w:tab w:val="left" w:pos="1418"/>
          <w:tab w:val="left" w:pos="4395"/>
          <w:tab w:val="left" w:pos="5954"/>
        </w:tabs>
        <w:suppressAutoHyphens w:val="0"/>
        <w:ind w:left="1134"/>
        <w:jc w:val="both"/>
        <w:rPr>
          <w:rFonts w:eastAsia="Calibri"/>
          <w:color w:val="000000"/>
          <w:lang w:val="fr-FR" w:eastAsia="fr-FR"/>
        </w:rPr>
      </w:pPr>
      <w:r w:rsidRPr="00075AF8">
        <w:rPr>
          <w:rFonts w:eastAsia="Calibri"/>
          <w:color w:val="000000"/>
          <w:lang w:val="fr-FR" w:eastAsia="fr-FR"/>
        </w:rPr>
        <w:t>•</w:t>
      </w:r>
      <w:r w:rsidR="007B677A">
        <w:rPr>
          <w:rFonts w:eastAsia="Calibri"/>
          <w:color w:val="000000"/>
          <w:lang w:val="fr-FR" w:eastAsia="fr-FR"/>
        </w:rPr>
        <w:tab/>
      </w:r>
      <w:r w:rsidRPr="00075AF8">
        <w:rPr>
          <w:rFonts w:eastAsia="Calibri"/>
          <w:color w:val="000000"/>
          <w:lang w:val="fr-FR" w:eastAsia="fr-FR"/>
        </w:rPr>
        <w:t xml:space="preserve"> Toxicité Aiguë 2 et 3</w:t>
      </w:r>
      <w:r w:rsidRPr="00075AF8">
        <w:rPr>
          <w:rFonts w:eastAsia="Calibri"/>
          <w:color w:val="000000"/>
          <w:lang w:val="fr-FR" w:eastAsia="fr-FR"/>
        </w:rPr>
        <w:tab/>
        <w:t>type N ouvert</w:t>
      </w:r>
      <w:r w:rsidRPr="00075AF8">
        <w:rPr>
          <w:rFonts w:eastAsia="Calibri"/>
          <w:color w:val="000000"/>
          <w:lang w:val="fr-FR" w:eastAsia="fr-FR"/>
        </w:rPr>
        <w:tab/>
      </w:r>
      <w:r w:rsidRPr="00075AF8">
        <w:rPr>
          <w:rFonts w:eastAsia="Calibri"/>
          <w:color w:val="000000"/>
          <w:lang w:val="fr-FR" w:eastAsia="fr-FR"/>
        </w:rPr>
        <w:tab/>
        <w:t>----------</w:t>
      </w:r>
    </w:p>
    <w:p w:rsidR="00075AF8" w:rsidRPr="00075AF8" w:rsidRDefault="007B677A" w:rsidP="00075AF8">
      <w:pPr>
        <w:tabs>
          <w:tab w:val="left" w:pos="851"/>
          <w:tab w:val="left" w:pos="1418"/>
          <w:tab w:val="left" w:pos="4395"/>
          <w:tab w:val="left" w:pos="5954"/>
        </w:tabs>
        <w:suppressAutoHyphens w:val="0"/>
        <w:ind w:left="1134"/>
        <w:jc w:val="both"/>
        <w:rPr>
          <w:rFonts w:eastAsia="Calibri"/>
          <w:color w:val="000000"/>
          <w:lang w:val="fr-FR" w:eastAsia="fr-FR"/>
        </w:rPr>
      </w:pPr>
      <w:r>
        <w:rPr>
          <w:rFonts w:eastAsia="Calibri"/>
          <w:color w:val="000000"/>
          <w:lang w:val="fr-FR" w:eastAsia="fr-FR"/>
        </w:rPr>
        <w:tab/>
      </w:r>
      <w:r w:rsidR="00075AF8" w:rsidRPr="00075AF8">
        <w:rPr>
          <w:rFonts w:eastAsia="Calibri"/>
          <w:color w:val="000000"/>
          <w:lang w:val="fr-FR" w:eastAsia="fr-FR"/>
        </w:rPr>
        <w:t>(groupe N3 selon</w:t>
      </w:r>
    </w:p>
    <w:p w:rsidR="00075AF8" w:rsidRPr="00075AF8" w:rsidRDefault="007B677A" w:rsidP="00075AF8">
      <w:pPr>
        <w:tabs>
          <w:tab w:val="left" w:pos="851"/>
          <w:tab w:val="left" w:pos="1418"/>
          <w:tab w:val="left" w:pos="4395"/>
          <w:tab w:val="left" w:pos="5954"/>
        </w:tabs>
        <w:suppressAutoHyphens w:val="0"/>
        <w:ind w:left="1134"/>
        <w:jc w:val="both"/>
        <w:rPr>
          <w:rFonts w:eastAsia="Calibri"/>
          <w:color w:val="000000"/>
          <w:lang w:val="fr-FR" w:eastAsia="fr-FR"/>
        </w:rPr>
      </w:pPr>
      <w:r>
        <w:rPr>
          <w:rFonts w:eastAsia="Calibri"/>
          <w:color w:val="000000"/>
          <w:lang w:val="fr-FR" w:eastAsia="fr-FR"/>
        </w:rPr>
        <w:tab/>
      </w:r>
      <w:r w:rsidR="00075AF8" w:rsidRPr="00075AF8">
        <w:rPr>
          <w:rFonts w:eastAsia="Calibri"/>
          <w:color w:val="000000"/>
          <w:lang w:val="fr-FR" w:eastAsia="fr-FR"/>
        </w:rPr>
        <w:t xml:space="preserve">2.2.9.1.10.2 </w:t>
      </w:r>
      <w:r>
        <w:rPr>
          <w:bCs/>
          <w:lang w:val="fr-FR" w:eastAsia="de-DE" w:bidi="fr-FR"/>
        </w:rPr>
        <w:t>de l'</w:t>
      </w:r>
      <w:r w:rsidR="00075AF8" w:rsidRPr="00075AF8">
        <w:rPr>
          <w:rFonts w:eastAsia="Calibri"/>
          <w:color w:val="000000"/>
          <w:lang w:val="fr-FR" w:eastAsia="fr-FR"/>
        </w:rPr>
        <w:t>ADN).»</w:t>
      </w:r>
    </w:p>
    <w:p w:rsidR="00191B0F" w:rsidRPr="00191B0F" w:rsidRDefault="00191B0F" w:rsidP="00191B0F">
      <w:pPr>
        <w:pStyle w:val="SingleTxtG"/>
        <w:spacing w:before="240" w:after="0"/>
        <w:jc w:val="center"/>
        <w:rPr>
          <w:u w:val="single"/>
          <w:lang w:val="fr-FR" w:eastAsia="de-DE"/>
        </w:rPr>
      </w:pPr>
      <w:r>
        <w:rPr>
          <w:u w:val="single"/>
          <w:lang w:val="fr-FR" w:eastAsia="de-DE"/>
        </w:rPr>
        <w:tab/>
      </w:r>
      <w:r>
        <w:rPr>
          <w:u w:val="single"/>
          <w:lang w:val="fr-FR" w:eastAsia="de-DE"/>
        </w:rPr>
        <w:tab/>
      </w:r>
      <w:r>
        <w:rPr>
          <w:u w:val="single"/>
          <w:lang w:val="fr-FR" w:eastAsia="de-DE"/>
        </w:rPr>
        <w:tab/>
      </w:r>
    </w:p>
    <w:sectPr w:rsidR="00191B0F" w:rsidRPr="00191B0F" w:rsidSect="00BD44C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88E" w:rsidRDefault="008A588E"/>
  </w:endnote>
  <w:endnote w:type="continuationSeparator" w:id="0">
    <w:p w:rsidR="008A588E" w:rsidRDefault="008A588E"/>
  </w:endnote>
  <w:endnote w:type="continuationNotice" w:id="1">
    <w:p w:rsidR="008A588E" w:rsidRPr="00BF38EF" w:rsidRDefault="008A588E"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7B4FD6">
      <w:rPr>
        <w:b/>
        <w:noProof/>
        <w:sz w:val="18"/>
      </w:rPr>
      <w:t>2</w:t>
    </w:r>
    <w:r w:rsidRPr="00CD428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C26F66">
      <w:rPr>
        <w:b/>
        <w:noProof/>
        <w:sz w:val="18"/>
      </w:rPr>
      <w:t>3</w:t>
    </w:r>
    <w:r w:rsidRPr="00CD42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pPr>
      <w:pStyle w:val="Footer"/>
      <w:rPr>
        <w:sz w:val="20"/>
      </w:rPr>
    </w:pPr>
    <w:r>
      <w:rPr>
        <w:sz w:val="20"/>
      </w:rPr>
      <w:t>GE.</w:t>
    </w:r>
    <w:r w:rsidR="00523538">
      <w:rPr>
        <w:noProof/>
        <w:lang w:val="fr-FR" w:eastAsia="fr-FR"/>
      </w:rPr>
      <w:drawing>
        <wp:anchor distT="0" distB="0" distL="114300" distR="114300" simplePos="0" relativeHeight="251657728" behindDoc="0" locked="0" layoutInCell="1" allowOverlap="1">
          <wp:simplePos x="0" y="0"/>
          <wp:positionH relativeFrom="column">
            <wp:posOffset>5040630</wp:posOffset>
          </wp:positionH>
          <wp:positionV relativeFrom="line">
            <wp:posOffset>-107950</wp:posOffset>
          </wp:positionV>
          <wp:extent cx="1104265" cy="233045"/>
          <wp:effectExtent l="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074">
      <w:rPr>
        <w:sz w:val="20"/>
      </w:rPr>
      <w:t>1</w:t>
    </w:r>
    <w:r w:rsidR="006B6C93">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88E" w:rsidRPr="00D27D5E" w:rsidRDefault="008A588E" w:rsidP="00D27D5E">
      <w:pPr>
        <w:tabs>
          <w:tab w:val="right" w:pos="2155"/>
        </w:tabs>
        <w:spacing w:after="80"/>
        <w:ind w:left="680"/>
        <w:rPr>
          <w:u w:val="single"/>
        </w:rPr>
      </w:pPr>
      <w:r>
        <w:rPr>
          <w:u w:val="single"/>
        </w:rPr>
        <w:tab/>
      </w:r>
    </w:p>
  </w:footnote>
  <w:footnote w:type="continuationSeparator" w:id="0">
    <w:p w:rsidR="008A588E" w:rsidRPr="00836A24" w:rsidRDefault="008A588E" w:rsidP="00836A24">
      <w:pPr>
        <w:tabs>
          <w:tab w:val="right" w:pos="2155"/>
        </w:tabs>
        <w:spacing w:after="80"/>
        <w:ind w:left="680"/>
        <w:rPr>
          <w:u w:val="single"/>
        </w:rPr>
      </w:pPr>
      <w:r w:rsidRPr="00836A24">
        <w:rPr>
          <w:u w:val="single"/>
        </w:rPr>
        <w:tab/>
      </w:r>
    </w:p>
  </w:footnote>
  <w:footnote w:type="continuationNotice" w:id="1">
    <w:p w:rsidR="008A588E" w:rsidRPr="00BF38EF" w:rsidRDefault="008A588E" w:rsidP="00BF38EF">
      <w:pPr>
        <w:spacing w:line="240" w:lineRule="auto"/>
        <w:rPr>
          <w:sz w:val="2"/>
          <w:szCs w:val="2"/>
        </w:rPr>
      </w:pPr>
    </w:p>
  </w:footnote>
  <w:footnote w:id="2">
    <w:p w:rsidR="00C26F66" w:rsidRPr="00F337B3" w:rsidRDefault="00D64213" w:rsidP="00D64213">
      <w:pPr>
        <w:pStyle w:val="FootnoteText"/>
      </w:pPr>
      <w:r>
        <w:rPr>
          <w:szCs w:val="24"/>
        </w:rPr>
        <w:tab/>
      </w:r>
      <w:r w:rsidR="00C26F66" w:rsidRPr="00F337B3">
        <w:rPr>
          <w:rStyle w:val="FootnoteReference"/>
          <w:szCs w:val="24"/>
        </w:rPr>
        <w:footnoteRef/>
      </w:r>
      <w:r w:rsidR="00C26F66" w:rsidRPr="00F337B3">
        <w:rPr>
          <w:szCs w:val="24"/>
        </w:rPr>
        <w:tab/>
      </w:r>
      <w:r w:rsidR="00C26F66" w:rsidRPr="00F337B3">
        <w:t xml:space="preserve">Diffusé en langue </w:t>
      </w:r>
      <w:r w:rsidR="00C26F66" w:rsidRPr="00D64213">
        <w:t>allemande</w:t>
      </w:r>
      <w:r w:rsidR="00C26F66" w:rsidRPr="00F337B3">
        <w:t xml:space="preserve"> par la Commission centrale pour la navigation du Rhin sous la cote</w:t>
      </w:r>
      <w:r w:rsidR="00C26F66">
        <w:t xml:space="preserve"> CCNR/ZKR/ADN/WP.15/AC.2/201</w:t>
      </w:r>
      <w:r w:rsidR="00CB0B63">
        <w:t>6</w:t>
      </w:r>
      <w:r w:rsidR="00C26F66">
        <w:t>/</w:t>
      </w:r>
      <w:r w:rsidR="00075AF8">
        <w:t>9</w:t>
      </w:r>
      <w:r w:rsidR="00C26F66" w:rsidRPr="00F337B3">
        <w:rPr>
          <w:noProof/>
        </w:rPr>
        <w:t>.</w:t>
      </w:r>
    </w:p>
  </w:footnote>
  <w:footnote w:id="3">
    <w:p w:rsidR="00075AF8" w:rsidRPr="0002498A" w:rsidRDefault="00075AF8" w:rsidP="007B677A">
      <w:pPr>
        <w:pStyle w:val="FootnoteText"/>
        <w:rPr>
          <w:lang w:val="fr-FR"/>
        </w:rPr>
      </w:pPr>
      <w:r>
        <w:tab/>
      </w:r>
      <w:r>
        <w:rPr>
          <w:rStyle w:val="FootnoteReference"/>
        </w:rPr>
        <w:footnoteRef/>
      </w:r>
      <w:r>
        <w:t xml:space="preserve"> </w:t>
      </w:r>
      <w:r w:rsidR="0086369F">
        <w:rPr>
          <w:lang w:val="fr-FR"/>
        </w:rPr>
        <w:tab/>
        <w:t>«dans l’eau</w:t>
      </w:r>
      <w:r>
        <w:rPr>
          <w:lang w:val="fr-FR"/>
        </w:rPr>
        <w:t xml:space="preserve">» : rajouté par la </w:t>
      </w:r>
      <w:r w:rsidRPr="007B677A">
        <w:t>CCNR</w:t>
      </w:r>
      <w:r>
        <w:rPr>
          <w:lang w:val="fr-FR"/>
        </w:rPr>
        <w:t xml:space="preserve"> lors de la traduction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263074">
    <w:pPr>
      <w:pStyle w:val="Header"/>
    </w:pPr>
    <w:r>
      <w:t>ECE/TRANS/WP.15/AC.2/201</w:t>
    </w:r>
    <w:r w:rsidR="00CB0B63">
      <w:t>6</w:t>
    </w:r>
    <w:r w:rsidR="006B6C93">
      <w:t>/</w:t>
    </w:r>
    <w:r w:rsidR="0086369F">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AA4C53" w:rsidP="00CD4281">
    <w:pPr>
      <w:pStyle w:val="Header"/>
      <w:jc w:val="right"/>
    </w:pPr>
    <w:r>
      <w:t>ECE/TRANS/WP.15/AC.2/2015</w:t>
    </w:r>
    <w:r w:rsidR="00812C43">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9571F96"/>
    <w:multiLevelType w:val="hybridMultilevel"/>
    <w:tmpl w:val="D58CD566"/>
    <w:lvl w:ilvl="0" w:tplc="E5E2B3DE">
      <w:start w:val="2"/>
      <w:numFmt w:val="bullet"/>
      <w:lvlText w:val="•"/>
      <w:lvlJc w:val="left"/>
      <w:pPr>
        <w:ind w:left="2772" w:hanging="360"/>
      </w:pPr>
      <w:rPr>
        <w:rFonts w:ascii="Arial" w:eastAsia="Calibri" w:hAnsi="Arial" w:cs="Arial" w:hint="default"/>
      </w:rPr>
    </w:lvl>
    <w:lvl w:ilvl="1" w:tplc="04070003" w:tentative="1">
      <w:start w:val="1"/>
      <w:numFmt w:val="bullet"/>
      <w:lvlText w:val="o"/>
      <w:lvlJc w:val="left"/>
      <w:pPr>
        <w:ind w:left="3492" w:hanging="360"/>
      </w:pPr>
      <w:rPr>
        <w:rFonts w:ascii="Courier New" w:hAnsi="Courier New" w:cs="Courier New" w:hint="default"/>
      </w:rPr>
    </w:lvl>
    <w:lvl w:ilvl="2" w:tplc="04070005" w:tentative="1">
      <w:start w:val="1"/>
      <w:numFmt w:val="bullet"/>
      <w:lvlText w:val=""/>
      <w:lvlJc w:val="left"/>
      <w:pPr>
        <w:ind w:left="4212" w:hanging="360"/>
      </w:pPr>
      <w:rPr>
        <w:rFonts w:ascii="Wingdings" w:hAnsi="Wingdings" w:hint="default"/>
      </w:rPr>
    </w:lvl>
    <w:lvl w:ilvl="3" w:tplc="04070001" w:tentative="1">
      <w:start w:val="1"/>
      <w:numFmt w:val="bullet"/>
      <w:lvlText w:val=""/>
      <w:lvlJc w:val="left"/>
      <w:pPr>
        <w:ind w:left="4932" w:hanging="360"/>
      </w:pPr>
      <w:rPr>
        <w:rFonts w:ascii="Symbol" w:hAnsi="Symbol" w:hint="default"/>
      </w:rPr>
    </w:lvl>
    <w:lvl w:ilvl="4" w:tplc="04070003" w:tentative="1">
      <w:start w:val="1"/>
      <w:numFmt w:val="bullet"/>
      <w:lvlText w:val="o"/>
      <w:lvlJc w:val="left"/>
      <w:pPr>
        <w:ind w:left="5652" w:hanging="360"/>
      </w:pPr>
      <w:rPr>
        <w:rFonts w:ascii="Courier New" w:hAnsi="Courier New" w:cs="Courier New" w:hint="default"/>
      </w:rPr>
    </w:lvl>
    <w:lvl w:ilvl="5" w:tplc="04070005" w:tentative="1">
      <w:start w:val="1"/>
      <w:numFmt w:val="bullet"/>
      <w:lvlText w:val=""/>
      <w:lvlJc w:val="left"/>
      <w:pPr>
        <w:ind w:left="6372" w:hanging="360"/>
      </w:pPr>
      <w:rPr>
        <w:rFonts w:ascii="Wingdings" w:hAnsi="Wingdings" w:hint="default"/>
      </w:rPr>
    </w:lvl>
    <w:lvl w:ilvl="6" w:tplc="04070001" w:tentative="1">
      <w:start w:val="1"/>
      <w:numFmt w:val="bullet"/>
      <w:lvlText w:val=""/>
      <w:lvlJc w:val="left"/>
      <w:pPr>
        <w:ind w:left="7092" w:hanging="360"/>
      </w:pPr>
      <w:rPr>
        <w:rFonts w:ascii="Symbol" w:hAnsi="Symbol" w:hint="default"/>
      </w:rPr>
    </w:lvl>
    <w:lvl w:ilvl="7" w:tplc="04070003" w:tentative="1">
      <w:start w:val="1"/>
      <w:numFmt w:val="bullet"/>
      <w:lvlText w:val="o"/>
      <w:lvlJc w:val="left"/>
      <w:pPr>
        <w:ind w:left="7812" w:hanging="360"/>
      </w:pPr>
      <w:rPr>
        <w:rFonts w:ascii="Courier New" w:hAnsi="Courier New" w:cs="Courier New" w:hint="default"/>
      </w:rPr>
    </w:lvl>
    <w:lvl w:ilvl="8" w:tplc="04070005" w:tentative="1">
      <w:start w:val="1"/>
      <w:numFmt w:val="bullet"/>
      <w:lvlText w:val=""/>
      <w:lvlJc w:val="left"/>
      <w:pPr>
        <w:ind w:left="8532"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3BBA7BD7"/>
    <w:multiLevelType w:val="hybridMultilevel"/>
    <w:tmpl w:val="46C2CE76"/>
    <w:lvl w:ilvl="0" w:tplc="41D4EDE0">
      <w:start w:val="5"/>
      <w:numFmt w:val="upperRoman"/>
      <w:lvlText w:val="%1."/>
      <w:lvlJc w:val="left"/>
      <w:pPr>
        <w:tabs>
          <w:tab w:val="num" w:pos="1848"/>
        </w:tabs>
        <w:ind w:left="1848" w:hanging="720"/>
      </w:pPr>
      <w:rPr>
        <w:rFonts w:hint="default"/>
      </w:rPr>
    </w:lvl>
    <w:lvl w:ilvl="1" w:tplc="040C0019" w:tentative="1">
      <w:start w:val="1"/>
      <w:numFmt w:val="lowerLetter"/>
      <w:lvlText w:val="%2."/>
      <w:lvlJc w:val="left"/>
      <w:pPr>
        <w:tabs>
          <w:tab w:val="num" w:pos="2208"/>
        </w:tabs>
        <w:ind w:left="2208" w:hanging="360"/>
      </w:pPr>
    </w:lvl>
    <w:lvl w:ilvl="2" w:tplc="040C001B" w:tentative="1">
      <w:start w:val="1"/>
      <w:numFmt w:val="lowerRoman"/>
      <w:lvlText w:val="%3."/>
      <w:lvlJc w:val="right"/>
      <w:pPr>
        <w:tabs>
          <w:tab w:val="num" w:pos="2928"/>
        </w:tabs>
        <w:ind w:left="2928" w:hanging="180"/>
      </w:pPr>
    </w:lvl>
    <w:lvl w:ilvl="3" w:tplc="040C000F" w:tentative="1">
      <w:start w:val="1"/>
      <w:numFmt w:val="decimal"/>
      <w:lvlText w:val="%4."/>
      <w:lvlJc w:val="left"/>
      <w:pPr>
        <w:tabs>
          <w:tab w:val="num" w:pos="3648"/>
        </w:tabs>
        <w:ind w:left="3648" w:hanging="360"/>
      </w:pPr>
    </w:lvl>
    <w:lvl w:ilvl="4" w:tplc="040C0019" w:tentative="1">
      <w:start w:val="1"/>
      <w:numFmt w:val="lowerLetter"/>
      <w:lvlText w:val="%5."/>
      <w:lvlJc w:val="left"/>
      <w:pPr>
        <w:tabs>
          <w:tab w:val="num" w:pos="4368"/>
        </w:tabs>
        <w:ind w:left="4368" w:hanging="360"/>
      </w:pPr>
    </w:lvl>
    <w:lvl w:ilvl="5" w:tplc="040C001B" w:tentative="1">
      <w:start w:val="1"/>
      <w:numFmt w:val="lowerRoman"/>
      <w:lvlText w:val="%6."/>
      <w:lvlJc w:val="right"/>
      <w:pPr>
        <w:tabs>
          <w:tab w:val="num" w:pos="5088"/>
        </w:tabs>
        <w:ind w:left="5088" w:hanging="180"/>
      </w:pPr>
    </w:lvl>
    <w:lvl w:ilvl="6" w:tplc="040C000F" w:tentative="1">
      <w:start w:val="1"/>
      <w:numFmt w:val="decimal"/>
      <w:lvlText w:val="%7."/>
      <w:lvlJc w:val="left"/>
      <w:pPr>
        <w:tabs>
          <w:tab w:val="num" w:pos="5808"/>
        </w:tabs>
        <w:ind w:left="5808" w:hanging="360"/>
      </w:pPr>
    </w:lvl>
    <w:lvl w:ilvl="7" w:tplc="040C0019" w:tentative="1">
      <w:start w:val="1"/>
      <w:numFmt w:val="lowerLetter"/>
      <w:lvlText w:val="%8."/>
      <w:lvlJc w:val="left"/>
      <w:pPr>
        <w:tabs>
          <w:tab w:val="num" w:pos="6528"/>
        </w:tabs>
        <w:ind w:left="6528" w:hanging="360"/>
      </w:pPr>
    </w:lvl>
    <w:lvl w:ilvl="8" w:tplc="040C001B" w:tentative="1">
      <w:start w:val="1"/>
      <w:numFmt w:val="lowerRoman"/>
      <w:lvlText w:val="%9."/>
      <w:lvlJc w:val="right"/>
      <w:pPr>
        <w:tabs>
          <w:tab w:val="num" w:pos="7248"/>
        </w:tabs>
        <w:ind w:left="7248" w:hanging="18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36"/>
    <w:rsid w:val="00016AC5"/>
    <w:rsid w:val="000229BE"/>
    <w:rsid w:val="00023FAD"/>
    <w:rsid w:val="00030ADE"/>
    <w:rsid w:val="000312C0"/>
    <w:rsid w:val="00075AF8"/>
    <w:rsid w:val="00090A5D"/>
    <w:rsid w:val="000A0D7D"/>
    <w:rsid w:val="000A55CE"/>
    <w:rsid w:val="000B0D4D"/>
    <w:rsid w:val="000B60CE"/>
    <w:rsid w:val="000D17BF"/>
    <w:rsid w:val="000F41F2"/>
    <w:rsid w:val="00103471"/>
    <w:rsid w:val="00111648"/>
    <w:rsid w:val="00114D3F"/>
    <w:rsid w:val="001260A6"/>
    <w:rsid w:val="00133F18"/>
    <w:rsid w:val="00135C0D"/>
    <w:rsid w:val="001542D1"/>
    <w:rsid w:val="00160540"/>
    <w:rsid w:val="001636E0"/>
    <w:rsid w:val="001701DC"/>
    <w:rsid w:val="0017182C"/>
    <w:rsid w:val="0017360A"/>
    <w:rsid w:val="00177007"/>
    <w:rsid w:val="001823D4"/>
    <w:rsid w:val="00186EE9"/>
    <w:rsid w:val="00191B0F"/>
    <w:rsid w:val="00192EEB"/>
    <w:rsid w:val="001947FF"/>
    <w:rsid w:val="001A20FB"/>
    <w:rsid w:val="001B0BE2"/>
    <w:rsid w:val="001B46BD"/>
    <w:rsid w:val="001B6F40"/>
    <w:rsid w:val="001C4184"/>
    <w:rsid w:val="001C61AA"/>
    <w:rsid w:val="001D7F8A"/>
    <w:rsid w:val="001E3FEB"/>
    <w:rsid w:val="001E4A02"/>
    <w:rsid w:val="00223B89"/>
    <w:rsid w:val="002255DD"/>
    <w:rsid w:val="00225A8C"/>
    <w:rsid w:val="00234E40"/>
    <w:rsid w:val="00251000"/>
    <w:rsid w:val="00263074"/>
    <w:rsid w:val="002659F1"/>
    <w:rsid w:val="00271AAD"/>
    <w:rsid w:val="00271C7C"/>
    <w:rsid w:val="00287E79"/>
    <w:rsid w:val="002928F9"/>
    <w:rsid w:val="002A5D07"/>
    <w:rsid w:val="002B4585"/>
    <w:rsid w:val="002B64EB"/>
    <w:rsid w:val="002C4C91"/>
    <w:rsid w:val="002D31AC"/>
    <w:rsid w:val="002D7669"/>
    <w:rsid w:val="002E6444"/>
    <w:rsid w:val="002E6F0D"/>
    <w:rsid w:val="003016B7"/>
    <w:rsid w:val="003044AA"/>
    <w:rsid w:val="00330F9C"/>
    <w:rsid w:val="00331156"/>
    <w:rsid w:val="00340C35"/>
    <w:rsid w:val="00343C15"/>
    <w:rsid w:val="003515AA"/>
    <w:rsid w:val="00364866"/>
    <w:rsid w:val="00370352"/>
    <w:rsid w:val="00370E0F"/>
    <w:rsid w:val="00374106"/>
    <w:rsid w:val="003976D5"/>
    <w:rsid w:val="003A2976"/>
    <w:rsid w:val="003C3BD4"/>
    <w:rsid w:val="003D1DF3"/>
    <w:rsid w:val="003D46A7"/>
    <w:rsid w:val="003D6C68"/>
    <w:rsid w:val="003E5551"/>
    <w:rsid w:val="004159D0"/>
    <w:rsid w:val="00416747"/>
    <w:rsid w:val="0042377E"/>
    <w:rsid w:val="004249E7"/>
    <w:rsid w:val="00426657"/>
    <w:rsid w:val="0043292F"/>
    <w:rsid w:val="00442D65"/>
    <w:rsid w:val="004532CE"/>
    <w:rsid w:val="00460C54"/>
    <w:rsid w:val="004812F5"/>
    <w:rsid w:val="004856F9"/>
    <w:rsid w:val="00493C5D"/>
    <w:rsid w:val="004958E9"/>
    <w:rsid w:val="00497E7A"/>
    <w:rsid w:val="004A5935"/>
    <w:rsid w:val="004D0439"/>
    <w:rsid w:val="004E6373"/>
    <w:rsid w:val="00523538"/>
    <w:rsid w:val="00530F2E"/>
    <w:rsid w:val="00543D5E"/>
    <w:rsid w:val="00571F41"/>
    <w:rsid w:val="00580744"/>
    <w:rsid w:val="00580EEC"/>
    <w:rsid w:val="00595BE4"/>
    <w:rsid w:val="005A20B5"/>
    <w:rsid w:val="005A69D3"/>
    <w:rsid w:val="005B76A3"/>
    <w:rsid w:val="005E0BAE"/>
    <w:rsid w:val="005E5D1F"/>
    <w:rsid w:val="00602512"/>
    <w:rsid w:val="00603391"/>
    <w:rsid w:val="00611D43"/>
    <w:rsid w:val="00612D48"/>
    <w:rsid w:val="00616B45"/>
    <w:rsid w:val="00630D9B"/>
    <w:rsid w:val="00631953"/>
    <w:rsid w:val="006320E9"/>
    <w:rsid w:val="006439EC"/>
    <w:rsid w:val="00650FD4"/>
    <w:rsid w:val="00653D13"/>
    <w:rsid w:val="006606BB"/>
    <w:rsid w:val="006834E6"/>
    <w:rsid w:val="00694F83"/>
    <w:rsid w:val="006B4590"/>
    <w:rsid w:val="006B6C93"/>
    <w:rsid w:val="006C340C"/>
    <w:rsid w:val="006C7F8A"/>
    <w:rsid w:val="006D3C84"/>
    <w:rsid w:val="006E5FC7"/>
    <w:rsid w:val="0070347C"/>
    <w:rsid w:val="007176C1"/>
    <w:rsid w:val="007330FE"/>
    <w:rsid w:val="00735A79"/>
    <w:rsid w:val="00757352"/>
    <w:rsid w:val="00763EB9"/>
    <w:rsid w:val="00790336"/>
    <w:rsid w:val="00790F2F"/>
    <w:rsid w:val="007A1954"/>
    <w:rsid w:val="007B0F68"/>
    <w:rsid w:val="007B4FD6"/>
    <w:rsid w:val="007B677A"/>
    <w:rsid w:val="007C3462"/>
    <w:rsid w:val="007C3C4F"/>
    <w:rsid w:val="007F55CB"/>
    <w:rsid w:val="00805BAD"/>
    <w:rsid w:val="00812C1A"/>
    <w:rsid w:val="00812C43"/>
    <w:rsid w:val="00830891"/>
    <w:rsid w:val="008317F6"/>
    <w:rsid w:val="00836A24"/>
    <w:rsid w:val="00844750"/>
    <w:rsid w:val="00846C19"/>
    <w:rsid w:val="0086369F"/>
    <w:rsid w:val="008940D7"/>
    <w:rsid w:val="008A588E"/>
    <w:rsid w:val="008A767B"/>
    <w:rsid w:val="008B09B3"/>
    <w:rsid w:val="008B44C4"/>
    <w:rsid w:val="008B7879"/>
    <w:rsid w:val="008D3919"/>
    <w:rsid w:val="008E7FAE"/>
    <w:rsid w:val="008F059B"/>
    <w:rsid w:val="00911BF7"/>
    <w:rsid w:val="00911DA7"/>
    <w:rsid w:val="00916183"/>
    <w:rsid w:val="009165B3"/>
    <w:rsid w:val="00945FF8"/>
    <w:rsid w:val="009461E5"/>
    <w:rsid w:val="00952FDB"/>
    <w:rsid w:val="0095536D"/>
    <w:rsid w:val="00974DF0"/>
    <w:rsid w:val="00975B8F"/>
    <w:rsid w:val="009761FC"/>
    <w:rsid w:val="00977EC8"/>
    <w:rsid w:val="00980B3E"/>
    <w:rsid w:val="00984468"/>
    <w:rsid w:val="009A5E81"/>
    <w:rsid w:val="009B18A3"/>
    <w:rsid w:val="009D3A8C"/>
    <w:rsid w:val="009E01B8"/>
    <w:rsid w:val="009E2194"/>
    <w:rsid w:val="009E7956"/>
    <w:rsid w:val="00A15CB2"/>
    <w:rsid w:val="00A24903"/>
    <w:rsid w:val="00A2492E"/>
    <w:rsid w:val="00A31A6B"/>
    <w:rsid w:val="00A666CE"/>
    <w:rsid w:val="00A70163"/>
    <w:rsid w:val="00A96408"/>
    <w:rsid w:val="00A97D9A"/>
    <w:rsid w:val="00AA4C53"/>
    <w:rsid w:val="00AA5935"/>
    <w:rsid w:val="00AB7D3D"/>
    <w:rsid w:val="00AC2802"/>
    <w:rsid w:val="00AC67A1"/>
    <w:rsid w:val="00AC7977"/>
    <w:rsid w:val="00AE352C"/>
    <w:rsid w:val="00AF1499"/>
    <w:rsid w:val="00AF4C64"/>
    <w:rsid w:val="00B03463"/>
    <w:rsid w:val="00B32E2D"/>
    <w:rsid w:val="00B4466B"/>
    <w:rsid w:val="00B5393D"/>
    <w:rsid w:val="00B57132"/>
    <w:rsid w:val="00B60BEC"/>
    <w:rsid w:val="00B61990"/>
    <w:rsid w:val="00B6334B"/>
    <w:rsid w:val="00B73AAE"/>
    <w:rsid w:val="00B75DC2"/>
    <w:rsid w:val="00B75EC5"/>
    <w:rsid w:val="00B85D99"/>
    <w:rsid w:val="00B86EA9"/>
    <w:rsid w:val="00B93E72"/>
    <w:rsid w:val="00BA5250"/>
    <w:rsid w:val="00BC0B27"/>
    <w:rsid w:val="00BC5FA7"/>
    <w:rsid w:val="00BD44CD"/>
    <w:rsid w:val="00BD67A2"/>
    <w:rsid w:val="00BF0556"/>
    <w:rsid w:val="00BF38EF"/>
    <w:rsid w:val="00C24B53"/>
    <w:rsid w:val="00C261F8"/>
    <w:rsid w:val="00C26F66"/>
    <w:rsid w:val="00C27150"/>
    <w:rsid w:val="00C33100"/>
    <w:rsid w:val="00C57892"/>
    <w:rsid w:val="00C74D15"/>
    <w:rsid w:val="00C908B9"/>
    <w:rsid w:val="00C940E9"/>
    <w:rsid w:val="00CA1414"/>
    <w:rsid w:val="00CB0B63"/>
    <w:rsid w:val="00CB373C"/>
    <w:rsid w:val="00CB6267"/>
    <w:rsid w:val="00CB694A"/>
    <w:rsid w:val="00CD1A25"/>
    <w:rsid w:val="00CD1A71"/>
    <w:rsid w:val="00CD1FBB"/>
    <w:rsid w:val="00CD3488"/>
    <w:rsid w:val="00CD4281"/>
    <w:rsid w:val="00CE5BF6"/>
    <w:rsid w:val="00CF1893"/>
    <w:rsid w:val="00CF7A47"/>
    <w:rsid w:val="00D016B5"/>
    <w:rsid w:val="00D034F1"/>
    <w:rsid w:val="00D04D8B"/>
    <w:rsid w:val="00D11B17"/>
    <w:rsid w:val="00D205A3"/>
    <w:rsid w:val="00D24779"/>
    <w:rsid w:val="00D24B1D"/>
    <w:rsid w:val="00D27D5E"/>
    <w:rsid w:val="00D46004"/>
    <w:rsid w:val="00D60301"/>
    <w:rsid w:val="00D64213"/>
    <w:rsid w:val="00D761E2"/>
    <w:rsid w:val="00D92026"/>
    <w:rsid w:val="00DA57D4"/>
    <w:rsid w:val="00DB4793"/>
    <w:rsid w:val="00DB6CD1"/>
    <w:rsid w:val="00DC794A"/>
    <w:rsid w:val="00DE01E3"/>
    <w:rsid w:val="00DE45DF"/>
    <w:rsid w:val="00DE56E5"/>
    <w:rsid w:val="00DE6D90"/>
    <w:rsid w:val="00DF002F"/>
    <w:rsid w:val="00E0244D"/>
    <w:rsid w:val="00E0331A"/>
    <w:rsid w:val="00E2484C"/>
    <w:rsid w:val="00E37AE2"/>
    <w:rsid w:val="00E401F2"/>
    <w:rsid w:val="00E413D8"/>
    <w:rsid w:val="00E47862"/>
    <w:rsid w:val="00E50079"/>
    <w:rsid w:val="00E55D71"/>
    <w:rsid w:val="00E56ED3"/>
    <w:rsid w:val="00E75221"/>
    <w:rsid w:val="00E81E94"/>
    <w:rsid w:val="00E82607"/>
    <w:rsid w:val="00EA31C2"/>
    <w:rsid w:val="00EA320D"/>
    <w:rsid w:val="00EC510E"/>
    <w:rsid w:val="00EE2EA3"/>
    <w:rsid w:val="00EE56CB"/>
    <w:rsid w:val="00EF1183"/>
    <w:rsid w:val="00EF486C"/>
    <w:rsid w:val="00F01516"/>
    <w:rsid w:val="00F32462"/>
    <w:rsid w:val="00F50F4F"/>
    <w:rsid w:val="00F56DE8"/>
    <w:rsid w:val="00F57129"/>
    <w:rsid w:val="00FA5A79"/>
    <w:rsid w:val="00FB00CB"/>
    <w:rsid w:val="00FB0BFE"/>
    <w:rsid w:val="00FB44CA"/>
    <w:rsid w:val="00FB4C51"/>
    <w:rsid w:val="00FC017A"/>
    <w:rsid w:val="00FD3CA2"/>
    <w:rsid w:val="00FF0745"/>
    <w:rsid w:val="00FF10CF"/>
    <w:rsid w:val="00FF1DBD"/>
    <w:rsid w:val="00FF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230D134-22C3-48E6-AFAA-FB4439D3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2E6F0D"/>
    <w:rPr>
      <w:lang w:val="fr-CH" w:eastAsia="en-US"/>
    </w:rPr>
  </w:style>
  <w:style w:type="character" w:customStyle="1" w:styleId="H23GChar">
    <w:name w:val="_ H_2/3_G Char"/>
    <w:link w:val="H23G"/>
    <w:rsid w:val="002E6F0D"/>
    <w:rPr>
      <w:b/>
      <w:lang w:val="fr-CH" w:eastAsia="en-US"/>
    </w:rPr>
  </w:style>
  <w:style w:type="paragraph" w:styleId="BalloonText">
    <w:name w:val="Balloon Text"/>
    <w:basedOn w:val="Normal"/>
    <w:link w:val="BalloonTextChar"/>
    <w:rsid w:val="00023FAD"/>
    <w:pPr>
      <w:spacing w:line="240" w:lineRule="auto"/>
    </w:pPr>
    <w:rPr>
      <w:rFonts w:ascii="Tahoma" w:hAnsi="Tahoma" w:cs="Tahoma"/>
      <w:sz w:val="16"/>
      <w:szCs w:val="16"/>
    </w:rPr>
  </w:style>
  <w:style w:type="character" w:customStyle="1" w:styleId="BalloonTextChar">
    <w:name w:val="Balloon Text Char"/>
    <w:link w:val="BalloonText"/>
    <w:rsid w:val="00023FA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54138">
      <w:bodyDiv w:val="1"/>
      <w:marLeft w:val="0"/>
      <w:marRight w:val="0"/>
      <w:marTop w:val="0"/>
      <w:marBottom w:val="0"/>
      <w:divBdr>
        <w:top w:val="none" w:sz="0" w:space="0" w:color="auto"/>
        <w:left w:val="none" w:sz="0" w:space="0" w:color="auto"/>
        <w:bottom w:val="none" w:sz="0" w:space="0" w:color="auto"/>
        <w:right w:val="none" w:sz="0" w:space="0" w:color="auto"/>
      </w:divBdr>
      <w:divsChild>
        <w:div w:id="1267957048">
          <w:marLeft w:val="0"/>
          <w:marRight w:val="0"/>
          <w:marTop w:val="0"/>
          <w:marBottom w:val="0"/>
          <w:divBdr>
            <w:top w:val="none" w:sz="0" w:space="0" w:color="auto"/>
            <w:left w:val="none" w:sz="0" w:space="0" w:color="auto"/>
            <w:bottom w:val="none" w:sz="0" w:space="0" w:color="auto"/>
            <w:right w:val="none" w:sz="0" w:space="0" w:color="auto"/>
          </w:divBdr>
          <w:divsChild>
            <w:div w:id="1375034013">
              <w:marLeft w:val="0"/>
              <w:marRight w:val="0"/>
              <w:marTop w:val="0"/>
              <w:marBottom w:val="0"/>
              <w:divBdr>
                <w:top w:val="none" w:sz="0" w:space="0" w:color="auto"/>
                <w:left w:val="none" w:sz="0" w:space="0" w:color="auto"/>
                <w:bottom w:val="none" w:sz="0" w:space="0" w:color="auto"/>
                <w:right w:val="none" w:sz="0" w:space="0" w:color="auto"/>
              </w:divBdr>
              <w:divsChild>
                <w:div w:id="2036538188">
                  <w:marLeft w:val="0"/>
                  <w:marRight w:val="0"/>
                  <w:marTop w:val="0"/>
                  <w:marBottom w:val="0"/>
                  <w:divBdr>
                    <w:top w:val="none" w:sz="0" w:space="0" w:color="auto"/>
                    <w:left w:val="none" w:sz="0" w:space="0" w:color="auto"/>
                    <w:bottom w:val="none" w:sz="0" w:space="0" w:color="auto"/>
                    <w:right w:val="none" w:sz="0" w:space="0" w:color="auto"/>
                  </w:divBdr>
                  <w:divsChild>
                    <w:div w:id="721487795">
                      <w:marLeft w:val="0"/>
                      <w:marRight w:val="0"/>
                      <w:marTop w:val="0"/>
                      <w:marBottom w:val="0"/>
                      <w:divBdr>
                        <w:top w:val="none" w:sz="0" w:space="0" w:color="auto"/>
                        <w:left w:val="none" w:sz="0" w:space="0" w:color="auto"/>
                        <w:bottom w:val="none" w:sz="0" w:space="0" w:color="auto"/>
                        <w:right w:val="none" w:sz="0" w:space="0" w:color="auto"/>
                      </w:divBdr>
                      <w:divsChild>
                        <w:div w:id="1303922587">
                          <w:marLeft w:val="0"/>
                          <w:marRight w:val="0"/>
                          <w:marTop w:val="0"/>
                          <w:marBottom w:val="0"/>
                          <w:divBdr>
                            <w:top w:val="none" w:sz="0" w:space="0" w:color="auto"/>
                            <w:left w:val="none" w:sz="0" w:space="0" w:color="auto"/>
                            <w:bottom w:val="none" w:sz="0" w:space="0" w:color="auto"/>
                            <w:right w:val="none" w:sz="0" w:space="0" w:color="auto"/>
                          </w:divBdr>
                          <w:divsChild>
                            <w:div w:id="1575698532">
                              <w:marLeft w:val="0"/>
                              <w:marRight w:val="0"/>
                              <w:marTop w:val="0"/>
                              <w:marBottom w:val="0"/>
                              <w:divBdr>
                                <w:top w:val="none" w:sz="0" w:space="0" w:color="auto"/>
                                <w:left w:val="none" w:sz="0" w:space="0" w:color="auto"/>
                                <w:bottom w:val="none" w:sz="0" w:space="0" w:color="auto"/>
                                <w:right w:val="none" w:sz="0" w:space="0" w:color="auto"/>
                              </w:divBdr>
                              <w:divsChild>
                                <w:div w:id="1814903297">
                                  <w:marLeft w:val="0"/>
                                  <w:marRight w:val="0"/>
                                  <w:marTop w:val="0"/>
                                  <w:marBottom w:val="0"/>
                                  <w:divBdr>
                                    <w:top w:val="none" w:sz="0" w:space="0" w:color="auto"/>
                                    <w:left w:val="none" w:sz="0" w:space="0" w:color="auto"/>
                                    <w:bottom w:val="none" w:sz="0" w:space="0" w:color="auto"/>
                                    <w:right w:val="none" w:sz="0" w:space="0" w:color="auto"/>
                                  </w:divBdr>
                                  <w:divsChild>
                                    <w:div w:id="1885217430">
                                      <w:marLeft w:val="0"/>
                                      <w:marRight w:val="0"/>
                                      <w:marTop w:val="0"/>
                                      <w:marBottom w:val="0"/>
                                      <w:divBdr>
                                        <w:top w:val="single" w:sz="6" w:space="0" w:color="F5F5F5"/>
                                        <w:left w:val="single" w:sz="6" w:space="0" w:color="F5F5F5"/>
                                        <w:bottom w:val="single" w:sz="6" w:space="0" w:color="F5F5F5"/>
                                        <w:right w:val="single" w:sz="6" w:space="0" w:color="F5F5F5"/>
                                      </w:divBdr>
                                      <w:divsChild>
                                        <w:div w:id="1010832895">
                                          <w:marLeft w:val="0"/>
                                          <w:marRight w:val="0"/>
                                          <w:marTop w:val="0"/>
                                          <w:marBottom w:val="0"/>
                                          <w:divBdr>
                                            <w:top w:val="none" w:sz="0" w:space="0" w:color="auto"/>
                                            <w:left w:val="none" w:sz="0" w:space="0" w:color="auto"/>
                                            <w:bottom w:val="none" w:sz="0" w:space="0" w:color="auto"/>
                                            <w:right w:val="none" w:sz="0" w:space="0" w:color="auto"/>
                                          </w:divBdr>
                                          <w:divsChild>
                                            <w:div w:id="19961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814B-7397-4E2D-9A09-19BDA71D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Caillot</cp:lastModifiedBy>
  <cp:revision>2</cp:revision>
  <cp:lastPrinted>2015-04-23T08:25:00Z</cp:lastPrinted>
  <dcterms:created xsi:type="dcterms:W3CDTF">2015-10-23T14:24:00Z</dcterms:created>
  <dcterms:modified xsi:type="dcterms:W3CDTF">2015-10-23T14:24:00Z</dcterms:modified>
</cp:coreProperties>
</file>