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3C3936" w:rsidTr="003C3936">
        <w:trPr>
          <w:cantSplit/>
          <w:trHeight w:hRule="exact" w:val="851"/>
        </w:trPr>
        <w:tc>
          <w:tcPr>
            <w:tcW w:w="1276" w:type="dxa"/>
            <w:tcBorders>
              <w:bottom w:val="single" w:sz="4" w:space="0" w:color="auto"/>
            </w:tcBorders>
            <w:vAlign w:val="bottom"/>
          </w:tcPr>
          <w:p w:rsidR="003C3936" w:rsidRDefault="003C3936" w:rsidP="003C3936"/>
        </w:tc>
        <w:tc>
          <w:tcPr>
            <w:tcW w:w="2268" w:type="dxa"/>
            <w:tcBorders>
              <w:bottom w:val="single" w:sz="4" w:space="0" w:color="auto"/>
            </w:tcBorders>
            <w:vAlign w:val="bottom"/>
          </w:tcPr>
          <w:p w:rsidR="003C3936" w:rsidRPr="00B97172" w:rsidRDefault="003C3936" w:rsidP="003C3936">
            <w:pPr>
              <w:rPr>
                <w:b/>
                <w:sz w:val="24"/>
                <w:szCs w:val="24"/>
              </w:rPr>
            </w:pPr>
          </w:p>
        </w:tc>
        <w:tc>
          <w:tcPr>
            <w:tcW w:w="6095" w:type="dxa"/>
            <w:tcBorders>
              <w:bottom w:val="single" w:sz="4" w:space="0" w:color="auto"/>
            </w:tcBorders>
            <w:vAlign w:val="bottom"/>
          </w:tcPr>
          <w:p w:rsidR="003C3936" w:rsidRPr="00CB0D82" w:rsidRDefault="008E4827" w:rsidP="00075A81">
            <w:pPr>
              <w:jc w:val="right"/>
              <w:rPr>
                <w:b/>
                <w:sz w:val="28"/>
                <w:szCs w:val="28"/>
              </w:rPr>
            </w:pPr>
            <w:r w:rsidRPr="00CB0D82">
              <w:rPr>
                <w:b/>
                <w:sz w:val="28"/>
                <w:szCs w:val="28"/>
              </w:rPr>
              <w:t>INF.</w:t>
            </w:r>
            <w:r w:rsidR="00075A81">
              <w:rPr>
                <w:b/>
                <w:sz w:val="28"/>
                <w:szCs w:val="28"/>
              </w:rPr>
              <w:t>28</w:t>
            </w:r>
          </w:p>
        </w:tc>
      </w:tr>
    </w:tbl>
    <w:p w:rsidR="008E4827" w:rsidRDefault="008E4827" w:rsidP="008E4827">
      <w:pPr>
        <w:spacing w:before="120"/>
        <w:rPr>
          <w:b/>
          <w:sz w:val="28"/>
          <w:szCs w:val="28"/>
        </w:rPr>
      </w:pPr>
      <w:r>
        <w:rPr>
          <w:b/>
          <w:sz w:val="28"/>
          <w:szCs w:val="28"/>
        </w:rPr>
        <w:t xml:space="preserve">Economic Commission for </w:t>
      </w:r>
      <w:smartTag w:uri="urn:schemas-microsoft-com:office:smarttags" w:element="place">
        <w:r>
          <w:rPr>
            <w:b/>
            <w:sz w:val="28"/>
            <w:szCs w:val="28"/>
          </w:rPr>
          <w:t>Europe</w:t>
        </w:r>
      </w:smartTag>
    </w:p>
    <w:p w:rsidR="008E4827" w:rsidRDefault="008E4827" w:rsidP="008E4827">
      <w:pPr>
        <w:spacing w:before="120"/>
        <w:rPr>
          <w:sz w:val="28"/>
          <w:szCs w:val="28"/>
        </w:rPr>
      </w:pPr>
      <w:r>
        <w:rPr>
          <w:sz w:val="28"/>
          <w:szCs w:val="28"/>
        </w:rPr>
        <w:t>Inland Transport Committee</w:t>
      </w:r>
    </w:p>
    <w:p w:rsidR="008E4827" w:rsidRDefault="008E4827" w:rsidP="008E4827">
      <w:pPr>
        <w:spacing w:before="120" w:after="120"/>
        <w:rPr>
          <w:b/>
          <w:sz w:val="24"/>
          <w:szCs w:val="24"/>
        </w:rPr>
      </w:pPr>
      <w:r>
        <w:rPr>
          <w:b/>
          <w:sz w:val="24"/>
          <w:szCs w:val="24"/>
        </w:rPr>
        <w:t>Working Party on the Transport of Dangerous Goods</w:t>
      </w:r>
    </w:p>
    <w:p w:rsidR="008E4827" w:rsidRDefault="008E4827" w:rsidP="008E4827">
      <w:pPr>
        <w:rPr>
          <w:b/>
        </w:rPr>
      </w:pPr>
      <w:r>
        <w:rPr>
          <w:b/>
        </w:rPr>
        <w:t>Joint Meeting of the RID Committee of Experts and the</w:t>
      </w:r>
    </w:p>
    <w:p w:rsidR="008E4827" w:rsidRDefault="008E4827" w:rsidP="008E4827">
      <w:pPr>
        <w:rPr>
          <w:b/>
        </w:rPr>
      </w:pPr>
      <w:r>
        <w:rPr>
          <w:b/>
        </w:rPr>
        <w:t>Working Party on the</w:t>
      </w:r>
      <w:r w:rsidR="00291BC2">
        <w:rPr>
          <w:b/>
        </w:rPr>
        <w:t xml:space="preserve"> Transport of Dangerous Goods</w:t>
      </w:r>
      <w:r w:rsidR="00291BC2">
        <w:rPr>
          <w:b/>
        </w:rPr>
        <w:tab/>
      </w:r>
      <w:r w:rsidR="00291BC2">
        <w:rPr>
          <w:b/>
        </w:rPr>
        <w:tab/>
      </w:r>
      <w:r w:rsidR="006E06AC">
        <w:rPr>
          <w:b/>
        </w:rPr>
        <w:tab/>
      </w:r>
      <w:r>
        <w:rPr>
          <w:b/>
        </w:rPr>
        <w:tab/>
      </w:r>
      <w:r w:rsidR="00075A81">
        <w:rPr>
          <w:b/>
        </w:rPr>
        <w:t>16</w:t>
      </w:r>
      <w:r w:rsidR="00871430">
        <w:rPr>
          <w:b/>
        </w:rPr>
        <w:t xml:space="preserve"> </w:t>
      </w:r>
      <w:r w:rsidR="00EF25A4">
        <w:rPr>
          <w:b/>
        </w:rPr>
        <w:t>September</w:t>
      </w:r>
      <w:r>
        <w:rPr>
          <w:b/>
        </w:rPr>
        <w:t xml:space="preserve"> 2016</w:t>
      </w:r>
    </w:p>
    <w:p w:rsidR="008E4827" w:rsidRDefault="00871430" w:rsidP="008E4827">
      <w:r>
        <w:t>Geneva</w:t>
      </w:r>
      <w:r w:rsidR="008E4827">
        <w:t>, 1</w:t>
      </w:r>
      <w:r>
        <w:t>9</w:t>
      </w:r>
      <w:r w:rsidR="008E4827">
        <w:t>–</w:t>
      </w:r>
      <w:r>
        <w:t>23</w:t>
      </w:r>
      <w:r w:rsidR="008E4827">
        <w:t xml:space="preserve"> </w:t>
      </w:r>
      <w:r>
        <w:t>September</w:t>
      </w:r>
      <w:r w:rsidR="008E4827">
        <w:t xml:space="preserve"> 2016</w:t>
      </w:r>
    </w:p>
    <w:p w:rsidR="00FD283E" w:rsidRDefault="00CF387A" w:rsidP="00FD283E">
      <w:r>
        <w:t xml:space="preserve">Item </w:t>
      </w:r>
      <w:r w:rsidR="005A13D4">
        <w:t>4</w:t>
      </w:r>
      <w:r w:rsidR="00FD283E">
        <w:t xml:space="preserve"> of the provisional agenda</w:t>
      </w:r>
    </w:p>
    <w:p w:rsidR="008E4827" w:rsidRPr="00BB7CD1" w:rsidRDefault="005A13D4" w:rsidP="00FD283E">
      <w:pPr>
        <w:rPr>
          <w:b/>
        </w:rPr>
      </w:pPr>
      <w:r>
        <w:rPr>
          <w:b/>
        </w:rPr>
        <w:t>Interpretation of RID/ADR/ADN</w:t>
      </w:r>
    </w:p>
    <w:p w:rsidR="00973FC5" w:rsidRDefault="005A13D4" w:rsidP="00BB34E1">
      <w:pPr>
        <w:pStyle w:val="HChG"/>
        <w:keepNext w:val="0"/>
        <w:keepLines w:val="0"/>
        <w:tabs>
          <w:tab w:val="left" w:pos="8647"/>
          <w:tab w:val="left" w:pos="8931"/>
        </w:tabs>
        <w:ind w:right="0"/>
      </w:pPr>
      <w:r>
        <w:tab/>
      </w:r>
      <w:r w:rsidR="00BB34E1">
        <w:tab/>
      </w:r>
      <w:r w:rsidR="008A6C00">
        <w:t>P</w:t>
      </w:r>
      <w:r w:rsidR="00290CA5">
        <w:t>articulars inscribed on the tank plates</w:t>
      </w:r>
    </w:p>
    <w:p w:rsidR="00973FC5" w:rsidRPr="005124CC" w:rsidRDefault="00D93847" w:rsidP="00BB34E1">
      <w:pPr>
        <w:pStyle w:val="H1G"/>
        <w:keepNext w:val="0"/>
        <w:keepLines w:val="0"/>
        <w:tabs>
          <w:tab w:val="left" w:pos="8647"/>
          <w:tab w:val="left" w:pos="8931"/>
        </w:tabs>
        <w:ind w:right="0"/>
      </w:pPr>
      <w:r>
        <w:tab/>
      </w:r>
      <w:r w:rsidR="00BB34E1">
        <w:tab/>
      </w:r>
      <w:r w:rsidR="00973FC5" w:rsidRPr="00A66E8A">
        <w:t xml:space="preserve">Transmitted by the </w:t>
      </w:r>
      <w:r w:rsidR="00973FC5">
        <w:t xml:space="preserve">Government of </w:t>
      </w:r>
      <w:r w:rsidR="005A13D4">
        <w:t>Portugal</w:t>
      </w:r>
    </w:p>
    <w:p w:rsidR="00973FC5" w:rsidRDefault="00D93847" w:rsidP="00BB34E1">
      <w:pPr>
        <w:pStyle w:val="HChG"/>
        <w:keepNext w:val="0"/>
        <w:keepLines w:val="0"/>
        <w:tabs>
          <w:tab w:val="left" w:pos="8647"/>
          <w:tab w:val="left" w:pos="8931"/>
        </w:tabs>
        <w:ind w:right="0"/>
      </w:pPr>
      <w:r>
        <w:tab/>
      </w:r>
      <w:r w:rsidR="00BB34E1">
        <w:tab/>
      </w:r>
      <w:r w:rsidR="00973FC5">
        <w:t>Summary</w:t>
      </w:r>
    </w:p>
    <w:p w:rsidR="00E1535A" w:rsidRDefault="00290CA5" w:rsidP="00BB34E1">
      <w:pPr>
        <w:pStyle w:val="SingleTxtG"/>
      </w:pPr>
      <w:r>
        <w:t>At the last session of the P</w:t>
      </w:r>
      <w:r w:rsidR="00E1535A">
        <w:t>ortuguese C</w:t>
      </w:r>
      <w:r>
        <w:t>ommit</w:t>
      </w:r>
      <w:r w:rsidR="00A76284">
        <w:t>tee on</w:t>
      </w:r>
      <w:r w:rsidR="00E1535A">
        <w:t xml:space="preserve"> the Transport of D</w:t>
      </w:r>
      <w:r>
        <w:t xml:space="preserve">angerous </w:t>
      </w:r>
      <w:r w:rsidR="00E1535A">
        <w:t>G</w:t>
      </w:r>
      <w:r>
        <w:t xml:space="preserve">oods </w:t>
      </w:r>
      <w:r w:rsidR="00E1535A">
        <w:t xml:space="preserve">(CNTMP- </w:t>
      </w:r>
      <w:proofErr w:type="spellStart"/>
      <w:r w:rsidR="00E1535A">
        <w:t>Comissão</w:t>
      </w:r>
      <w:proofErr w:type="spellEnd"/>
      <w:r w:rsidR="00E1535A">
        <w:t xml:space="preserve"> </w:t>
      </w:r>
      <w:proofErr w:type="spellStart"/>
      <w:r w:rsidR="00E1535A">
        <w:t>Nacional</w:t>
      </w:r>
      <w:proofErr w:type="spellEnd"/>
      <w:r w:rsidR="00E1535A">
        <w:t xml:space="preserve"> de </w:t>
      </w:r>
      <w:proofErr w:type="spellStart"/>
      <w:r w:rsidR="00E1535A">
        <w:t>Transporte</w:t>
      </w:r>
      <w:proofErr w:type="spellEnd"/>
      <w:r w:rsidR="00E1535A">
        <w:t xml:space="preserve"> de </w:t>
      </w:r>
      <w:proofErr w:type="spellStart"/>
      <w:r w:rsidR="00E1535A">
        <w:t>Mercadorias</w:t>
      </w:r>
      <w:proofErr w:type="spellEnd"/>
      <w:r w:rsidR="00E1535A">
        <w:t xml:space="preserve"> </w:t>
      </w:r>
      <w:proofErr w:type="spellStart"/>
      <w:r w:rsidR="00E1535A">
        <w:t>Perigosas</w:t>
      </w:r>
      <w:proofErr w:type="spellEnd"/>
      <w:r w:rsidR="00E1535A">
        <w:t xml:space="preserve">) </w:t>
      </w:r>
      <w:r>
        <w:t>question</w:t>
      </w:r>
      <w:r w:rsidR="00E1535A">
        <w:t>s</w:t>
      </w:r>
      <w:r>
        <w:t xml:space="preserve"> arise from one member</w:t>
      </w:r>
      <w:r w:rsidR="00A76284">
        <w:t>,</w:t>
      </w:r>
      <w:r>
        <w:t xml:space="preserve"> concerning the best manner </w:t>
      </w:r>
      <w:r w:rsidR="00E1535A">
        <w:t xml:space="preserve">on </w:t>
      </w:r>
      <w:r>
        <w:t xml:space="preserve">how the particulars should be inscribed on the plates fixed to the tanks. In our opinion, </w:t>
      </w:r>
      <w:r w:rsidR="00E1535A">
        <w:t xml:space="preserve">it might be the case of some </w:t>
      </w:r>
      <w:r>
        <w:t>ambiguity</w:t>
      </w:r>
      <w:r w:rsidR="00E1535A">
        <w:t xml:space="preserve"> in the texts, </w:t>
      </w:r>
      <w:r w:rsidR="00A76284">
        <w:t>since some operators</w:t>
      </w:r>
      <w:r w:rsidR="00E1535A">
        <w:t xml:space="preserve"> </w:t>
      </w:r>
      <w:r w:rsidR="00A76284">
        <w:t>use</w:t>
      </w:r>
      <w:r w:rsidR="00E1535A">
        <w:t xml:space="preserve"> a </w:t>
      </w:r>
      <w:r w:rsidR="00FD77B9">
        <w:t xml:space="preserve">combination of three plates (manufacturer </w:t>
      </w:r>
      <w:r w:rsidR="00E1535A">
        <w:t>information, operator</w:t>
      </w:r>
      <w:r w:rsidR="00A76284">
        <w:t xml:space="preserve"> information</w:t>
      </w:r>
      <w:r w:rsidR="00E1535A">
        <w:t>,</w:t>
      </w:r>
      <w:r w:rsidR="00FD77B9">
        <w:t xml:space="preserve"> </w:t>
      </w:r>
      <w:r w:rsidR="008E2F39">
        <w:t>additional particulars</w:t>
      </w:r>
      <w:r w:rsidR="00E1535A">
        <w:t>) to complete their duties</w:t>
      </w:r>
      <w:r w:rsidR="008A6C00">
        <w:t xml:space="preserve"> referring information</w:t>
      </w:r>
      <w:r w:rsidR="00E1535A">
        <w:t>.</w:t>
      </w:r>
      <w:r w:rsidR="00532813">
        <w:t xml:space="preserve"> </w:t>
      </w:r>
      <w:r w:rsidR="00532813" w:rsidRPr="00E37C29">
        <w:t xml:space="preserve">The question of how to cover up non pertinent information on multiple purpose tanks </w:t>
      </w:r>
      <w:r w:rsidR="00E37C29">
        <w:t>(according 4.3.3.3.2</w:t>
      </w:r>
      <w:proofErr w:type="gramStart"/>
      <w:r w:rsidR="00E37C29">
        <w:t xml:space="preserve">) </w:t>
      </w:r>
      <w:r w:rsidR="00532813" w:rsidRPr="00E37C29">
        <w:t xml:space="preserve"> is</w:t>
      </w:r>
      <w:proofErr w:type="gramEnd"/>
      <w:r w:rsidR="00532813" w:rsidRPr="00E37C29">
        <w:t xml:space="preserve"> </w:t>
      </w:r>
      <w:r w:rsidR="00E37C29">
        <w:t xml:space="preserve">also </w:t>
      </w:r>
      <w:r w:rsidR="00532813" w:rsidRPr="00E37C29">
        <w:t>on discussion.</w:t>
      </w:r>
      <w:r w:rsidR="00532813">
        <w:t xml:space="preserve"> </w:t>
      </w:r>
    </w:p>
    <w:p w:rsidR="00B67C0F" w:rsidRDefault="00B67C0F" w:rsidP="00BB34E1">
      <w:pPr>
        <w:pStyle w:val="HChG"/>
        <w:keepNext w:val="0"/>
        <w:keepLines w:val="0"/>
        <w:tabs>
          <w:tab w:val="left" w:pos="8647"/>
          <w:tab w:val="left" w:pos="8931"/>
        </w:tabs>
        <w:ind w:right="0"/>
      </w:pPr>
      <w:r>
        <w:tab/>
      </w:r>
      <w:r w:rsidR="00BB34E1">
        <w:tab/>
      </w:r>
      <w:r>
        <w:t>Detailed Description</w:t>
      </w:r>
    </w:p>
    <w:p w:rsidR="00B67C0F" w:rsidRPr="00636BEF" w:rsidRDefault="00B67C0F" w:rsidP="00BB34E1">
      <w:pPr>
        <w:pStyle w:val="SingleTxtG"/>
      </w:pPr>
      <w:r w:rsidRPr="00636BEF">
        <w:t xml:space="preserve">The additional particulars mentioned in 6.8.2.5.2 </w:t>
      </w:r>
      <w:r w:rsidR="0006297E">
        <w:t xml:space="preserve">(all classes) </w:t>
      </w:r>
      <w:r w:rsidRPr="00636BEF">
        <w:t xml:space="preserve">shall be added to the plate (or marking) prescribed in 6.8.2.5.1. This plate shall include the following information (we quote): </w:t>
      </w:r>
    </w:p>
    <w:p w:rsidR="00DC7A7D" w:rsidRPr="00DC7A7D" w:rsidRDefault="006B5C00" w:rsidP="00BB34E1">
      <w:pPr>
        <w:pStyle w:val="SingleTxtG"/>
        <w:ind w:left="2268" w:hanging="1134"/>
      </w:pPr>
      <w:r>
        <w:t>“</w:t>
      </w:r>
      <w:r w:rsidR="00DC7A7D" w:rsidRPr="00DC7A7D">
        <w:t>6.8.2.5.1</w:t>
      </w:r>
      <w:r w:rsidR="00DC7A7D" w:rsidRPr="00DC7A7D">
        <w:rPr>
          <w:b/>
        </w:rPr>
        <w:tab/>
      </w:r>
      <w:r w:rsidR="00DC7A7D" w:rsidRPr="00DC7A7D">
        <w:t>Every tank shall be fitted with a corrosion-resistant metal plate permanently attached to the tank in a place readily accessible for inspection. The following particulars at least shall be marked on the plate by stamping or by any other similar method. These particulars may be engraved directly on the walls of the shell itself, if the walls are so reinforced that the strength of the shell is not impaired</w:t>
      </w:r>
      <w:r w:rsidR="00DC7A7D" w:rsidRPr="00636BEF">
        <w:rPr>
          <w:b/>
          <w:bCs/>
          <w:iCs/>
          <w:vertAlign w:val="superscript"/>
        </w:rPr>
        <w:footnoteReference w:customMarkFollows="1" w:id="2"/>
        <w:t>13</w:t>
      </w:r>
      <w:r w:rsidR="00DC7A7D" w:rsidRPr="00DC7A7D">
        <w:t>:</w:t>
      </w:r>
    </w:p>
    <w:p w:rsidR="00DC7A7D" w:rsidRPr="00DC7A7D" w:rsidRDefault="00737CB3" w:rsidP="00BB34E1">
      <w:pPr>
        <w:pStyle w:val="SingleTxtG"/>
      </w:pPr>
      <w:r>
        <w:tab/>
      </w:r>
      <w:r w:rsidR="00BB34E1">
        <w:tab/>
      </w:r>
      <w:r w:rsidR="00DC7A7D" w:rsidRPr="00DC7A7D">
        <w:t>-</w:t>
      </w:r>
      <w:r w:rsidR="00DC7A7D" w:rsidRPr="00DC7A7D">
        <w:tab/>
      </w:r>
      <w:proofErr w:type="gramStart"/>
      <w:r w:rsidR="00DC7A7D" w:rsidRPr="00DC7A7D">
        <w:t>approval</w:t>
      </w:r>
      <w:proofErr w:type="gramEnd"/>
      <w:r w:rsidR="00DC7A7D" w:rsidRPr="00DC7A7D">
        <w:t xml:space="preserve"> number;</w:t>
      </w:r>
    </w:p>
    <w:p w:rsidR="00DC7A7D" w:rsidRPr="00DC7A7D" w:rsidRDefault="00737CB3" w:rsidP="00BB34E1">
      <w:pPr>
        <w:pStyle w:val="SingleTxtG"/>
      </w:pPr>
      <w:r>
        <w:tab/>
      </w:r>
      <w:r w:rsidR="00BB34E1">
        <w:tab/>
      </w:r>
      <w:r w:rsidR="00DC7A7D" w:rsidRPr="00DC7A7D">
        <w:t>-</w:t>
      </w:r>
      <w:r w:rsidR="00DC7A7D" w:rsidRPr="00DC7A7D">
        <w:tab/>
      </w:r>
      <w:proofErr w:type="gramStart"/>
      <w:r w:rsidR="00DC7A7D" w:rsidRPr="00DC7A7D">
        <w:t>manufacturer’s</w:t>
      </w:r>
      <w:proofErr w:type="gramEnd"/>
      <w:r w:rsidR="00DC7A7D" w:rsidRPr="00DC7A7D">
        <w:t xml:space="preserve"> name or mark;</w:t>
      </w:r>
    </w:p>
    <w:p w:rsidR="00DC7A7D" w:rsidRPr="00DC7A7D" w:rsidRDefault="00737CB3" w:rsidP="00BB34E1">
      <w:pPr>
        <w:pStyle w:val="SingleTxtG"/>
      </w:pPr>
      <w:r>
        <w:tab/>
      </w:r>
      <w:r w:rsidR="00BB34E1">
        <w:tab/>
      </w:r>
      <w:r w:rsidR="00DC7A7D" w:rsidRPr="00DC7A7D">
        <w:t>-</w:t>
      </w:r>
      <w:r w:rsidR="00DC7A7D" w:rsidRPr="00DC7A7D">
        <w:tab/>
      </w:r>
      <w:proofErr w:type="gramStart"/>
      <w:r w:rsidR="00DC7A7D" w:rsidRPr="00DC7A7D">
        <w:t>manufacturer’s</w:t>
      </w:r>
      <w:proofErr w:type="gramEnd"/>
      <w:r w:rsidR="00DC7A7D" w:rsidRPr="00DC7A7D">
        <w:t xml:space="preserve"> serial number;</w:t>
      </w:r>
    </w:p>
    <w:p w:rsidR="00DC7A7D" w:rsidRPr="00DC7A7D" w:rsidRDefault="00737CB3" w:rsidP="00BB34E1">
      <w:pPr>
        <w:pStyle w:val="SingleTxtG"/>
      </w:pPr>
      <w:r>
        <w:tab/>
      </w:r>
      <w:r w:rsidR="00BB34E1">
        <w:tab/>
      </w:r>
      <w:r w:rsidR="00DC7A7D" w:rsidRPr="00DC7A7D">
        <w:t>-</w:t>
      </w:r>
      <w:r w:rsidR="00DC7A7D" w:rsidRPr="00DC7A7D">
        <w:tab/>
      </w:r>
      <w:proofErr w:type="gramStart"/>
      <w:r w:rsidR="00DC7A7D" w:rsidRPr="00DC7A7D">
        <w:t>year</w:t>
      </w:r>
      <w:proofErr w:type="gramEnd"/>
      <w:r w:rsidR="00DC7A7D" w:rsidRPr="00DC7A7D">
        <w:t xml:space="preserve"> of manufacture;</w:t>
      </w:r>
    </w:p>
    <w:p w:rsidR="00DC7A7D" w:rsidRPr="00DC7A7D" w:rsidRDefault="00737CB3" w:rsidP="00BB34E1">
      <w:pPr>
        <w:pStyle w:val="SingleTxtG"/>
      </w:pPr>
      <w:r>
        <w:tab/>
      </w:r>
      <w:r w:rsidR="00BB34E1">
        <w:tab/>
      </w:r>
      <w:r w:rsidR="00DC7A7D" w:rsidRPr="00DC7A7D">
        <w:t>-</w:t>
      </w:r>
      <w:r w:rsidR="00DC7A7D" w:rsidRPr="00DC7A7D">
        <w:tab/>
        <w:t>test pressure (gauge pressure);</w:t>
      </w:r>
    </w:p>
    <w:p w:rsidR="00DC7A7D" w:rsidRPr="00DC7A7D" w:rsidRDefault="00737CB3" w:rsidP="00BB34E1">
      <w:pPr>
        <w:pStyle w:val="SingleTxtG"/>
      </w:pPr>
      <w:r>
        <w:tab/>
      </w:r>
      <w:bookmarkStart w:id="0" w:name="_GoBack"/>
      <w:bookmarkEnd w:id="0"/>
      <w:r w:rsidR="00DC7A7D" w:rsidRPr="00DC7A7D">
        <w:tab/>
      </w:r>
      <w:r w:rsidR="00BB34E1">
        <w:tab/>
      </w:r>
      <w:r w:rsidR="0006297E">
        <w:t>(...)</w:t>
      </w:r>
      <w:r w:rsidR="00DC7A7D" w:rsidRPr="00DC7A7D">
        <w:t xml:space="preserve"> </w:t>
      </w:r>
      <w:r w:rsidR="00DC7A7D" w:rsidRPr="00DC7A7D">
        <w:tab/>
      </w:r>
    </w:p>
    <w:tbl>
      <w:tblPr>
        <w:tblW w:w="9781" w:type="dxa"/>
        <w:tblInd w:w="79" w:type="dxa"/>
        <w:tblLayout w:type="fixed"/>
        <w:tblCellMar>
          <w:left w:w="79" w:type="dxa"/>
          <w:right w:w="79" w:type="dxa"/>
        </w:tblCellMar>
        <w:tblLook w:val="0000" w:firstRow="0" w:lastRow="0" w:firstColumn="0" w:lastColumn="0" w:noHBand="0" w:noVBand="0"/>
      </w:tblPr>
      <w:tblGrid>
        <w:gridCol w:w="1277"/>
        <w:gridCol w:w="4265"/>
        <w:gridCol w:w="4239"/>
      </w:tblGrid>
      <w:tr w:rsidR="00DC7A7D" w:rsidRPr="00DC7A7D" w:rsidTr="00291BC2">
        <w:trPr>
          <w:trHeight w:val="630"/>
        </w:trPr>
        <w:tc>
          <w:tcPr>
            <w:tcW w:w="1277" w:type="dxa"/>
            <w:tcBorders>
              <w:top w:val="single" w:sz="6" w:space="0" w:color="FFFFFF"/>
              <w:left w:val="single" w:sz="6" w:space="0" w:color="FFFFFF"/>
              <w:bottom w:val="single" w:sz="6" w:space="0" w:color="FFFFFF"/>
              <w:right w:val="single" w:sz="6" w:space="0" w:color="FFFFFF"/>
            </w:tcBorders>
          </w:tcPr>
          <w:p w:rsidR="00DC7A7D" w:rsidRPr="00DC7A7D" w:rsidRDefault="00DC7A7D" w:rsidP="0071031A">
            <w:pPr>
              <w:keepLines/>
              <w:tabs>
                <w:tab w:val="left" w:pos="-1603"/>
                <w:tab w:val="left" w:pos="-883"/>
                <w:tab w:val="left" w:pos="0"/>
                <w:tab w:val="left" w:pos="1276"/>
                <w:tab w:val="left" w:pos="1996"/>
                <w:tab w:val="left" w:pos="2716"/>
                <w:tab w:val="left" w:pos="3436"/>
                <w:tab w:val="left" w:pos="4156"/>
                <w:tab w:val="left" w:pos="4876"/>
                <w:tab w:val="left" w:pos="5596"/>
                <w:tab w:val="left" w:pos="6316"/>
                <w:tab w:val="left" w:pos="7036"/>
                <w:tab w:val="left" w:pos="7756"/>
                <w:tab w:val="left" w:pos="8476"/>
                <w:tab w:val="left" w:pos="9196"/>
              </w:tabs>
              <w:suppressAutoHyphens w:val="0"/>
              <w:spacing w:after="140" w:line="228" w:lineRule="auto"/>
              <w:ind w:left="357" w:hanging="357"/>
              <w:jc w:val="both"/>
            </w:pPr>
          </w:p>
          <w:p w:rsidR="00DC7A7D" w:rsidRPr="00DC7A7D" w:rsidRDefault="00DC7A7D" w:rsidP="0071031A">
            <w:pPr>
              <w:tabs>
                <w:tab w:val="left" w:pos="-1440"/>
              </w:tabs>
              <w:suppressAutoHyphens w:val="0"/>
              <w:spacing w:after="140" w:line="228" w:lineRule="auto"/>
              <w:ind w:hanging="357"/>
              <w:jc w:val="both"/>
            </w:pPr>
          </w:p>
        </w:tc>
        <w:tc>
          <w:tcPr>
            <w:tcW w:w="4265" w:type="dxa"/>
            <w:tcBorders>
              <w:top w:val="single" w:sz="6" w:space="0" w:color="FFFFFF"/>
              <w:left w:val="single" w:sz="6" w:space="0" w:color="FFFFFF"/>
              <w:bottom w:val="single" w:sz="6" w:space="0" w:color="FFFFFF"/>
              <w:right w:val="single" w:sz="6" w:space="0" w:color="FFFFFF"/>
            </w:tcBorders>
          </w:tcPr>
          <w:p w:rsidR="00DC7A7D" w:rsidRPr="00DC7A7D" w:rsidRDefault="00DC7A7D" w:rsidP="0071031A">
            <w:pPr>
              <w:tabs>
                <w:tab w:val="left" w:pos="-1440"/>
              </w:tabs>
              <w:suppressAutoHyphens w:val="0"/>
              <w:spacing w:after="140" w:line="228" w:lineRule="auto"/>
              <w:ind w:left="601" w:hanging="601"/>
              <w:jc w:val="both"/>
            </w:pPr>
            <w:r w:rsidRPr="00DC7A7D">
              <w:t>-</w:t>
            </w:r>
            <w:r w:rsidRPr="00DC7A7D">
              <w:rPr>
                <w:b/>
              </w:rPr>
              <w:tab/>
            </w:r>
            <w:r w:rsidRPr="00DC7A7D">
              <w:t xml:space="preserve">test pressure on the shell as a whole and test pressure by compartment in </w:t>
            </w:r>
            <w:proofErr w:type="spellStart"/>
            <w:r w:rsidRPr="00DC7A7D">
              <w:t>MPa</w:t>
            </w:r>
            <w:proofErr w:type="spellEnd"/>
            <w:r w:rsidRPr="00DC7A7D">
              <w:t xml:space="preserve"> or bar (gauge pressure) where the pressure by compartment is less than the pressure on the shell.</w:t>
            </w:r>
          </w:p>
        </w:tc>
        <w:tc>
          <w:tcPr>
            <w:tcW w:w="4239" w:type="dxa"/>
            <w:tcBorders>
              <w:top w:val="single" w:sz="6" w:space="0" w:color="FFFFFF"/>
              <w:left w:val="single" w:sz="7" w:space="0" w:color="000000"/>
              <w:bottom w:val="single" w:sz="6" w:space="0" w:color="FFFFFF"/>
              <w:right w:val="single" w:sz="6" w:space="0" w:color="FFFFFF"/>
            </w:tcBorders>
          </w:tcPr>
          <w:p w:rsidR="00DC7A7D" w:rsidRPr="00DC7A7D" w:rsidRDefault="00DC7A7D" w:rsidP="00DC7A7D">
            <w:pPr>
              <w:tabs>
                <w:tab w:val="left" w:pos="-1440"/>
              </w:tabs>
              <w:suppressAutoHyphens w:val="0"/>
              <w:spacing w:after="140" w:line="228" w:lineRule="auto"/>
              <w:jc w:val="both"/>
            </w:pPr>
          </w:p>
        </w:tc>
      </w:tr>
    </w:tbl>
    <w:p w:rsidR="00DC7A7D" w:rsidRPr="00DC7A7D" w:rsidRDefault="00DC7A7D" w:rsidP="00DC7A7D">
      <w:pPr>
        <w:tabs>
          <w:tab w:val="left" w:pos="-1440"/>
        </w:tabs>
        <w:suppressAutoHyphens w:val="0"/>
        <w:spacing w:line="228" w:lineRule="auto"/>
        <w:jc w:val="both"/>
      </w:pPr>
    </w:p>
    <w:p w:rsidR="00DC7A7D" w:rsidRPr="00636BEF" w:rsidRDefault="00DC7A7D" w:rsidP="00A91EAB">
      <w:pPr>
        <w:pStyle w:val="SingleTxtG"/>
      </w:pPr>
      <w:r w:rsidRPr="00DC7A7D">
        <w:t>In addition, the maximum working pressure allowed shall be inscribed on pressure-filled or pressure-discharge tanks.</w:t>
      </w:r>
      <w:r w:rsidR="006B5C00">
        <w:t>”</w:t>
      </w:r>
    </w:p>
    <w:p w:rsidR="00291BC2" w:rsidRDefault="00291BC2" w:rsidP="00A91EAB">
      <w:pPr>
        <w:pStyle w:val="SingleTxtG"/>
        <w:rPr>
          <w:noProof/>
          <w:lang w:eastAsia="pt-PT"/>
        </w:rPr>
      </w:pPr>
      <w:r w:rsidRPr="00F4666B">
        <w:rPr>
          <w:noProof/>
          <w:lang w:eastAsia="pt-PT"/>
        </w:rPr>
        <w:t>On the other hand</w:t>
      </w:r>
      <w:r>
        <w:rPr>
          <w:noProof/>
          <w:lang w:eastAsia="pt-PT"/>
        </w:rPr>
        <w:t xml:space="preserve"> </w:t>
      </w:r>
      <w:r w:rsidRPr="00EE28FB">
        <w:rPr>
          <w:noProof/>
          <w:lang w:eastAsia="pt-PT"/>
        </w:rPr>
        <w:t xml:space="preserve">particulars referring </w:t>
      </w:r>
      <w:r>
        <w:rPr>
          <w:noProof/>
          <w:lang w:eastAsia="pt-PT"/>
        </w:rPr>
        <w:t xml:space="preserve">class 2 e.g. </w:t>
      </w:r>
      <w:r w:rsidRPr="00EE28FB">
        <w:rPr>
          <w:noProof/>
          <w:lang w:eastAsia="pt-PT"/>
        </w:rPr>
        <w:t xml:space="preserve">the inscription of proper shiping names </w:t>
      </w:r>
      <w:r>
        <w:rPr>
          <w:noProof/>
          <w:lang w:eastAsia="pt-PT"/>
        </w:rPr>
        <w:t>of the n.o.s. entry followed by the technical name (with alternatives described by note 16 to the text) are covered by the following paragraphs:</w:t>
      </w:r>
    </w:p>
    <w:p w:rsidR="00636BEF" w:rsidRPr="00636BEF" w:rsidRDefault="006B5C00" w:rsidP="00A91EAB">
      <w:pPr>
        <w:pStyle w:val="SingleTxtG"/>
      </w:pPr>
      <w:r>
        <w:t>“</w:t>
      </w:r>
      <w:r w:rsidR="00636BEF" w:rsidRPr="00636BEF">
        <w:t>6.8.3.5.2</w:t>
      </w:r>
      <w:r w:rsidR="00636BEF" w:rsidRPr="00636BEF">
        <w:rPr>
          <w:b/>
        </w:rPr>
        <w:tab/>
      </w:r>
      <w:proofErr w:type="gramStart"/>
      <w:r w:rsidR="00636BEF" w:rsidRPr="00A91EAB">
        <w:rPr>
          <w:i/>
        </w:rPr>
        <w:t>On</w:t>
      </w:r>
      <w:proofErr w:type="gramEnd"/>
      <w:r w:rsidR="00636BEF" w:rsidRPr="00A91EAB">
        <w:rPr>
          <w:i/>
        </w:rPr>
        <w:t xml:space="preserve"> tanks intended for the carriage of only one substance</w:t>
      </w:r>
      <w:r w:rsidR="00636BEF" w:rsidRPr="007E47D2">
        <w:t>:</w:t>
      </w:r>
    </w:p>
    <w:p w:rsidR="00636BEF" w:rsidRPr="00636BEF" w:rsidRDefault="00A91EAB" w:rsidP="00A91EAB">
      <w:pPr>
        <w:pStyle w:val="SingleTxtG"/>
        <w:ind w:left="2268" w:hanging="1134"/>
        <w:rPr>
          <w:b/>
          <w:vertAlign w:val="superscript"/>
        </w:rPr>
      </w:pPr>
      <w:r>
        <w:tab/>
      </w:r>
      <w:r w:rsidR="00636BEF" w:rsidRPr="00636BEF">
        <w:t>-</w:t>
      </w:r>
      <w:r w:rsidR="00636BEF" w:rsidRPr="00636BEF">
        <w:tab/>
      </w:r>
      <w:proofErr w:type="gramStart"/>
      <w:r w:rsidR="00636BEF" w:rsidRPr="00636BEF">
        <w:t>the</w:t>
      </w:r>
      <w:proofErr w:type="gramEnd"/>
      <w:r w:rsidR="00636BEF" w:rsidRPr="00636BEF">
        <w:t xml:space="preserve"> proper shipping name of the gas and, in addition for gases classified under an </w:t>
      </w:r>
      <w:proofErr w:type="spellStart"/>
      <w:r w:rsidR="00636BEF" w:rsidRPr="00636BEF">
        <w:t>n.o.s</w:t>
      </w:r>
      <w:proofErr w:type="spellEnd"/>
      <w:r w:rsidR="00636BEF" w:rsidRPr="00636BEF">
        <w:t>. entry, the technical name</w:t>
      </w:r>
      <w:r w:rsidR="00636BEF" w:rsidRPr="00636BEF">
        <w:rPr>
          <w:b/>
          <w:iCs/>
          <w:vertAlign w:val="superscript"/>
        </w:rPr>
        <w:footnoteReference w:customMarkFollows="1" w:id="3"/>
        <w:t>16</w:t>
      </w:r>
      <w:r w:rsidR="00636BEF" w:rsidRPr="00636BEF">
        <w:rPr>
          <w:bCs/>
        </w:rPr>
        <w:t>;</w:t>
      </w:r>
    </w:p>
    <w:p w:rsidR="00636BEF" w:rsidRPr="00636BEF" w:rsidRDefault="00636BEF" w:rsidP="00A91EAB">
      <w:pPr>
        <w:pStyle w:val="SingleTxtG"/>
        <w:ind w:left="2268"/>
      </w:pPr>
      <w:r w:rsidRPr="00636BEF">
        <w:tab/>
        <w:t>This indication shall be supplemented:</w:t>
      </w:r>
    </w:p>
    <w:p w:rsidR="00636BEF" w:rsidRPr="00636BEF" w:rsidRDefault="00A91EAB" w:rsidP="00A91EAB">
      <w:pPr>
        <w:pStyle w:val="SingleTxtG"/>
        <w:ind w:left="2268" w:hanging="1134"/>
      </w:pPr>
      <w:r>
        <w:tab/>
      </w:r>
      <w:r w:rsidR="00636BEF" w:rsidRPr="00636BEF">
        <w:t>-</w:t>
      </w:r>
      <w:r w:rsidR="00636BEF" w:rsidRPr="00636BEF">
        <w:tab/>
        <w:t xml:space="preserve">in the case of tanks intended for the carriage of compressed gases filled by volume (pressure), by an indication of the maximum filling pressure at 15 °C permitted for the tank; and </w:t>
      </w:r>
    </w:p>
    <w:p w:rsidR="00636BEF" w:rsidRPr="00636BEF" w:rsidRDefault="00A91EAB" w:rsidP="00A91EAB">
      <w:pPr>
        <w:pStyle w:val="SingleTxtG"/>
        <w:ind w:left="2268" w:hanging="1134"/>
      </w:pPr>
      <w:r>
        <w:tab/>
      </w:r>
      <w:r w:rsidR="00636BEF" w:rsidRPr="00636BEF">
        <w:t>-</w:t>
      </w:r>
      <w:r w:rsidR="00636BEF" w:rsidRPr="00636BEF">
        <w:tab/>
        <w:t>in the case of tanks intended for the carriage of compressed gases filled by mass, and of liquefied gases, refrigerated liquefied gases or dissolved gases by an indication of the maximum permissible load mass in kg and of the filling temperature if below 20 °C.</w:t>
      </w:r>
    </w:p>
    <w:p w:rsidR="00636BEF" w:rsidRPr="00636BEF" w:rsidRDefault="00636BEF" w:rsidP="00A91EAB">
      <w:pPr>
        <w:pStyle w:val="SingleTxtG"/>
      </w:pPr>
      <w:r w:rsidRPr="00636BEF">
        <w:t>6.8.3.5.3</w:t>
      </w:r>
      <w:r w:rsidRPr="00636BEF">
        <w:rPr>
          <w:b/>
        </w:rPr>
        <w:tab/>
      </w:r>
      <w:proofErr w:type="gramStart"/>
      <w:r w:rsidRPr="007E47D2">
        <w:rPr>
          <w:i/>
        </w:rPr>
        <w:t>On</w:t>
      </w:r>
      <w:proofErr w:type="gramEnd"/>
      <w:r w:rsidRPr="007E47D2">
        <w:rPr>
          <w:i/>
        </w:rPr>
        <w:t xml:space="preserve"> multipurpose tanks:</w:t>
      </w:r>
    </w:p>
    <w:p w:rsidR="00636BEF" w:rsidRPr="00636BEF" w:rsidRDefault="00A91EAB" w:rsidP="00A91EAB">
      <w:pPr>
        <w:pStyle w:val="SingleTxtG"/>
        <w:ind w:left="2268" w:hanging="1134"/>
      </w:pPr>
      <w:r>
        <w:tab/>
      </w:r>
      <w:r w:rsidR="00636BEF" w:rsidRPr="00636BEF">
        <w:t>-</w:t>
      </w:r>
      <w:r w:rsidR="00636BEF" w:rsidRPr="00636BEF">
        <w:tab/>
        <w:t xml:space="preserve">the proper shipping names of the gases and, in addition for gases classified under an </w:t>
      </w:r>
      <w:proofErr w:type="spellStart"/>
      <w:r w:rsidR="00636BEF" w:rsidRPr="00636BEF">
        <w:t>n.o.s</w:t>
      </w:r>
      <w:proofErr w:type="spellEnd"/>
      <w:r w:rsidR="00636BEF" w:rsidRPr="00636BEF">
        <w:t xml:space="preserve">. entry, the technical name of the gases </w:t>
      </w:r>
      <w:r w:rsidR="00636BEF" w:rsidRPr="00636BEF">
        <w:rPr>
          <w:b/>
          <w:bCs/>
          <w:vertAlign w:val="superscript"/>
        </w:rPr>
        <w:t>16</w:t>
      </w:r>
      <w:r w:rsidR="00636BEF" w:rsidRPr="00636BEF">
        <w:t xml:space="preserve"> for whose carriage the tank is approved.</w:t>
      </w:r>
    </w:p>
    <w:p w:rsidR="00636BEF" w:rsidRPr="00636BEF" w:rsidRDefault="00636BEF" w:rsidP="00A91EAB">
      <w:pPr>
        <w:pStyle w:val="SingleTxtG"/>
        <w:ind w:left="2268"/>
      </w:pPr>
      <w:r w:rsidRPr="00636BEF">
        <w:tab/>
        <w:t>These particulars shall be supplemented by an indication of the maximum permissible load mass in kg for each gas.</w:t>
      </w:r>
    </w:p>
    <w:p w:rsidR="00636BEF" w:rsidRPr="00636BEF" w:rsidRDefault="00636BEF" w:rsidP="00A91EAB">
      <w:pPr>
        <w:pStyle w:val="SingleTxtG"/>
      </w:pPr>
      <w:r w:rsidRPr="00636BEF">
        <w:t>6.8.3.5.4</w:t>
      </w:r>
      <w:r w:rsidRPr="00636BEF">
        <w:tab/>
      </w:r>
      <w:proofErr w:type="gramStart"/>
      <w:r w:rsidRPr="00636BEF">
        <w:t>On</w:t>
      </w:r>
      <w:proofErr w:type="gramEnd"/>
      <w:r w:rsidRPr="00636BEF">
        <w:t xml:space="preserve"> tanks intended for the carriage of refrigerated liquefied gases:</w:t>
      </w:r>
    </w:p>
    <w:p w:rsidR="00636BEF" w:rsidRPr="00636BEF" w:rsidRDefault="00A91EAB" w:rsidP="00A91EAB">
      <w:pPr>
        <w:pStyle w:val="SingleTxtG"/>
        <w:ind w:left="2268" w:hanging="1134"/>
      </w:pPr>
      <w:r>
        <w:tab/>
      </w:r>
      <w:r w:rsidR="00636BEF" w:rsidRPr="00636BEF">
        <w:t>-</w:t>
      </w:r>
      <w:r w:rsidR="00636BEF" w:rsidRPr="00636BEF">
        <w:tab/>
      </w:r>
      <w:proofErr w:type="gramStart"/>
      <w:r w:rsidR="00636BEF" w:rsidRPr="00636BEF">
        <w:t>the</w:t>
      </w:r>
      <w:proofErr w:type="gramEnd"/>
      <w:r w:rsidR="00636BEF" w:rsidRPr="00636BEF">
        <w:t xml:space="preserve"> maximum working pressure allowed.</w:t>
      </w:r>
    </w:p>
    <w:p w:rsidR="00636BEF" w:rsidRPr="00636BEF" w:rsidRDefault="00636BEF" w:rsidP="00A91EAB">
      <w:pPr>
        <w:pStyle w:val="SingleTxtG"/>
      </w:pPr>
      <w:r w:rsidRPr="00636BEF">
        <w:t>6.8.3.5.5</w:t>
      </w:r>
      <w:r w:rsidRPr="00636BEF">
        <w:tab/>
        <w:t>On tanks equipped with thermal insulation:</w:t>
      </w:r>
    </w:p>
    <w:p w:rsidR="00636BEF" w:rsidRDefault="00A91EAB" w:rsidP="00A91EAB">
      <w:pPr>
        <w:pStyle w:val="SingleTxtG"/>
        <w:ind w:left="2268" w:hanging="1134"/>
      </w:pPr>
      <w:r>
        <w:tab/>
      </w:r>
      <w:r w:rsidR="00636BEF" w:rsidRPr="00636BEF">
        <w:t>-</w:t>
      </w:r>
      <w:r w:rsidR="00636BEF" w:rsidRPr="00636BEF">
        <w:tab/>
        <w:t>the inscription "thermally insulated" or "thermally insulated by vacuum".</w:t>
      </w:r>
      <w:r w:rsidR="006B5C00">
        <w:t>”</w:t>
      </w:r>
    </w:p>
    <w:p w:rsidR="00136AF9" w:rsidRPr="00D759BD" w:rsidRDefault="006E06AC" w:rsidP="00291BC2">
      <w:pPr>
        <w:pStyle w:val="HChG"/>
        <w:ind w:left="0" w:firstLine="0"/>
      </w:pPr>
      <w:r>
        <w:lastRenderedPageBreak/>
        <w:tab/>
      </w:r>
      <w:r>
        <w:tab/>
      </w:r>
      <w:r w:rsidR="00136AF9" w:rsidRPr="00D759BD">
        <w:t>Questions:</w:t>
      </w:r>
    </w:p>
    <w:p w:rsidR="00327364" w:rsidRPr="00E37C29" w:rsidRDefault="006E06AC" w:rsidP="006E06AC">
      <w:pPr>
        <w:pStyle w:val="SingleTxtG"/>
        <w:rPr>
          <w:highlight w:val="yellow"/>
        </w:rPr>
      </w:pPr>
      <w:r>
        <w:t>1.</w:t>
      </w:r>
      <w:r w:rsidR="00231E23">
        <w:tab/>
      </w:r>
      <w:proofErr w:type="gramStart"/>
      <w:r w:rsidR="00D759BD">
        <w:t>S</w:t>
      </w:r>
      <w:r w:rsidR="00327364" w:rsidRPr="00D759BD">
        <w:t>ince</w:t>
      </w:r>
      <w:proofErr w:type="gramEnd"/>
      <w:r w:rsidR="00327364" w:rsidRPr="00D759BD">
        <w:t xml:space="preserve"> 4.3.3.3.2 reads as follows:</w:t>
      </w:r>
    </w:p>
    <w:p w:rsidR="00327364" w:rsidRDefault="00327364" w:rsidP="006E06AC">
      <w:pPr>
        <w:pStyle w:val="SingleTxtG"/>
      </w:pPr>
      <w:r w:rsidRPr="00327364">
        <w:t xml:space="preserve">"When tanks, battery-vehicles or MEGCs are handed over for carriage, only the particulars specified in 6.8.3.5.6" (particulars complementing those to 6.8.2.5.2) "applicable to the gas loaded or just discharged shall be visible; all particulars concerning </w:t>
      </w:r>
      <w:r w:rsidRPr="006B7CED">
        <w:rPr>
          <w:i/>
        </w:rPr>
        <w:t>other gases</w:t>
      </w:r>
      <w:r w:rsidRPr="00327364">
        <w:t xml:space="preserve"> s</w:t>
      </w:r>
      <w:r w:rsidRPr="00BF37AD">
        <w:rPr>
          <w:i/>
        </w:rPr>
        <w:t>hall be covered up</w:t>
      </w:r>
      <w:r w:rsidRPr="00327364">
        <w:t>.</w:t>
      </w:r>
    </w:p>
    <w:p w:rsidR="00327364" w:rsidRDefault="00327364" w:rsidP="006E06AC">
      <w:pPr>
        <w:pStyle w:val="SingleTxtG"/>
      </w:pPr>
      <w:r w:rsidRPr="00327364">
        <w:t>We ask if this is not conflicting with item c) from 6.8.3.5.3 (</w:t>
      </w:r>
      <w:r>
        <w:t>we quote</w:t>
      </w:r>
      <w:r w:rsidR="00BF37AD">
        <w:t>:</w:t>
      </w:r>
      <w:r>
        <w:t xml:space="preserve"> "</w:t>
      </w:r>
      <w:r w:rsidRPr="00327364">
        <w:t>the following shall be inscribed on the tank-vehicle (on the tank itself or on plates)</w:t>
      </w:r>
      <w:r w:rsidRPr="00327364">
        <w:rPr>
          <w:vertAlign w:val="superscript"/>
        </w:rPr>
        <w:t>13</w:t>
      </w:r>
      <w:r w:rsidR="00BF37AD">
        <w:t>:-</w:t>
      </w:r>
      <w:r>
        <w:t xml:space="preserve">"where the tank is a </w:t>
      </w:r>
      <w:r w:rsidRPr="00A910FE">
        <w:rPr>
          <w:i/>
        </w:rPr>
        <w:t>multipurpose tank</w:t>
      </w:r>
      <w:r>
        <w:t>:</w:t>
      </w:r>
      <w:r w:rsidR="00BF37AD">
        <w:t xml:space="preserve"> </w:t>
      </w:r>
      <w:r>
        <w:t>the proper shipping name of the gas and, for gases classified under an</w:t>
      </w:r>
      <w:r w:rsidR="006B7CED">
        <w:t xml:space="preserve"> </w:t>
      </w:r>
      <w:r>
        <w:t xml:space="preserve"> </w:t>
      </w:r>
      <w:proofErr w:type="spellStart"/>
      <w:r>
        <w:t>n.o.s</w:t>
      </w:r>
      <w:proofErr w:type="spellEnd"/>
      <w:r>
        <w:t>. entry, the technical name</w:t>
      </w:r>
      <w:r w:rsidRPr="00327364">
        <w:rPr>
          <w:vertAlign w:val="superscript"/>
        </w:rPr>
        <w:t>16</w:t>
      </w:r>
      <w:r>
        <w:t xml:space="preserve"> </w:t>
      </w:r>
      <w:r w:rsidRPr="006B7CED">
        <w:rPr>
          <w:i/>
        </w:rPr>
        <w:t>of all gases to whose carriage the tank is assigned</w:t>
      </w:r>
      <w:r>
        <w:t xml:space="preserve"> with an indication of the maximum permissible load mass in kg for each of them") </w:t>
      </w:r>
      <w:r w:rsidR="00D759BD">
        <w:t>and w</w:t>
      </w:r>
      <w:r w:rsidR="00A910FE">
        <w:t xml:space="preserve">hat is the best practice in order to </w:t>
      </w:r>
      <w:r w:rsidR="00D759BD">
        <w:t>fulfil</w:t>
      </w:r>
      <w:r w:rsidR="00A910FE">
        <w:t xml:space="preserve"> these prescriptions? </w:t>
      </w:r>
    </w:p>
    <w:p w:rsidR="00E37C29" w:rsidRPr="00E37C29" w:rsidRDefault="00D759BD" w:rsidP="006E06AC">
      <w:pPr>
        <w:pStyle w:val="SingleTxtG"/>
        <w:rPr>
          <w:highlight w:val="yellow"/>
        </w:rPr>
      </w:pPr>
      <w:r>
        <w:rPr>
          <w:noProof/>
          <w:lang w:eastAsia="pt-PT"/>
        </w:rPr>
        <w:t xml:space="preserve">2. </w:t>
      </w:r>
      <w:r w:rsidR="00231E23">
        <w:rPr>
          <w:noProof/>
          <w:lang w:eastAsia="pt-PT"/>
        </w:rPr>
        <w:tab/>
      </w:r>
      <w:r w:rsidR="006B7CED" w:rsidRPr="006B7CED">
        <w:t xml:space="preserve">Wouldn't be easier if </w:t>
      </w:r>
      <w:r w:rsidR="006B7CED">
        <w:t xml:space="preserve">marking </w:t>
      </w:r>
      <w:r w:rsidR="006B7CED" w:rsidRPr="006B7CED">
        <w:t xml:space="preserve">prescriptions concerning </w:t>
      </w:r>
      <w:r w:rsidR="006B7CED">
        <w:t>m</w:t>
      </w:r>
      <w:r w:rsidR="006B7CED" w:rsidRPr="006B7CED">
        <w:t xml:space="preserve">ultiple purpose tanks were apart from prescriptions on tanks intended for </w:t>
      </w:r>
      <w:r w:rsidRPr="006B7CED">
        <w:t>carrying</w:t>
      </w:r>
      <w:r w:rsidR="006B7CED" w:rsidRPr="006B7CED">
        <w:t xml:space="preserve"> only one substance?</w:t>
      </w:r>
    </w:p>
    <w:p w:rsidR="00EF25A4" w:rsidRDefault="006E06AC" w:rsidP="00FD7370">
      <w:pPr>
        <w:pStyle w:val="HChG"/>
        <w:ind w:left="0" w:firstLine="0"/>
      </w:pPr>
      <w:r>
        <w:tab/>
      </w:r>
      <w:r>
        <w:tab/>
      </w:r>
      <w:r w:rsidR="00EF25A4">
        <w:t>Conclusion:</w:t>
      </w:r>
    </w:p>
    <w:p w:rsidR="00EF25A4" w:rsidRPr="00136AF9" w:rsidRDefault="00EF25A4" w:rsidP="006E06AC">
      <w:pPr>
        <w:pStyle w:val="SingleTxtG"/>
      </w:pPr>
      <w:r>
        <w:t>We t</w:t>
      </w:r>
      <w:r w:rsidR="006B7CED">
        <w:t>hink it would be useful if the Working G</w:t>
      </w:r>
      <w:r>
        <w:t>roup co</w:t>
      </w:r>
      <w:r w:rsidR="002842B2">
        <w:t>uld give some elucidation on these</w:t>
      </w:r>
      <w:r>
        <w:t xml:space="preserve"> matter</w:t>
      </w:r>
      <w:r w:rsidR="002842B2">
        <w:t>s</w:t>
      </w:r>
      <w:r w:rsidR="008A6C00">
        <w:t>, and</w:t>
      </w:r>
      <w:r>
        <w:t xml:space="preserve"> if possible to make guidelines with </w:t>
      </w:r>
      <w:r w:rsidR="0006297E">
        <w:t>examples of what are the best practices.</w:t>
      </w:r>
    </w:p>
    <w:sectPr w:rsidR="00EF25A4" w:rsidRPr="00136AF9" w:rsidSect="0071031A">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559" w:bottom="1701" w:left="1418" w:header="1134" w:footer="113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E1" w:rsidRDefault="00BB34E1"/>
  </w:endnote>
  <w:endnote w:type="continuationSeparator" w:id="0">
    <w:p w:rsidR="00BB34E1" w:rsidRDefault="00BB34E1"/>
  </w:endnote>
  <w:endnote w:type="continuationNotice" w:id="1">
    <w:p w:rsidR="00BB34E1" w:rsidRDefault="00BB34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1048107293"/>
      <w:docPartObj>
        <w:docPartGallery w:val="Page Numbers (Bottom of Page)"/>
        <w:docPartUnique/>
      </w:docPartObj>
    </w:sdtPr>
    <w:sdtEndPr>
      <w:rPr>
        <w:noProof/>
      </w:rPr>
    </w:sdtEndPr>
    <w:sdtContent>
      <w:p w:rsidR="00BB34E1" w:rsidRPr="002F666E" w:rsidRDefault="00BB34E1">
        <w:pPr>
          <w:pStyle w:val="Footer"/>
          <w:rPr>
            <w:b/>
            <w:sz w:val="18"/>
            <w:szCs w:val="18"/>
          </w:rPr>
        </w:pPr>
        <w:r w:rsidRPr="002F666E">
          <w:rPr>
            <w:b/>
            <w:sz w:val="18"/>
            <w:szCs w:val="18"/>
          </w:rPr>
          <w:fldChar w:fldCharType="begin"/>
        </w:r>
        <w:r w:rsidRPr="002F666E">
          <w:rPr>
            <w:b/>
            <w:sz w:val="18"/>
            <w:szCs w:val="18"/>
          </w:rPr>
          <w:instrText xml:space="preserve"> PAGE   \* MERGEFORMAT </w:instrText>
        </w:r>
        <w:r w:rsidRPr="002F666E">
          <w:rPr>
            <w:b/>
            <w:sz w:val="18"/>
            <w:szCs w:val="18"/>
          </w:rPr>
          <w:fldChar w:fldCharType="separate"/>
        </w:r>
        <w:r w:rsidR="00737CB3">
          <w:rPr>
            <w:b/>
            <w:noProof/>
            <w:sz w:val="18"/>
            <w:szCs w:val="18"/>
          </w:rPr>
          <w:t>2</w:t>
        </w:r>
        <w:r w:rsidRPr="002F666E">
          <w:rPr>
            <w:b/>
            <w:noProof/>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725374"/>
      <w:docPartObj>
        <w:docPartGallery w:val="Page Numbers (Bottom of Page)"/>
        <w:docPartUnique/>
      </w:docPartObj>
    </w:sdtPr>
    <w:sdtEndPr>
      <w:rPr>
        <w:b/>
        <w:noProof/>
        <w:sz w:val="18"/>
        <w:szCs w:val="18"/>
      </w:rPr>
    </w:sdtEndPr>
    <w:sdtContent>
      <w:p w:rsidR="00BB34E1" w:rsidRPr="00973CE8" w:rsidRDefault="00BB34E1">
        <w:pPr>
          <w:pStyle w:val="Footer"/>
          <w:jc w:val="right"/>
          <w:rPr>
            <w:b/>
            <w:sz w:val="18"/>
            <w:szCs w:val="18"/>
          </w:rPr>
        </w:pPr>
        <w:r w:rsidRPr="00973CE8">
          <w:rPr>
            <w:b/>
            <w:sz w:val="18"/>
            <w:szCs w:val="18"/>
          </w:rPr>
          <w:fldChar w:fldCharType="begin"/>
        </w:r>
        <w:r w:rsidRPr="00973CE8">
          <w:rPr>
            <w:b/>
            <w:sz w:val="18"/>
            <w:szCs w:val="18"/>
          </w:rPr>
          <w:instrText xml:space="preserve"> PAGE   \* MERGEFORMAT </w:instrText>
        </w:r>
        <w:r w:rsidRPr="00973CE8">
          <w:rPr>
            <w:b/>
            <w:sz w:val="18"/>
            <w:szCs w:val="18"/>
          </w:rPr>
          <w:fldChar w:fldCharType="separate"/>
        </w:r>
        <w:r w:rsidR="00737CB3">
          <w:rPr>
            <w:b/>
            <w:noProof/>
            <w:sz w:val="18"/>
            <w:szCs w:val="18"/>
          </w:rPr>
          <w:t>3</w:t>
        </w:r>
        <w:r w:rsidRPr="00973CE8">
          <w:rPr>
            <w:b/>
            <w:noProof/>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88242"/>
      <w:docPartObj>
        <w:docPartGallery w:val="Page Numbers (Bottom of Page)"/>
        <w:docPartUnique/>
      </w:docPartObj>
    </w:sdtPr>
    <w:sdtEndPr/>
    <w:sdtContent>
      <w:p w:rsidR="00BB34E1" w:rsidRDefault="00BB34E1">
        <w:pPr>
          <w:pStyle w:val="Footer"/>
          <w:jc w:val="right"/>
        </w:pPr>
        <w:r>
          <w:fldChar w:fldCharType="begin"/>
        </w:r>
        <w:r>
          <w:instrText>PAGE   \* MERGEFORMAT</w:instrText>
        </w:r>
        <w:r>
          <w:fldChar w:fldCharType="separate"/>
        </w:r>
        <w:r w:rsidR="00737CB3" w:rsidRPr="00737CB3">
          <w:rPr>
            <w:noProof/>
            <w:lang w:val="pt-PT"/>
          </w:rPr>
          <w:t>1</w:t>
        </w:r>
        <w:r>
          <w:fldChar w:fldCharType="end"/>
        </w:r>
      </w:p>
    </w:sdtContent>
  </w:sdt>
  <w:p w:rsidR="00BB34E1" w:rsidRDefault="00BB3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E1" w:rsidRPr="000B175B" w:rsidRDefault="00BB34E1" w:rsidP="000B175B">
      <w:pPr>
        <w:tabs>
          <w:tab w:val="right" w:pos="2155"/>
        </w:tabs>
        <w:spacing w:after="80"/>
        <w:ind w:left="680"/>
        <w:rPr>
          <w:u w:val="single"/>
        </w:rPr>
      </w:pPr>
      <w:r>
        <w:rPr>
          <w:u w:val="single"/>
        </w:rPr>
        <w:tab/>
      </w:r>
    </w:p>
  </w:footnote>
  <w:footnote w:type="continuationSeparator" w:id="0">
    <w:p w:rsidR="00BB34E1" w:rsidRPr="00FC68B7" w:rsidRDefault="00BB34E1" w:rsidP="00FC68B7">
      <w:pPr>
        <w:tabs>
          <w:tab w:val="left" w:pos="2155"/>
        </w:tabs>
        <w:spacing w:after="80"/>
        <w:ind w:left="680"/>
        <w:rPr>
          <w:u w:val="single"/>
        </w:rPr>
      </w:pPr>
      <w:r>
        <w:rPr>
          <w:u w:val="single"/>
        </w:rPr>
        <w:tab/>
      </w:r>
    </w:p>
  </w:footnote>
  <w:footnote w:type="continuationNotice" w:id="1">
    <w:p w:rsidR="00BB34E1" w:rsidRDefault="00BB34E1"/>
  </w:footnote>
  <w:footnote w:id="2">
    <w:p w:rsidR="00BB34E1" w:rsidRPr="00816022" w:rsidRDefault="00A91EAB" w:rsidP="00BB34E1">
      <w:pPr>
        <w:pStyle w:val="FootnoteText"/>
        <w:tabs>
          <w:tab w:val="clear" w:pos="1021"/>
        </w:tabs>
        <w:spacing w:after="120" w:line="228" w:lineRule="auto"/>
        <w:rPr>
          <w:sz w:val="20"/>
        </w:rPr>
      </w:pPr>
      <w:r>
        <w:rPr>
          <w:i/>
          <w:sz w:val="20"/>
        </w:rPr>
        <w:tab/>
      </w:r>
      <w:r w:rsidR="00BB34E1" w:rsidRPr="006E06AC">
        <w:rPr>
          <w:rStyle w:val="FootnoteReference"/>
          <w:sz w:val="20"/>
        </w:rPr>
        <w:t>13</w:t>
      </w:r>
      <w:r w:rsidR="00BB34E1" w:rsidRPr="00816022">
        <w:rPr>
          <w:sz w:val="20"/>
        </w:rPr>
        <w:tab/>
      </w:r>
      <w:r w:rsidR="00BB34E1" w:rsidRPr="00816022">
        <w:rPr>
          <w:iCs/>
          <w:sz w:val="20"/>
        </w:rPr>
        <w:t>Add the units of measurement after the numerical values.</w:t>
      </w:r>
    </w:p>
  </w:footnote>
  <w:footnote w:id="3">
    <w:p w:rsidR="00BB34E1" w:rsidRPr="00716C61" w:rsidRDefault="00A91EAB" w:rsidP="00636BEF">
      <w:pPr>
        <w:tabs>
          <w:tab w:val="left" w:pos="567"/>
        </w:tabs>
        <w:spacing w:after="80"/>
        <w:rPr>
          <w:i/>
        </w:rPr>
      </w:pPr>
      <w:r>
        <w:tab/>
      </w:r>
      <w:r w:rsidR="00BB34E1" w:rsidRPr="00716C61">
        <w:rPr>
          <w:rStyle w:val="FootnoteReference"/>
        </w:rPr>
        <w:t>16</w:t>
      </w:r>
      <w:r w:rsidR="00BB34E1" w:rsidRPr="00716C61">
        <w:tab/>
      </w:r>
      <w:proofErr w:type="gramStart"/>
      <w:r w:rsidR="00BB34E1" w:rsidRPr="00716C61">
        <w:rPr>
          <w:i/>
        </w:rPr>
        <w:t xml:space="preserve">Instead of the proper shipping name or, if applicable, of the proper shipping name of the </w:t>
      </w:r>
      <w:proofErr w:type="spellStart"/>
      <w:r w:rsidR="00BB34E1" w:rsidRPr="00716C61">
        <w:rPr>
          <w:i/>
        </w:rPr>
        <w:t>n.o.s</w:t>
      </w:r>
      <w:proofErr w:type="spellEnd"/>
      <w:r w:rsidR="00BB34E1" w:rsidRPr="00716C61">
        <w:rPr>
          <w:i/>
        </w:rPr>
        <w:t>.</w:t>
      </w:r>
      <w:proofErr w:type="gramEnd"/>
      <w:r w:rsidR="00BB34E1" w:rsidRPr="00716C61">
        <w:rPr>
          <w:i/>
        </w:rPr>
        <w:t xml:space="preserve"> </w:t>
      </w:r>
      <w:r>
        <w:rPr>
          <w:i/>
        </w:rPr>
        <w:tab/>
      </w:r>
      <w:r>
        <w:rPr>
          <w:i/>
        </w:rPr>
        <w:tab/>
      </w:r>
      <w:r w:rsidR="00BB34E1" w:rsidRPr="00716C61">
        <w:rPr>
          <w:i/>
        </w:rPr>
        <w:t>entry followed by the technical name, the use of the following names is permitted:</w:t>
      </w:r>
    </w:p>
    <w:p w:rsidR="00BB34E1" w:rsidRPr="00716C61" w:rsidRDefault="00BB34E1" w:rsidP="00636BEF">
      <w:pPr>
        <w:tabs>
          <w:tab w:val="left" w:pos="-1440"/>
        </w:tabs>
        <w:spacing w:after="80"/>
        <w:ind w:left="1134" w:hanging="567"/>
        <w:rPr>
          <w:i/>
        </w:rPr>
      </w:pPr>
      <w:r w:rsidRPr="00716C61">
        <w:rPr>
          <w:i/>
        </w:rPr>
        <w:t>-</w:t>
      </w:r>
      <w:r w:rsidRPr="00716C61">
        <w:rPr>
          <w:i/>
        </w:rPr>
        <w:tab/>
        <w:t xml:space="preserve">for UN No. 1078 refrigerant gas, </w:t>
      </w:r>
      <w:proofErr w:type="spellStart"/>
      <w:r w:rsidRPr="00716C61">
        <w:rPr>
          <w:i/>
        </w:rPr>
        <w:t>n.o.s</w:t>
      </w:r>
      <w:proofErr w:type="spellEnd"/>
      <w:r w:rsidRPr="00716C61">
        <w:rPr>
          <w:i/>
        </w:rPr>
        <w:t>: mixture F1, mixture F2, mixture F3;</w:t>
      </w:r>
    </w:p>
    <w:p w:rsidR="00BB34E1" w:rsidRPr="00716C61" w:rsidRDefault="00BB34E1" w:rsidP="00636BEF">
      <w:pPr>
        <w:spacing w:after="80"/>
        <w:ind w:left="1134" w:hanging="567"/>
        <w:rPr>
          <w:i/>
        </w:rPr>
      </w:pPr>
      <w:r w:rsidRPr="00716C61">
        <w:rPr>
          <w:i/>
        </w:rPr>
        <w:t>-</w:t>
      </w:r>
      <w:r w:rsidRPr="00716C61">
        <w:rPr>
          <w:i/>
        </w:rPr>
        <w:tab/>
        <w:t xml:space="preserve">for UN No. 1060 </w:t>
      </w:r>
      <w:proofErr w:type="spellStart"/>
      <w:r w:rsidRPr="00716C61">
        <w:rPr>
          <w:i/>
        </w:rPr>
        <w:t>methylacetylene</w:t>
      </w:r>
      <w:proofErr w:type="spellEnd"/>
      <w:r w:rsidRPr="00716C61">
        <w:rPr>
          <w:i/>
        </w:rPr>
        <w:t xml:space="preserve"> and </w:t>
      </w:r>
      <w:proofErr w:type="spellStart"/>
      <w:r w:rsidRPr="00716C61">
        <w:rPr>
          <w:i/>
        </w:rPr>
        <w:t>propadiene</w:t>
      </w:r>
      <w:proofErr w:type="spellEnd"/>
      <w:r w:rsidRPr="00716C61">
        <w:rPr>
          <w:i/>
        </w:rPr>
        <w:t xml:space="preserve"> mixtures, stabilized: mixture P1, mixture P2;</w:t>
      </w:r>
    </w:p>
    <w:p w:rsidR="00BB34E1" w:rsidRPr="00716C61" w:rsidRDefault="00BB34E1" w:rsidP="00636BEF">
      <w:pPr>
        <w:tabs>
          <w:tab w:val="left" w:pos="-1440"/>
        </w:tabs>
        <w:spacing w:after="80"/>
        <w:ind w:left="1134" w:hanging="567"/>
        <w:rPr>
          <w:i/>
          <w:iCs/>
        </w:rPr>
      </w:pPr>
      <w:r w:rsidRPr="00716C61">
        <w:rPr>
          <w:i/>
        </w:rPr>
        <w:t>-</w:t>
      </w:r>
      <w:r w:rsidRPr="00716C61">
        <w:rPr>
          <w:i/>
        </w:rPr>
        <w:tab/>
      </w:r>
      <w:r w:rsidRPr="00716C61">
        <w:rPr>
          <w:i/>
          <w:iCs/>
        </w:rPr>
        <w:t xml:space="preserve">for UN No. 1965 hydrocarbon gas mixture, liquefied, </w:t>
      </w:r>
      <w:proofErr w:type="spellStart"/>
      <w:r w:rsidRPr="00716C61">
        <w:rPr>
          <w:i/>
          <w:iCs/>
        </w:rPr>
        <w:t>n.o.s</w:t>
      </w:r>
      <w:proofErr w:type="spellEnd"/>
      <w:r w:rsidRPr="00716C61">
        <w:rPr>
          <w:i/>
          <w:iCs/>
        </w:rPr>
        <w:t>: mixture A, mixture A01, mixture A02, mixture A0, mixture A1, mixture B1, mixture B2, mixture B, mixture C. The names customary in the trade and mentioned in 2.2.2.3, Classification code 2F, UN No. 1965, Note 1 may be used only as a complement;</w:t>
      </w:r>
    </w:p>
    <w:p w:rsidR="00BB34E1" w:rsidRPr="00716C61" w:rsidRDefault="00BB34E1" w:rsidP="00636BEF">
      <w:pPr>
        <w:tabs>
          <w:tab w:val="left" w:pos="-1440"/>
        </w:tabs>
        <w:spacing w:after="80"/>
        <w:ind w:left="1134" w:hanging="567"/>
      </w:pPr>
      <w:r w:rsidRPr="00716C61">
        <w:rPr>
          <w:i/>
        </w:rPr>
        <w:t>-</w:t>
      </w:r>
      <w:r w:rsidRPr="00716C61">
        <w:rPr>
          <w:i/>
        </w:rPr>
        <w:tab/>
        <w:t xml:space="preserve">for UN No. 1010 </w:t>
      </w:r>
      <w:proofErr w:type="spellStart"/>
      <w:r w:rsidRPr="00716C61">
        <w:rPr>
          <w:i/>
        </w:rPr>
        <w:t>Butadienes</w:t>
      </w:r>
      <w:proofErr w:type="spellEnd"/>
      <w:r w:rsidRPr="00716C61">
        <w:rPr>
          <w:i/>
        </w:rPr>
        <w:t>, stabilized: 1,2-Butadiene, stabilized, 1,3-Butadiene, stabilized.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E1" w:rsidRPr="002F666E" w:rsidRDefault="00BB34E1" w:rsidP="002F666E">
    <w:pPr>
      <w:pBdr>
        <w:bottom w:val="single" w:sz="4" w:space="1" w:color="auto"/>
      </w:pBdr>
      <w:rPr>
        <w:b/>
        <w:sz w:val="18"/>
        <w:szCs w:val="18"/>
      </w:rPr>
    </w:pPr>
    <w:r>
      <w:rPr>
        <w:b/>
        <w:noProof/>
        <w:sz w:val="18"/>
        <w:szCs w:val="18"/>
        <w:lang w:eastAsia="en-GB"/>
      </w:rPr>
      <mc:AlternateContent>
        <mc:Choice Requires="wps">
          <w:drawing>
            <wp:anchor distT="0" distB="0" distL="114300" distR="114300" simplePos="0" relativeHeight="251659264" behindDoc="0" locked="0" layoutInCell="1" allowOverlap="1" wp14:anchorId="64A2BB2C" wp14:editId="51F36B03">
              <wp:simplePos x="0" y="0"/>
              <wp:positionH relativeFrom="page">
                <wp:posOffset>9791700</wp:posOffset>
              </wp:positionH>
              <wp:positionV relativeFrom="margin">
                <wp:posOffset>0</wp:posOffset>
              </wp:positionV>
              <wp:extent cx="219075" cy="61245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B34E1" w:rsidRPr="008E4827" w:rsidRDefault="00BB34E1" w:rsidP="008E4827">
                          <w:pPr>
                            <w:pStyle w:val="Header"/>
                          </w:pPr>
                          <w:r>
                            <w:t>INF.30</w:t>
                          </w:r>
                        </w:p>
                        <w:p w:rsidR="00BB34E1" w:rsidRDefault="00BB34E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0;width:17.25pt;height:48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" fillcolor="white [3212]" stroked="f">
              <v:stroke joinstyle="round"/>
              <v:path arrowok="t"/>
              <v:textbox style="layout-flow:vertical" inset="0,0,0,0">
                <w:txbxContent>
                  <w:p w:rsidR="00BB34E1" w:rsidRPr="008E4827" w:rsidRDefault="00BB34E1" w:rsidP="008E4827">
                    <w:pPr>
                      <w:pStyle w:val="Header"/>
                    </w:pPr>
                    <w:r>
                      <w:t>INF.30</w:t>
                    </w:r>
                  </w:p>
                  <w:p w:rsidR="00BB34E1" w:rsidRDefault="00BB34E1"/>
                </w:txbxContent>
              </v:textbox>
              <w10:wrap anchorx="page" anchory="margin"/>
            </v:shape>
          </w:pict>
        </mc:Fallback>
      </mc:AlternateContent>
    </w:r>
    <w:r>
      <w:rPr>
        <w:b/>
        <w:sz w:val="18"/>
        <w:szCs w:val="18"/>
      </w:rPr>
      <w:t>INF.28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4E1" w:rsidRPr="008E4827" w:rsidRDefault="00BB34E1" w:rsidP="00973CE8">
    <w:pPr>
      <w:pBdr>
        <w:bottom w:val="single" w:sz="4" w:space="1" w:color="auto"/>
      </w:pBdr>
      <w:jc w:val="right"/>
    </w:pPr>
    <w:r>
      <w:rPr>
        <w:b/>
        <w:noProof/>
        <w:sz w:val="18"/>
        <w:szCs w:val="18"/>
        <w:lang w:eastAsia="en-GB"/>
      </w:rPr>
      <mc:AlternateContent>
        <mc:Choice Requires="wps">
          <w:drawing>
            <wp:anchor distT="0" distB="0" distL="114300" distR="114300" simplePos="0" relativeHeight="251664384" behindDoc="0" locked="0" layoutInCell="1" allowOverlap="1" wp14:anchorId="0207A9F1" wp14:editId="7B0F3007">
              <wp:simplePos x="0" y="0"/>
              <wp:positionH relativeFrom="page">
                <wp:posOffset>9791700</wp:posOffset>
              </wp:positionH>
              <wp:positionV relativeFrom="margin">
                <wp:posOffset>0</wp:posOffset>
              </wp:positionV>
              <wp:extent cx="219075" cy="61245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B34E1" w:rsidRPr="008E4827" w:rsidRDefault="00BB34E1" w:rsidP="00973CE8">
                          <w:pPr>
                            <w:pStyle w:val="Header"/>
                          </w:pPr>
                          <w:r>
                            <w:t>INF.30</w:t>
                          </w:r>
                        </w:p>
                        <w:p w:rsidR="00BB34E1" w:rsidRDefault="00BB34E1" w:rsidP="00973CE8"/>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771pt;margin-top:0;width:17.25pt;height:48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D7IGf8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BB34E1" w:rsidRPr="008E4827" w:rsidRDefault="00BB34E1" w:rsidP="00973CE8">
                    <w:pPr>
                      <w:pStyle w:val="Header"/>
                    </w:pPr>
                    <w:r>
                      <w:t>INF.30</w:t>
                    </w:r>
                  </w:p>
                  <w:p w:rsidR="00BB34E1" w:rsidRDefault="00BB34E1" w:rsidP="00973CE8"/>
                </w:txbxContent>
              </v:textbox>
              <w10:wrap anchorx="page" anchory="margin"/>
            </v:shape>
          </w:pict>
        </mc:Fallback>
      </mc:AlternateContent>
    </w:r>
    <w:r>
      <w:rPr>
        <w:b/>
        <w:sz w:val="18"/>
        <w:szCs w:val="18"/>
      </w:rPr>
      <w:t>INF</w:t>
    </w:r>
    <w:proofErr w:type="gramStart"/>
    <w:r>
      <w:rPr>
        <w:b/>
        <w:sz w:val="18"/>
        <w:szCs w:val="18"/>
      </w:rPr>
      <w:t>.</w:t>
    </w:r>
    <w:proofErr w:type="gramEnd"/>
    <w:r>
      <w:rPr>
        <w:noProof/>
        <w:lang w:eastAsia="en-GB"/>
      </w:rPr>
      <mc:AlternateContent>
        <mc:Choice Requires="wps">
          <w:drawing>
            <wp:anchor distT="0" distB="0" distL="114300" distR="114300" simplePos="0" relativeHeight="251661312" behindDoc="0" locked="0" layoutInCell="1" allowOverlap="1" wp14:anchorId="10B28691" wp14:editId="2BE12332">
              <wp:simplePos x="0" y="0"/>
              <wp:positionH relativeFrom="page">
                <wp:posOffset>9791700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solidFill>
                        <a:schemeClr val="bg1"/>
                      </a:solid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B34E1" w:rsidRPr="008E4827" w:rsidRDefault="00BB34E1" w:rsidP="008E4827">
                          <w:pPr>
                            <w:pStyle w:val="Header"/>
                            <w:jc w:val="right"/>
                          </w:pPr>
                          <w:r>
                            <w:t>INF.30</w:t>
                          </w:r>
                        </w:p>
                        <w:p w:rsidR="00BB34E1" w:rsidRDefault="00BB34E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71pt;margin-top:0;width:17.25pt;height:482.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" fillcolor="white [3212]" stroked="f">
              <v:stroke joinstyle="round"/>
              <v:path arrowok="t"/>
              <v:textbox style="layout-flow:vertical" inset="0,0,0,0">
                <w:txbxContent>
                  <w:p w:rsidR="00BB34E1" w:rsidRPr="008E4827" w:rsidRDefault="00BB34E1" w:rsidP="008E4827">
                    <w:pPr>
                      <w:pStyle w:val="Header"/>
                      <w:jc w:val="right"/>
                    </w:pPr>
                    <w:r>
                      <w:t>INF.30</w:t>
                    </w:r>
                  </w:p>
                  <w:p w:rsidR="00BB34E1" w:rsidRDefault="00BB34E1"/>
                </w:txbxContent>
              </v:textbox>
              <w10:wrap anchorx="page" anchory="margin"/>
            </v:shape>
          </w:pict>
        </mc:Fallback>
      </mc:AlternateContent>
    </w:r>
    <w:r>
      <w:rPr>
        <w:b/>
        <w:sz w:val="18"/>
        <w:szCs w:val="18"/>
      </w:rPr>
      <w:t>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5"/>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4"/>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3"/>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Bullet2"/>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2"/>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Number5"/>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Bullet"/>
      <w:lvlText w:val="%1."/>
      <w:lvlJc w:val="left"/>
      <w:pPr>
        <w:tabs>
          <w:tab w:val="num" w:pos="360"/>
        </w:tabs>
        <w:ind w:left="360" w:hanging="360"/>
      </w:pPr>
      <w:rPr>
        <w:rFonts w:cs="Times New Roman"/>
      </w:rPr>
    </w:lvl>
  </w:abstractNum>
  <w:abstractNum w:abstractNumId="9">
    <w:nsid w:val="FFFFFF89"/>
    <w:multiLevelType w:val="singleLevel"/>
    <w:tmpl w:val="8A541A70"/>
    <w:lvl w:ilvl="0">
      <w:start w:val="1"/>
      <w:numFmt w:val="bullet"/>
      <w:pStyle w:val="ListNumber4"/>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48D4880"/>
    <w:multiLevelType w:val="hybridMultilevel"/>
    <w:tmpl w:val="0A0CD31A"/>
    <w:lvl w:ilvl="0" w:tplc="A2F04B8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6B015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D4475C3"/>
    <w:multiLevelType w:val="hybridMultilevel"/>
    <w:tmpl w:val="05A4D50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7">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12325"/>
    <w:multiLevelType w:val="hybridMultilevel"/>
    <w:tmpl w:val="FF0E5B48"/>
    <w:lvl w:ilvl="0" w:tplc="6D5E22D8">
      <w:start w:val="1"/>
      <w:numFmt w:val="bullet"/>
      <w:pStyle w:val="Heading1"/>
      <w:lvlText w:val="•"/>
      <w:lvlJc w:val="left"/>
      <w:pPr>
        <w:tabs>
          <w:tab w:val="num" w:pos="1701"/>
        </w:tabs>
        <w:ind w:left="1701" w:hanging="170"/>
      </w:pPr>
      <w:rPr>
        <w:rFonts w:ascii="Times New Roman" w:hAnsi="Times New Roman" w:hint="default"/>
        <w:b w:val="0"/>
        <w:i w:val="0"/>
        <w:sz w:val="20"/>
      </w:rPr>
    </w:lvl>
    <w:lvl w:ilvl="1" w:tplc="04090003" w:tentative="1">
      <w:start w:val="1"/>
      <w:numFmt w:val="bullet"/>
      <w:pStyle w:val="Heading2"/>
      <w:lvlText w:val="o"/>
      <w:lvlJc w:val="left"/>
      <w:pPr>
        <w:tabs>
          <w:tab w:val="num" w:pos="1440"/>
        </w:tabs>
        <w:ind w:left="1440" w:hanging="360"/>
      </w:pPr>
      <w:rPr>
        <w:rFonts w:ascii="Courier New" w:hAnsi="Courier New" w:hint="default"/>
      </w:rPr>
    </w:lvl>
    <w:lvl w:ilvl="2" w:tplc="04090005" w:tentative="1">
      <w:start w:val="1"/>
      <w:numFmt w:val="bullet"/>
      <w:pStyle w:val="Heading3"/>
      <w:lvlText w:val=""/>
      <w:lvlJc w:val="left"/>
      <w:pPr>
        <w:tabs>
          <w:tab w:val="num" w:pos="2160"/>
        </w:tabs>
        <w:ind w:left="2160" w:hanging="360"/>
      </w:pPr>
      <w:rPr>
        <w:rFonts w:ascii="Wingdings" w:hAnsi="Wingdings" w:hint="default"/>
      </w:rPr>
    </w:lvl>
    <w:lvl w:ilvl="3" w:tplc="04090001">
      <w:start w:val="1"/>
      <w:numFmt w:val="bullet"/>
      <w:pStyle w:val="Heading4"/>
      <w:lvlText w:val=""/>
      <w:lvlJc w:val="left"/>
      <w:pPr>
        <w:tabs>
          <w:tab w:val="num" w:pos="2880"/>
        </w:tabs>
        <w:ind w:left="2880" w:hanging="360"/>
      </w:pPr>
      <w:rPr>
        <w:rFonts w:ascii="Symbol" w:hAnsi="Symbol" w:hint="default"/>
      </w:rPr>
    </w:lvl>
    <w:lvl w:ilvl="4" w:tplc="04090003" w:tentative="1">
      <w:start w:val="1"/>
      <w:numFmt w:val="bullet"/>
      <w:pStyle w:val="Heading5"/>
      <w:lvlText w:val="o"/>
      <w:lvlJc w:val="left"/>
      <w:pPr>
        <w:tabs>
          <w:tab w:val="num" w:pos="3600"/>
        </w:tabs>
        <w:ind w:left="3600" w:hanging="360"/>
      </w:pPr>
      <w:rPr>
        <w:rFonts w:ascii="Courier New" w:hAnsi="Courier New" w:hint="default"/>
      </w:rPr>
    </w:lvl>
    <w:lvl w:ilvl="5" w:tplc="04090005" w:tentative="1">
      <w:start w:val="1"/>
      <w:numFmt w:val="bullet"/>
      <w:pStyle w:val="Heading6"/>
      <w:lvlText w:val=""/>
      <w:lvlJc w:val="left"/>
      <w:pPr>
        <w:tabs>
          <w:tab w:val="num" w:pos="4320"/>
        </w:tabs>
        <w:ind w:left="4320" w:hanging="360"/>
      </w:pPr>
      <w:rPr>
        <w:rFonts w:ascii="Wingdings" w:hAnsi="Wingdings" w:hint="default"/>
      </w:rPr>
    </w:lvl>
    <w:lvl w:ilvl="6" w:tplc="04090001" w:tentative="1">
      <w:start w:val="1"/>
      <w:numFmt w:val="bullet"/>
      <w:pStyle w:val="Heading7"/>
      <w:lvlText w:val=""/>
      <w:lvlJc w:val="left"/>
      <w:pPr>
        <w:tabs>
          <w:tab w:val="num" w:pos="5040"/>
        </w:tabs>
        <w:ind w:left="5040" w:hanging="360"/>
      </w:pPr>
      <w:rPr>
        <w:rFonts w:ascii="Symbol" w:hAnsi="Symbol" w:hint="default"/>
      </w:rPr>
    </w:lvl>
    <w:lvl w:ilvl="7" w:tplc="04090003" w:tentative="1">
      <w:start w:val="1"/>
      <w:numFmt w:val="bullet"/>
      <w:pStyle w:val="Heading8"/>
      <w:lvlText w:val="o"/>
      <w:lvlJc w:val="left"/>
      <w:pPr>
        <w:tabs>
          <w:tab w:val="num" w:pos="5760"/>
        </w:tabs>
        <w:ind w:left="5760" w:hanging="360"/>
      </w:pPr>
      <w:rPr>
        <w:rFonts w:ascii="Courier New" w:hAnsi="Courier New" w:hint="default"/>
      </w:rPr>
    </w:lvl>
    <w:lvl w:ilvl="8" w:tplc="04090005" w:tentative="1">
      <w:start w:val="1"/>
      <w:numFmt w:val="bullet"/>
      <w:pStyle w:val="Heading9"/>
      <w:lvlText w:val=""/>
      <w:lvlJc w:val="left"/>
      <w:pPr>
        <w:tabs>
          <w:tab w:val="num" w:pos="6480"/>
        </w:tabs>
        <w:ind w:left="6480" w:hanging="360"/>
      </w:pPr>
      <w:rPr>
        <w:rFonts w:ascii="Wingdings" w:hAnsi="Wingdings" w:hint="default"/>
      </w:rPr>
    </w:lvl>
  </w:abstractNum>
  <w:abstractNum w:abstractNumId="19">
    <w:nsid w:val="3F805141"/>
    <w:multiLevelType w:val="hybridMultilevel"/>
    <w:tmpl w:val="2916815A"/>
    <w:lvl w:ilvl="0" w:tplc="29168E4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4CF214E0"/>
    <w:multiLevelType w:val="hybridMultilevel"/>
    <w:tmpl w:val="C0BA5150"/>
    <w:lvl w:ilvl="0" w:tplc="826CD360">
      <w:start w:val="1"/>
      <w:numFmt w:val="decimal"/>
      <w:lvlText w:val="%1."/>
      <w:lvlJc w:val="left"/>
      <w:pPr>
        <w:ind w:left="360" w:hanging="360"/>
      </w:pPr>
      <w:rPr>
        <w:rFonts w:ascii="Times New Roman" w:hAnsi="Times New Roman" w:hint="default"/>
        <w:b/>
        <w:i w:val="0"/>
        <w:sz w:val="2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4F14A04"/>
    <w:multiLevelType w:val="hybridMultilevel"/>
    <w:tmpl w:val="0F8E0BF2"/>
    <w:lvl w:ilvl="0" w:tplc="F404D8B4">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AD3696F"/>
    <w:multiLevelType w:val="singleLevel"/>
    <w:tmpl w:val="B882F8CE"/>
    <w:lvl w:ilvl="0">
      <w:start w:val="14"/>
      <w:numFmt w:val="lowerLetter"/>
      <w:lvlText w:val="(%1)"/>
      <w:lvlJc w:val="left"/>
      <w:pPr>
        <w:tabs>
          <w:tab w:val="num" w:pos="1973"/>
        </w:tabs>
        <w:ind w:left="1973" w:hanging="555"/>
      </w:pPr>
      <w:rPr>
        <w:rFonts w:hint="default"/>
      </w:rPr>
    </w:lvl>
  </w:abstractNum>
  <w:num w:numId="1">
    <w:abstractNumId w:val="11"/>
  </w:num>
  <w:num w:numId="2">
    <w:abstractNumId w:val="23"/>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7"/>
  </w:num>
  <w:num w:numId="16">
    <w:abstractNumId w:val="10"/>
  </w:num>
  <w:num w:numId="17">
    <w:abstractNumId w:val="21"/>
  </w:num>
  <w:num w:numId="18">
    <w:abstractNumId w:val="14"/>
  </w:num>
  <w:num w:numId="19">
    <w:abstractNumId w:val="13"/>
  </w:num>
  <w:num w:numId="20">
    <w:abstractNumId w:val="22"/>
  </w:num>
  <w:num w:numId="21">
    <w:abstractNumId w:val="19"/>
  </w:num>
  <w:num w:numId="22">
    <w:abstractNumId w:val="15"/>
  </w:num>
  <w:num w:numId="23">
    <w:abstractNumId w:val="24"/>
  </w:num>
  <w:num w:numId="24">
    <w:abstractNumId w:val="20"/>
  </w:num>
  <w:num w:numId="2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304"/>
    <w:rsid w:val="00020BF8"/>
    <w:rsid w:val="00024A7E"/>
    <w:rsid w:val="00050F6B"/>
    <w:rsid w:val="00060CC2"/>
    <w:rsid w:val="0006297E"/>
    <w:rsid w:val="00072C8C"/>
    <w:rsid w:val="00075A81"/>
    <w:rsid w:val="00080813"/>
    <w:rsid w:val="000931C0"/>
    <w:rsid w:val="000B175B"/>
    <w:rsid w:val="000B3A0F"/>
    <w:rsid w:val="000C6895"/>
    <w:rsid w:val="000D4C2D"/>
    <w:rsid w:val="000D638A"/>
    <w:rsid w:val="000E0415"/>
    <w:rsid w:val="000E0D29"/>
    <w:rsid w:val="001220B8"/>
    <w:rsid w:val="0013426E"/>
    <w:rsid w:val="00136AF9"/>
    <w:rsid w:val="00150820"/>
    <w:rsid w:val="001571E3"/>
    <w:rsid w:val="0017309A"/>
    <w:rsid w:val="00176F1C"/>
    <w:rsid w:val="001B4B04"/>
    <w:rsid w:val="001C28B4"/>
    <w:rsid w:val="001C6663"/>
    <w:rsid w:val="001C7895"/>
    <w:rsid w:val="001D26DF"/>
    <w:rsid w:val="0020218B"/>
    <w:rsid w:val="00205165"/>
    <w:rsid w:val="00211E0B"/>
    <w:rsid w:val="00231E23"/>
    <w:rsid w:val="002405A7"/>
    <w:rsid w:val="00246BBC"/>
    <w:rsid w:val="00282A88"/>
    <w:rsid w:val="002842B2"/>
    <w:rsid w:val="00290CA5"/>
    <w:rsid w:val="00291BC2"/>
    <w:rsid w:val="002A7F0E"/>
    <w:rsid w:val="002B61AA"/>
    <w:rsid w:val="002F666E"/>
    <w:rsid w:val="003107FA"/>
    <w:rsid w:val="003229D8"/>
    <w:rsid w:val="00327364"/>
    <w:rsid w:val="0033745A"/>
    <w:rsid w:val="0039277A"/>
    <w:rsid w:val="003972E0"/>
    <w:rsid w:val="003B3C09"/>
    <w:rsid w:val="003C2CC4"/>
    <w:rsid w:val="003C3936"/>
    <w:rsid w:val="003C4990"/>
    <w:rsid w:val="003D4B23"/>
    <w:rsid w:val="003F1ED3"/>
    <w:rsid w:val="00417177"/>
    <w:rsid w:val="004325CB"/>
    <w:rsid w:val="00446DE4"/>
    <w:rsid w:val="004A149C"/>
    <w:rsid w:val="004A41CA"/>
    <w:rsid w:val="00503228"/>
    <w:rsid w:val="00505384"/>
    <w:rsid w:val="00532813"/>
    <w:rsid w:val="005420F2"/>
    <w:rsid w:val="00542453"/>
    <w:rsid w:val="00542A78"/>
    <w:rsid w:val="005526ED"/>
    <w:rsid w:val="00586EFD"/>
    <w:rsid w:val="00596B3A"/>
    <w:rsid w:val="005A13D4"/>
    <w:rsid w:val="005B3DB3"/>
    <w:rsid w:val="005B5FB6"/>
    <w:rsid w:val="005C641E"/>
    <w:rsid w:val="005D72DF"/>
    <w:rsid w:val="00601D51"/>
    <w:rsid w:val="00606DBB"/>
    <w:rsid w:val="00611FC4"/>
    <w:rsid w:val="006176FB"/>
    <w:rsid w:val="00627ED0"/>
    <w:rsid w:val="00636BEF"/>
    <w:rsid w:val="00640B26"/>
    <w:rsid w:val="00650113"/>
    <w:rsid w:val="006574C9"/>
    <w:rsid w:val="00665595"/>
    <w:rsid w:val="006A7392"/>
    <w:rsid w:val="006B54DB"/>
    <w:rsid w:val="006B5C00"/>
    <w:rsid w:val="006B7CED"/>
    <w:rsid w:val="006E06AC"/>
    <w:rsid w:val="006E564B"/>
    <w:rsid w:val="0071031A"/>
    <w:rsid w:val="0072632A"/>
    <w:rsid w:val="00733C03"/>
    <w:rsid w:val="00737CB3"/>
    <w:rsid w:val="00743CD6"/>
    <w:rsid w:val="00757625"/>
    <w:rsid w:val="0076414F"/>
    <w:rsid w:val="007B6BA5"/>
    <w:rsid w:val="007C3390"/>
    <w:rsid w:val="007C4F4B"/>
    <w:rsid w:val="007E47D2"/>
    <w:rsid w:val="007F0B83"/>
    <w:rsid w:val="007F6611"/>
    <w:rsid w:val="008028EB"/>
    <w:rsid w:val="00802FC4"/>
    <w:rsid w:val="008165F4"/>
    <w:rsid w:val="008175E9"/>
    <w:rsid w:val="008242D7"/>
    <w:rsid w:val="00827E05"/>
    <w:rsid w:val="008311A3"/>
    <w:rsid w:val="00871430"/>
    <w:rsid w:val="00871B93"/>
    <w:rsid w:val="00871FD5"/>
    <w:rsid w:val="00894D56"/>
    <w:rsid w:val="008979B1"/>
    <w:rsid w:val="008A6B25"/>
    <w:rsid w:val="008A6C00"/>
    <w:rsid w:val="008A6C4F"/>
    <w:rsid w:val="008E0E46"/>
    <w:rsid w:val="008E2F39"/>
    <w:rsid w:val="008E4827"/>
    <w:rsid w:val="00907AD2"/>
    <w:rsid w:val="00963CBA"/>
    <w:rsid w:val="00973CE8"/>
    <w:rsid w:val="00973FC5"/>
    <w:rsid w:val="00974A8D"/>
    <w:rsid w:val="00991261"/>
    <w:rsid w:val="009A354B"/>
    <w:rsid w:val="009B77FA"/>
    <w:rsid w:val="009F3A17"/>
    <w:rsid w:val="00A1427D"/>
    <w:rsid w:val="00A72F22"/>
    <w:rsid w:val="00A748A6"/>
    <w:rsid w:val="00A76284"/>
    <w:rsid w:val="00A84F42"/>
    <w:rsid w:val="00A85956"/>
    <w:rsid w:val="00A879A4"/>
    <w:rsid w:val="00A910FE"/>
    <w:rsid w:val="00A91EAB"/>
    <w:rsid w:val="00AA7EDB"/>
    <w:rsid w:val="00AB675A"/>
    <w:rsid w:val="00AC7ABF"/>
    <w:rsid w:val="00AD522E"/>
    <w:rsid w:val="00AE2EDD"/>
    <w:rsid w:val="00B30179"/>
    <w:rsid w:val="00B33EC0"/>
    <w:rsid w:val="00B46372"/>
    <w:rsid w:val="00B67C0F"/>
    <w:rsid w:val="00B81E12"/>
    <w:rsid w:val="00BA1B96"/>
    <w:rsid w:val="00BB34E1"/>
    <w:rsid w:val="00BC4DB5"/>
    <w:rsid w:val="00BC74E9"/>
    <w:rsid w:val="00BD2146"/>
    <w:rsid w:val="00BD4589"/>
    <w:rsid w:val="00BE4F74"/>
    <w:rsid w:val="00BE618E"/>
    <w:rsid w:val="00BF37AD"/>
    <w:rsid w:val="00C17699"/>
    <w:rsid w:val="00C41A28"/>
    <w:rsid w:val="00C463DD"/>
    <w:rsid w:val="00C50304"/>
    <w:rsid w:val="00C52150"/>
    <w:rsid w:val="00C745C3"/>
    <w:rsid w:val="00C74607"/>
    <w:rsid w:val="00CB0D82"/>
    <w:rsid w:val="00CE4A8F"/>
    <w:rsid w:val="00CE6B2A"/>
    <w:rsid w:val="00CF387A"/>
    <w:rsid w:val="00D2031B"/>
    <w:rsid w:val="00D25FE2"/>
    <w:rsid w:val="00D317BB"/>
    <w:rsid w:val="00D341E4"/>
    <w:rsid w:val="00D43252"/>
    <w:rsid w:val="00D759BD"/>
    <w:rsid w:val="00D93847"/>
    <w:rsid w:val="00D978C6"/>
    <w:rsid w:val="00DA67AD"/>
    <w:rsid w:val="00DB5D0F"/>
    <w:rsid w:val="00DC7A7D"/>
    <w:rsid w:val="00DF12F7"/>
    <w:rsid w:val="00E02C81"/>
    <w:rsid w:val="00E130AB"/>
    <w:rsid w:val="00E1535A"/>
    <w:rsid w:val="00E15E07"/>
    <w:rsid w:val="00E37C29"/>
    <w:rsid w:val="00E7260F"/>
    <w:rsid w:val="00E87921"/>
    <w:rsid w:val="00E96630"/>
    <w:rsid w:val="00EA264E"/>
    <w:rsid w:val="00EA2CA5"/>
    <w:rsid w:val="00EC7132"/>
    <w:rsid w:val="00ED7A2A"/>
    <w:rsid w:val="00EE28FB"/>
    <w:rsid w:val="00EF1D7F"/>
    <w:rsid w:val="00EF25A4"/>
    <w:rsid w:val="00F208BF"/>
    <w:rsid w:val="00F4666B"/>
    <w:rsid w:val="00F53EDA"/>
    <w:rsid w:val="00F7753D"/>
    <w:rsid w:val="00F8498E"/>
    <w:rsid w:val="00F85F34"/>
    <w:rsid w:val="00F95411"/>
    <w:rsid w:val="00F973E6"/>
    <w:rsid w:val="00FA06F7"/>
    <w:rsid w:val="00FB171A"/>
    <w:rsid w:val="00FC68B7"/>
    <w:rsid w:val="00FD283E"/>
    <w:rsid w:val="00FD7370"/>
    <w:rsid w:val="00FD77B9"/>
    <w:rsid w:val="00FD7BF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 w:type="character" w:customStyle="1" w:styleId="RodapCarcter">
    <w:name w:val="Rodapé Carácter"/>
    <w:basedOn w:val="DefaultParagraphFont"/>
    <w:uiPriority w:val="99"/>
    <w:rsid w:val="000D638A"/>
    <w:rPr>
      <w:rFonts w:eastAsiaTheme="minorHAnsi"/>
      <w:sz w:val="21"/>
    </w:rPr>
  </w:style>
  <w:style w:type="paragraph" w:styleId="CommentSubject">
    <w:name w:val="annotation subject"/>
    <w:basedOn w:val="CommentText"/>
    <w:next w:val="CommentText"/>
    <w:link w:val="CommentSubjectChar"/>
    <w:rsid w:val="00532813"/>
    <w:pPr>
      <w:spacing w:line="240" w:lineRule="auto"/>
    </w:pPr>
    <w:rPr>
      <w:b/>
      <w:bCs/>
    </w:rPr>
  </w:style>
  <w:style w:type="character" w:customStyle="1" w:styleId="CommentSubjectChar">
    <w:name w:val="Comment Subject Char"/>
    <w:basedOn w:val="CommentTextChar"/>
    <w:link w:val="CommentSubject"/>
    <w:rsid w:val="0053281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14"/>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14"/>
      </w:numPr>
      <w:spacing w:line="240" w:lineRule="auto"/>
      <w:outlineLvl w:val="1"/>
    </w:pPr>
  </w:style>
  <w:style w:type="paragraph" w:styleId="Heading3">
    <w:name w:val="heading 3"/>
    <w:basedOn w:val="Normal"/>
    <w:next w:val="Normal"/>
    <w:link w:val="Heading3Char"/>
    <w:qFormat/>
    <w:rsid w:val="00503228"/>
    <w:pPr>
      <w:numPr>
        <w:ilvl w:val="2"/>
        <w:numId w:val="14"/>
      </w:numPr>
      <w:spacing w:line="240" w:lineRule="auto"/>
      <w:outlineLvl w:val="2"/>
    </w:pPr>
  </w:style>
  <w:style w:type="paragraph" w:styleId="Heading4">
    <w:name w:val="heading 4"/>
    <w:basedOn w:val="Normal"/>
    <w:next w:val="Normal"/>
    <w:link w:val="Heading4Char"/>
    <w:qFormat/>
    <w:rsid w:val="00503228"/>
    <w:pPr>
      <w:numPr>
        <w:ilvl w:val="3"/>
        <w:numId w:val="14"/>
      </w:numPr>
      <w:spacing w:line="240" w:lineRule="auto"/>
      <w:outlineLvl w:val="3"/>
    </w:pPr>
  </w:style>
  <w:style w:type="paragraph" w:styleId="Heading5">
    <w:name w:val="heading 5"/>
    <w:basedOn w:val="Normal"/>
    <w:next w:val="Normal"/>
    <w:link w:val="Heading5Char"/>
    <w:qFormat/>
    <w:rsid w:val="00503228"/>
    <w:pPr>
      <w:numPr>
        <w:ilvl w:val="4"/>
        <w:numId w:val="14"/>
      </w:numPr>
      <w:spacing w:line="240" w:lineRule="auto"/>
      <w:outlineLvl w:val="4"/>
    </w:pPr>
  </w:style>
  <w:style w:type="paragraph" w:styleId="Heading6">
    <w:name w:val="heading 6"/>
    <w:basedOn w:val="Normal"/>
    <w:next w:val="Normal"/>
    <w:link w:val="Heading6Char"/>
    <w:qFormat/>
    <w:rsid w:val="00503228"/>
    <w:pPr>
      <w:numPr>
        <w:ilvl w:val="5"/>
        <w:numId w:val="14"/>
      </w:numPr>
      <w:spacing w:line="240" w:lineRule="auto"/>
      <w:outlineLvl w:val="5"/>
    </w:pPr>
  </w:style>
  <w:style w:type="paragraph" w:styleId="Heading7">
    <w:name w:val="heading 7"/>
    <w:basedOn w:val="Normal"/>
    <w:next w:val="Normal"/>
    <w:link w:val="Heading7Char"/>
    <w:qFormat/>
    <w:rsid w:val="00503228"/>
    <w:pPr>
      <w:numPr>
        <w:ilvl w:val="6"/>
        <w:numId w:val="14"/>
      </w:numPr>
      <w:spacing w:line="240" w:lineRule="auto"/>
      <w:outlineLvl w:val="6"/>
    </w:pPr>
  </w:style>
  <w:style w:type="paragraph" w:styleId="Heading8">
    <w:name w:val="heading 8"/>
    <w:basedOn w:val="Normal"/>
    <w:next w:val="Normal"/>
    <w:link w:val="Heading8Char"/>
    <w:qFormat/>
    <w:rsid w:val="00503228"/>
    <w:pPr>
      <w:numPr>
        <w:ilvl w:val="7"/>
        <w:numId w:val="14"/>
      </w:numPr>
      <w:spacing w:line="240" w:lineRule="auto"/>
      <w:outlineLvl w:val="7"/>
    </w:pPr>
  </w:style>
  <w:style w:type="paragraph" w:styleId="Heading9">
    <w:name w:val="heading 9"/>
    <w:basedOn w:val="Normal"/>
    <w:next w:val="Normal"/>
    <w:link w:val="Heading9Char"/>
    <w:qFormat/>
    <w:rsid w:val="00503228"/>
    <w:pPr>
      <w:numPr>
        <w:ilvl w:val="8"/>
        <w:numId w:val="1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basedOn w:val="DefaultParagraphFont"/>
    <w:link w:val="FootnoteText"/>
    <w:locked/>
    <w:rsid w:val="008E4827"/>
    <w:rPr>
      <w:sz w:val="18"/>
      <w:lang w:eastAsia="en-US"/>
    </w:rPr>
  </w:style>
  <w:style w:type="character" w:customStyle="1" w:styleId="H1GChar">
    <w:name w:val="_ H_1_G Char"/>
    <w:link w:val="H1G"/>
    <w:locked/>
    <w:rsid w:val="008E4827"/>
    <w:rPr>
      <w:b/>
      <w:sz w:val="24"/>
      <w:lang w:eastAsia="en-US"/>
    </w:rPr>
  </w:style>
  <w:style w:type="character" w:customStyle="1" w:styleId="SingleTxtGChar">
    <w:name w:val="_ Single Txt_G Char"/>
    <w:link w:val="SingleTxtG"/>
    <w:locked/>
    <w:rsid w:val="008E4827"/>
    <w:rPr>
      <w:lang w:eastAsia="en-US"/>
    </w:rPr>
  </w:style>
  <w:style w:type="character" w:customStyle="1" w:styleId="HChGChar">
    <w:name w:val="_ H _Ch_G Char"/>
    <w:link w:val="HChG"/>
    <w:locked/>
    <w:rsid w:val="008E4827"/>
    <w:rPr>
      <w:b/>
      <w:sz w:val="28"/>
      <w:lang w:eastAsia="en-US"/>
    </w:rPr>
  </w:style>
  <w:style w:type="paragraph" w:customStyle="1" w:styleId="NoteHead">
    <w:name w:val="NoteHead"/>
    <w:basedOn w:val="Normal"/>
    <w:next w:val="Normal"/>
    <w:rsid w:val="008E4827"/>
    <w:pPr>
      <w:suppressAutoHyphens w:val="0"/>
      <w:spacing w:before="720" w:after="720" w:line="240" w:lineRule="auto"/>
      <w:jc w:val="center"/>
    </w:pPr>
    <w:rPr>
      <w:b/>
      <w:smallCaps/>
      <w:sz w:val="24"/>
    </w:rPr>
  </w:style>
  <w:style w:type="paragraph" w:customStyle="1" w:styleId="ISOClause">
    <w:name w:val="ISO_Clause"/>
    <w:basedOn w:val="Normal"/>
    <w:rsid w:val="008E4827"/>
    <w:pPr>
      <w:suppressAutoHyphens w:val="0"/>
      <w:spacing w:before="210" w:line="210" w:lineRule="exact"/>
    </w:pPr>
    <w:rPr>
      <w:rFonts w:ascii="Arial" w:hAnsi="Arial"/>
      <w:sz w:val="18"/>
    </w:rPr>
  </w:style>
  <w:style w:type="paragraph" w:customStyle="1" w:styleId="ISOComments">
    <w:name w:val="ISO_Comments"/>
    <w:basedOn w:val="Normal"/>
    <w:rsid w:val="008E4827"/>
    <w:pPr>
      <w:suppressAutoHyphens w:val="0"/>
      <w:spacing w:before="210" w:line="210" w:lineRule="exact"/>
    </w:pPr>
    <w:rPr>
      <w:rFonts w:ascii="Arial" w:hAnsi="Arial"/>
      <w:sz w:val="18"/>
    </w:rPr>
  </w:style>
  <w:style w:type="paragraph" w:customStyle="1" w:styleId="ISOChange">
    <w:name w:val="ISO_Change"/>
    <w:basedOn w:val="Normal"/>
    <w:rsid w:val="008E4827"/>
    <w:pPr>
      <w:suppressAutoHyphens w:val="0"/>
      <w:spacing w:before="210" w:line="210" w:lineRule="exact"/>
    </w:pPr>
    <w:rPr>
      <w:rFonts w:ascii="Arial" w:hAnsi="Arial"/>
      <w:sz w:val="18"/>
    </w:rPr>
  </w:style>
  <w:style w:type="character" w:customStyle="1" w:styleId="Heading1Char">
    <w:name w:val="Heading 1 Char"/>
    <w:aliases w:val="Table_G Char"/>
    <w:basedOn w:val="DefaultParagraphFont"/>
    <w:link w:val="Heading1"/>
    <w:locked/>
    <w:rsid w:val="008E4827"/>
    <w:rPr>
      <w:lang w:eastAsia="en-US"/>
    </w:rPr>
  </w:style>
  <w:style w:type="character" w:customStyle="1" w:styleId="Heading2Char">
    <w:name w:val="Heading 2 Char"/>
    <w:basedOn w:val="DefaultParagraphFont"/>
    <w:link w:val="Heading2"/>
    <w:locked/>
    <w:rsid w:val="008E4827"/>
    <w:rPr>
      <w:lang w:eastAsia="en-US"/>
    </w:rPr>
  </w:style>
  <w:style w:type="character" w:customStyle="1" w:styleId="Heading3Char">
    <w:name w:val="Heading 3 Char"/>
    <w:basedOn w:val="DefaultParagraphFont"/>
    <w:link w:val="Heading3"/>
    <w:locked/>
    <w:rsid w:val="008E4827"/>
    <w:rPr>
      <w:lang w:eastAsia="en-US"/>
    </w:rPr>
  </w:style>
  <w:style w:type="character" w:customStyle="1" w:styleId="Heading4Char">
    <w:name w:val="Heading 4 Char"/>
    <w:basedOn w:val="DefaultParagraphFont"/>
    <w:link w:val="Heading4"/>
    <w:locked/>
    <w:rsid w:val="008E4827"/>
    <w:rPr>
      <w:lang w:eastAsia="en-US"/>
    </w:rPr>
  </w:style>
  <w:style w:type="character" w:customStyle="1" w:styleId="Heading5Char">
    <w:name w:val="Heading 5 Char"/>
    <w:basedOn w:val="DefaultParagraphFont"/>
    <w:link w:val="Heading5"/>
    <w:locked/>
    <w:rsid w:val="008E4827"/>
    <w:rPr>
      <w:lang w:eastAsia="en-US"/>
    </w:rPr>
  </w:style>
  <w:style w:type="character" w:customStyle="1" w:styleId="Heading6Char">
    <w:name w:val="Heading 6 Char"/>
    <w:basedOn w:val="DefaultParagraphFont"/>
    <w:link w:val="Heading6"/>
    <w:locked/>
    <w:rsid w:val="008E4827"/>
    <w:rPr>
      <w:lang w:eastAsia="en-US"/>
    </w:rPr>
  </w:style>
  <w:style w:type="character" w:customStyle="1" w:styleId="Heading7Char">
    <w:name w:val="Heading 7 Char"/>
    <w:basedOn w:val="DefaultParagraphFont"/>
    <w:link w:val="Heading7"/>
    <w:locked/>
    <w:rsid w:val="008E4827"/>
    <w:rPr>
      <w:lang w:eastAsia="en-US"/>
    </w:rPr>
  </w:style>
  <w:style w:type="character" w:customStyle="1" w:styleId="Heading8Char">
    <w:name w:val="Heading 8 Char"/>
    <w:basedOn w:val="DefaultParagraphFont"/>
    <w:link w:val="Heading8"/>
    <w:locked/>
    <w:rsid w:val="008E4827"/>
    <w:rPr>
      <w:lang w:eastAsia="en-US"/>
    </w:rPr>
  </w:style>
  <w:style w:type="character" w:customStyle="1" w:styleId="Heading9Char">
    <w:name w:val="Heading 9 Char"/>
    <w:basedOn w:val="DefaultParagraphFont"/>
    <w:link w:val="Heading9"/>
    <w:locked/>
    <w:rsid w:val="008E4827"/>
    <w:rPr>
      <w:lang w:eastAsia="en-US"/>
    </w:rPr>
  </w:style>
  <w:style w:type="paragraph" w:customStyle="1" w:styleId="ParaNoG">
    <w:name w:val="_ParaNo._G"/>
    <w:basedOn w:val="SingleTxtG"/>
    <w:rsid w:val="008E4827"/>
    <w:pPr>
      <w:numPr>
        <w:numId w:val="16"/>
      </w:numPr>
      <w:tabs>
        <w:tab w:val="clear" w:pos="1494"/>
      </w:tabs>
    </w:pPr>
    <w:rPr>
      <w:lang w:val="fr-FR"/>
    </w:rPr>
  </w:style>
  <w:style w:type="paragraph" w:styleId="PlainText">
    <w:name w:val="Plain Text"/>
    <w:basedOn w:val="Normal"/>
    <w:link w:val="PlainTextChar"/>
    <w:rsid w:val="008E4827"/>
    <w:rPr>
      <w:rFonts w:cs="Courier New"/>
    </w:rPr>
  </w:style>
  <w:style w:type="character" w:customStyle="1" w:styleId="PlainTextChar">
    <w:name w:val="Plain Text Char"/>
    <w:basedOn w:val="DefaultParagraphFont"/>
    <w:link w:val="PlainText"/>
    <w:rsid w:val="008E4827"/>
    <w:rPr>
      <w:rFonts w:cs="Courier New"/>
      <w:lang w:eastAsia="en-US"/>
    </w:rPr>
  </w:style>
  <w:style w:type="paragraph" w:styleId="BodyText">
    <w:name w:val="Body Text"/>
    <w:basedOn w:val="Normal"/>
    <w:next w:val="Normal"/>
    <w:link w:val="BodyTextChar"/>
    <w:rsid w:val="008E4827"/>
  </w:style>
  <w:style w:type="character" w:customStyle="1" w:styleId="BodyTextChar">
    <w:name w:val="Body Text Char"/>
    <w:basedOn w:val="DefaultParagraphFont"/>
    <w:link w:val="BodyText"/>
    <w:rsid w:val="008E4827"/>
    <w:rPr>
      <w:lang w:eastAsia="en-US"/>
    </w:rPr>
  </w:style>
  <w:style w:type="paragraph" w:styleId="BodyTextIndent">
    <w:name w:val="Body Text Indent"/>
    <w:basedOn w:val="Normal"/>
    <w:link w:val="BodyTextIndentChar"/>
    <w:rsid w:val="008E4827"/>
    <w:pPr>
      <w:spacing w:after="120"/>
      <w:ind w:left="283"/>
    </w:pPr>
  </w:style>
  <w:style w:type="character" w:customStyle="1" w:styleId="BodyTextIndentChar">
    <w:name w:val="Body Text Indent Char"/>
    <w:basedOn w:val="DefaultParagraphFont"/>
    <w:link w:val="BodyTextIndent"/>
    <w:rsid w:val="008E4827"/>
    <w:rPr>
      <w:lang w:eastAsia="en-US"/>
    </w:rPr>
  </w:style>
  <w:style w:type="paragraph" w:styleId="BlockText">
    <w:name w:val="Block Text"/>
    <w:basedOn w:val="Normal"/>
    <w:rsid w:val="008E4827"/>
    <w:pPr>
      <w:ind w:left="1440" w:right="1440"/>
    </w:pPr>
  </w:style>
  <w:style w:type="character" w:customStyle="1" w:styleId="EndnoteTextChar">
    <w:name w:val="Endnote Text Char"/>
    <w:aliases w:val="2_G Char"/>
    <w:basedOn w:val="DefaultParagraphFont"/>
    <w:link w:val="EndnoteText"/>
    <w:locked/>
    <w:rsid w:val="008E4827"/>
    <w:rPr>
      <w:sz w:val="18"/>
      <w:lang w:eastAsia="en-US"/>
    </w:rPr>
  </w:style>
  <w:style w:type="character" w:styleId="CommentReference">
    <w:name w:val="annotation reference"/>
    <w:basedOn w:val="DefaultParagraphFont"/>
    <w:rsid w:val="008E4827"/>
    <w:rPr>
      <w:rFonts w:cs="Times New Roman"/>
      <w:sz w:val="6"/>
    </w:rPr>
  </w:style>
  <w:style w:type="paragraph" w:styleId="CommentText">
    <w:name w:val="annotation text"/>
    <w:basedOn w:val="Normal"/>
    <w:link w:val="CommentTextChar"/>
    <w:rsid w:val="008E4827"/>
  </w:style>
  <w:style w:type="character" w:customStyle="1" w:styleId="CommentTextChar">
    <w:name w:val="Comment Text Char"/>
    <w:basedOn w:val="DefaultParagraphFont"/>
    <w:link w:val="CommentText"/>
    <w:rsid w:val="008E4827"/>
    <w:rPr>
      <w:lang w:eastAsia="en-US"/>
    </w:rPr>
  </w:style>
  <w:style w:type="character" w:styleId="LineNumber">
    <w:name w:val="line number"/>
    <w:basedOn w:val="DefaultParagraphFont"/>
    <w:rsid w:val="008E4827"/>
    <w:rPr>
      <w:rFonts w:cs="Times New Roman"/>
      <w:sz w:val="14"/>
    </w:rPr>
  </w:style>
  <w:style w:type="paragraph" w:styleId="BodyText2">
    <w:name w:val="Body Text 2"/>
    <w:basedOn w:val="Normal"/>
    <w:link w:val="BodyText2Char"/>
    <w:rsid w:val="008E4827"/>
    <w:pPr>
      <w:spacing w:after="120" w:line="480" w:lineRule="auto"/>
    </w:pPr>
  </w:style>
  <w:style w:type="character" w:customStyle="1" w:styleId="BodyText2Char">
    <w:name w:val="Body Text 2 Char"/>
    <w:basedOn w:val="DefaultParagraphFont"/>
    <w:link w:val="BodyText2"/>
    <w:rsid w:val="008E4827"/>
    <w:rPr>
      <w:lang w:eastAsia="en-US"/>
    </w:rPr>
  </w:style>
  <w:style w:type="paragraph" w:styleId="BodyText3">
    <w:name w:val="Body Text 3"/>
    <w:basedOn w:val="Normal"/>
    <w:link w:val="BodyText3Char"/>
    <w:rsid w:val="008E4827"/>
    <w:pPr>
      <w:spacing w:after="120"/>
    </w:pPr>
    <w:rPr>
      <w:sz w:val="16"/>
      <w:szCs w:val="16"/>
    </w:rPr>
  </w:style>
  <w:style w:type="character" w:customStyle="1" w:styleId="BodyText3Char">
    <w:name w:val="Body Text 3 Char"/>
    <w:basedOn w:val="DefaultParagraphFont"/>
    <w:link w:val="BodyText3"/>
    <w:rsid w:val="008E4827"/>
    <w:rPr>
      <w:sz w:val="16"/>
      <w:szCs w:val="16"/>
      <w:lang w:eastAsia="en-US"/>
    </w:rPr>
  </w:style>
  <w:style w:type="paragraph" w:styleId="BodyTextFirstIndent">
    <w:name w:val="Body Text First Indent"/>
    <w:basedOn w:val="BodyText"/>
    <w:link w:val="BodyTextFirstIndentChar"/>
    <w:rsid w:val="008E4827"/>
    <w:pPr>
      <w:spacing w:after="120"/>
      <w:ind w:firstLine="210"/>
    </w:pPr>
  </w:style>
  <w:style w:type="character" w:customStyle="1" w:styleId="BodyTextFirstIndentChar">
    <w:name w:val="Body Text First Indent Char"/>
    <w:basedOn w:val="BodyTextChar"/>
    <w:link w:val="BodyTextFirstIndent"/>
    <w:rsid w:val="008E4827"/>
    <w:rPr>
      <w:lang w:eastAsia="en-US"/>
    </w:rPr>
  </w:style>
  <w:style w:type="paragraph" w:styleId="BodyTextFirstIndent2">
    <w:name w:val="Body Text First Indent 2"/>
    <w:basedOn w:val="BodyTextIndent"/>
    <w:link w:val="BodyTextFirstIndent2Char"/>
    <w:rsid w:val="008E4827"/>
    <w:pPr>
      <w:ind w:firstLine="210"/>
    </w:pPr>
  </w:style>
  <w:style w:type="character" w:customStyle="1" w:styleId="BodyTextFirstIndent2Char">
    <w:name w:val="Body Text First Indent 2 Char"/>
    <w:basedOn w:val="BodyTextIndentChar"/>
    <w:link w:val="BodyTextFirstIndent2"/>
    <w:rsid w:val="008E4827"/>
    <w:rPr>
      <w:lang w:eastAsia="en-US"/>
    </w:rPr>
  </w:style>
  <w:style w:type="paragraph" w:styleId="BodyTextIndent2">
    <w:name w:val="Body Text Indent 2"/>
    <w:basedOn w:val="Normal"/>
    <w:link w:val="BodyTextIndent2Char"/>
    <w:rsid w:val="008E4827"/>
    <w:pPr>
      <w:spacing w:after="120" w:line="480" w:lineRule="auto"/>
      <w:ind w:left="283"/>
    </w:pPr>
  </w:style>
  <w:style w:type="character" w:customStyle="1" w:styleId="BodyTextIndent2Char">
    <w:name w:val="Body Text Indent 2 Char"/>
    <w:basedOn w:val="DefaultParagraphFont"/>
    <w:link w:val="BodyTextIndent2"/>
    <w:rsid w:val="008E4827"/>
    <w:rPr>
      <w:lang w:eastAsia="en-US"/>
    </w:rPr>
  </w:style>
  <w:style w:type="paragraph" w:styleId="BodyTextIndent3">
    <w:name w:val="Body Text Indent 3"/>
    <w:basedOn w:val="Normal"/>
    <w:link w:val="BodyTextIndent3Char"/>
    <w:rsid w:val="008E4827"/>
    <w:pPr>
      <w:spacing w:after="120"/>
      <w:ind w:left="283"/>
    </w:pPr>
    <w:rPr>
      <w:sz w:val="16"/>
      <w:szCs w:val="16"/>
    </w:rPr>
  </w:style>
  <w:style w:type="character" w:customStyle="1" w:styleId="BodyTextIndent3Char">
    <w:name w:val="Body Text Indent 3 Char"/>
    <w:basedOn w:val="DefaultParagraphFont"/>
    <w:link w:val="BodyTextIndent3"/>
    <w:rsid w:val="008E4827"/>
    <w:rPr>
      <w:sz w:val="16"/>
      <w:szCs w:val="16"/>
      <w:lang w:eastAsia="en-US"/>
    </w:rPr>
  </w:style>
  <w:style w:type="paragraph" w:styleId="Closing">
    <w:name w:val="Closing"/>
    <w:basedOn w:val="Normal"/>
    <w:link w:val="ClosingChar"/>
    <w:rsid w:val="008E4827"/>
    <w:pPr>
      <w:ind w:left="4252"/>
    </w:pPr>
  </w:style>
  <w:style w:type="character" w:customStyle="1" w:styleId="ClosingChar">
    <w:name w:val="Closing Char"/>
    <w:basedOn w:val="DefaultParagraphFont"/>
    <w:link w:val="Closing"/>
    <w:rsid w:val="008E4827"/>
    <w:rPr>
      <w:lang w:eastAsia="en-US"/>
    </w:rPr>
  </w:style>
  <w:style w:type="paragraph" w:styleId="Date">
    <w:name w:val="Date"/>
    <w:basedOn w:val="Normal"/>
    <w:next w:val="Normal"/>
    <w:link w:val="DateChar"/>
    <w:rsid w:val="008E4827"/>
  </w:style>
  <w:style w:type="character" w:customStyle="1" w:styleId="DateChar">
    <w:name w:val="Date Char"/>
    <w:basedOn w:val="DefaultParagraphFont"/>
    <w:link w:val="Date"/>
    <w:rsid w:val="008E4827"/>
    <w:rPr>
      <w:lang w:eastAsia="en-US"/>
    </w:rPr>
  </w:style>
  <w:style w:type="paragraph" w:styleId="E-mailSignature">
    <w:name w:val="E-mail Signature"/>
    <w:basedOn w:val="Normal"/>
    <w:link w:val="E-mailSignatureChar"/>
    <w:rsid w:val="008E4827"/>
  </w:style>
  <w:style w:type="character" w:customStyle="1" w:styleId="E-mailSignatureChar">
    <w:name w:val="E-mail Signature Char"/>
    <w:basedOn w:val="DefaultParagraphFont"/>
    <w:link w:val="E-mailSignature"/>
    <w:rsid w:val="008E4827"/>
    <w:rPr>
      <w:lang w:eastAsia="en-US"/>
    </w:rPr>
  </w:style>
  <w:style w:type="character" w:styleId="Emphasis">
    <w:name w:val="Emphasis"/>
    <w:basedOn w:val="DefaultParagraphFont"/>
    <w:qFormat/>
    <w:rsid w:val="008E4827"/>
    <w:rPr>
      <w:rFonts w:cs="Times New Roman"/>
      <w:i/>
    </w:rPr>
  </w:style>
  <w:style w:type="paragraph" w:styleId="EnvelopeReturn">
    <w:name w:val="envelope return"/>
    <w:basedOn w:val="Normal"/>
    <w:rsid w:val="008E4827"/>
    <w:rPr>
      <w:rFonts w:ascii="Arial" w:hAnsi="Arial" w:cs="Arial"/>
    </w:rPr>
  </w:style>
  <w:style w:type="character" w:styleId="HTMLAcronym">
    <w:name w:val="HTML Acronym"/>
    <w:basedOn w:val="DefaultParagraphFont"/>
    <w:rsid w:val="008E4827"/>
    <w:rPr>
      <w:rFonts w:cs="Times New Roman"/>
    </w:rPr>
  </w:style>
  <w:style w:type="paragraph" w:styleId="HTMLAddress">
    <w:name w:val="HTML Address"/>
    <w:basedOn w:val="Normal"/>
    <w:link w:val="HTMLAddressChar"/>
    <w:rsid w:val="008E4827"/>
    <w:rPr>
      <w:i/>
      <w:iCs/>
    </w:rPr>
  </w:style>
  <w:style w:type="character" w:customStyle="1" w:styleId="HTMLAddressChar">
    <w:name w:val="HTML Address Char"/>
    <w:basedOn w:val="DefaultParagraphFont"/>
    <w:link w:val="HTMLAddress"/>
    <w:rsid w:val="008E4827"/>
    <w:rPr>
      <w:i/>
      <w:iCs/>
      <w:lang w:eastAsia="en-US"/>
    </w:rPr>
  </w:style>
  <w:style w:type="character" w:styleId="HTMLCite">
    <w:name w:val="HTML Cite"/>
    <w:basedOn w:val="DefaultParagraphFont"/>
    <w:rsid w:val="008E4827"/>
    <w:rPr>
      <w:rFonts w:cs="Times New Roman"/>
      <w:i/>
    </w:rPr>
  </w:style>
  <w:style w:type="character" w:styleId="HTMLCode">
    <w:name w:val="HTML Code"/>
    <w:basedOn w:val="DefaultParagraphFont"/>
    <w:rsid w:val="008E4827"/>
    <w:rPr>
      <w:rFonts w:ascii="Courier New" w:hAnsi="Courier New" w:cs="Times New Roman"/>
      <w:sz w:val="20"/>
    </w:rPr>
  </w:style>
  <w:style w:type="character" w:styleId="HTMLDefinition">
    <w:name w:val="HTML Definition"/>
    <w:basedOn w:val="DefaultParagraphFont"/>
    <w:rsid w:val="008E4827"/>
    <w:rPr>
      <w:rFonts w:cs="Times New Roman"/>
      <w:i/>
    </w:rPr>
  </w:style>
  <w:style w:type="character" w:styleId="HTMLKeyboard">
    <w:name w:val="HTML Keyboard"/>
    <w:basedOn w:val="DefaultParagraphFont"/>
    <w:rsid w:val="008E4827"/>
    <w:rPr>
      <w:rFonts w:ascii="Courier New" w:hAnsi="Courier New" w:cs="Times New Roman"/>
      <w:sz w:val="20"/>
    </w:rPr>
  </w:style>
  <w:style w:type="paragraph" w:styleId="HTMLPreformatted">
    <w:name w:val="HTML Preformatted"/>
    <w:basedOn w:val="Normal"/>
    <w:link w:val="HTMLPreformattedChar"/>
    <w:rsid w:val="008E4827"/>
    <w:rPr>
      <w:rFonts w:ascii="Courier New" w:hAnsi="Courier New" w:cs="Courier New"/>
    </w:rPr>
  </w:style>
  <w:style w:type="character" w:customStyle="1" w:styleId="HTMLPreformattedChar">
    <w:name w:val="HTML Preformatted Char"/>
    <w:basedOn w:val="DefaultParagraphFont"/>
    <w:link w:val="HTMLPreformatted"/>
    <w:rsid w:val="008E4827"/>
    <w:rPr>
      <w:rFonts w:ascii="Courier New" w:hAnsi="Courier New" w:cs="Courier New"/>
      <w:lang w:eastAsia="en-US"/>
    </w:rPr>
  </w:style>
  <w:style w:type="character" w:styleId="HTMLSample">
    <w:name w:val="HTML Sample"/>
    <w:basedOn w:val="DefaultParagraphFont"/>
    <w:rsid w:val="008E4827"/>
    <w:rPr>
      <w:rFonts w:ascii="Courier New" w:hAnsi="Courier New" w:cs="Times New Roman"/>
    </w:rPr>
  </w:style>
  <w:style w:type="character" w:styleId="HTMLTypewriter">
    <w:name w:val="HTML Typewriter"/>
    <w:basedOn w:val="DefaultParagraphFont"/>
    <w:rsid w:val="008E4827"/>
    <w:rPr>
      <w:rFonts w:ascii="Courier New" w:hAnsi="Courier New" w:cs="Times New Roman"/>
      <w:sz w:val="20"/>
    </w:rPr>
  </w:style>
  <w:style w:type="character" w:styleId="HTMLVariable">
    <w:name w:val="HTML Variable"/>
    <w:basedOn w:val="DefaultParagraphFont"/>
    <w:rsid w:val="008E4827"/>
    <w:rPr>
      <w:rFonts w:cs="Times New Roman"/>
      <w:i/>
    </w:rPr>
  </w:style>
  <w:style w:type="paragraph" w:styleId="List">
    <w:name w:val="List"/>
    <w:basedOn w:val="Normal"/>
    <w:rsid w:val="008E4827"/>
    <w:pPr>
      <w:ind w:left="283" w:hanging="283"/>
    </w:pPr>
  </w:style>
  <w:style w:type="paragraph" w:styleId="List2">
    <w:name w:val="List 2"/>
    <w:basedOn w:val="Normal"/>
    <w:rsid w:val="008E4827"/>
    <w:pPr>
      <w:ind w:left="566" w:hanging="283"/>
    </w:pPr>
  </w:style>
  <w:style w:type="paragraph" w:styleId="List3">
    <w:name w:val="List 3"/>
    <w:basedOn w:val="Normal"/>
    <w:rsid w:val="008E4827"/>
    <w:pPr>
      <w:ind w:left="849" w:hanging="283"/>
    </w:pPr>
  </w:style>
  <w:style w:type="paragraph" w:styleId="List4">
    <w:name w:val="List 4"/>
    <w:basedOn w:val="Normal"/>
    <w:rsid w:val="008E4827"/>
    <w:pPr>
      <w:ind w:left="1132" w:hanging="283"/>
    </w:pPr>
  </w:style>
  <w:style w:type="paragraph" w:styleId="List5">
    <w:name w:val="List 5"/>
    <w:basedOn w:val="Normal"/>
    <w:rsid w:val="008E4827"/>
    <w:pPr>
      <w:ind w:left="1415" w:hanging="283"/>
    </w:pPr>
  </w:style>
  <w:style w:type="paragraph" w:styleId="ListBullet">
    <w:name w:val="List Bullet"/>
    <w:basedOn w:val="Normal"/>
    <w:rsid w:val="008E4827"/>
    <w:pPr>
      <w:numPr>
        <w:numId w:val="9"/>
      </w:numPr>
    </w:pPr>
  </w:style>
  <w:style w:type="paragraph" w:styleId="ListBullet2">
    <w:name w:val="List Bullet 2"/>
    <w:basedOn w:val="Normal"/>
    <w:rsid w:val="008E4827"/>
    <w:pPr>
      <w:numPr>
        <w:numId w:val="10"/>
      </w:numPr>
    </w:pPr>
  </w:style>
  <w:style w:type="paragraph" w:styleId="ListBullet3">
    <w:name w:val="List Bullet 3"/>
    <w:basedOn w:val="Normal"/>
    <w:rsid w:val="008E4827"/>
    <w:pPr>
      <w:numPr>
        <w:numId w:val="11"/>
      </w:numPr>
    </w:pPr>
  </w:style>
  <w:style w:type="paragraph" w:styleId="ListBullet4">
    <w:name w:val="List Bullet 4"/>
    <w:basedOn w:val="Normal"/>
    <w:rsid w:val="008E4827"/>
    <w:pPr>
      <w:numPr>
        <w:numId w:val="12"/>
      </w:numPr>
    </w:pPr>
  </w:style>
  <w:style w:type="paragraph" w:styleId="ListBullet5">
    <w:name w:val="List Bullet 5"/>
    <w:basedOn w:val="Normal"/>
    <w:rsid w:val="008E4827"/>
    <w:pPr>
      <w:numPr>
        <w:numId w:val="13"/>
      </w:numPr>
    </w:pPr>
  </w:style>
  <w:style w:type="paragraph" w:styleId="ListContinue">
    <w:name w:val="List Continue"/>
    <w:basedOn w:val="Normal"/>
    <w:rsid w:val="008E4827"/>
    <w:pPr>
      <w:spacing w:after="120"/>
      <w:ind w:left="283"/>
    </w:pPr>
  </w:style>
  <w:style w:type="paragraph" w:styleId="ListContinue2">
    <w:name w:val="List Continue 2"/>
    <w:basedOn w:val="Normal"/>
    <w:rsid w:val="008E4827"/>
    <w:pPr>
      <w:spacing w:after="120"/>
      <w:ind w:left="566"/>
    </w:pPr>
  </w:style>
  <w:style w:type="paragraph" w:styleId="ListContinue3">
    <w:name w:val="List Continue 3"/>
    <w:basedOn w:val="Normal"/>
    <w:rsid w:val="008E4827"/>
    <w:pPr>
      <w:spacing w:after="120"/>
      <w:ind w:left="849"/>
    </w:pPr>
  </w:style>
  <w:style w:type="paragraph" w:styleId="ListContinue4">
    <w:name w:val="List Continue 4"/>
    <w:basedOn w:val="Normal"/>
    <w:rsid w:val="008E4827"/>
    <w:pPr>
      <w:spacing w:after="120"/>
      <w:ind w:left="1132"/>
    </w:pPr>
  </w:style>
  <w:style w:type="paragraph" w:styleId="ListContinue5">
    <w:name w:val="List Continue 5"/>
    <w:basedOn w:val="Normal"/>
    <w:rsid w:val="008E4827"/>
    <w:pPr>
      <w:spacing w:after="120"/>
      <w:ind w:left="1415"/>
    </w:pPr>
  </w:style>
  <w:style w:type="paragraph" w:styleId="ListNumber">
    <w:name w:val="List Number"/>
    <w:basedOn w:val="Normal"/>
    <w:rsid w:val="008E4827"/>
    <w:pPr>
      <w:numPr>
        <w:numId w:val="8"/>
      </w:numPr>
      <w:ind w:left="360"/>
    </w:pPr>
  </w:style>
  <w:style w:type="paragraph" w:styleId="ListNumber2">
    <w:name w:val="List Number 2"/>
    <w:basedOn w:val="Normal"/>
    <w:rsid w:val="008E4827"/>
    <w:pPr>
      <w:numPr>
        <w:numId w:val="7"/>
      </w:numPr>
      <w:tabs>
        <w:tab w:val="num" w:pos="643"/>
      </w:tabs>
      <w:ind w:left="643"/>
    </w:pPr>
  </w:style>
  <w:style w:type="paragraph" w:styleId="ListNumber3">
    <w:name w:val="List Number 3"/>
    <w:basedOn w:val="Normal"/>
    <w:rsid w:val="008E4827"/>
    <w:pPr>
      <w:numPr>
        <w:numId w:val="6"/>
      </w:numPr>
    </w:pPr>
  </w:style>
  <w:style w:type="paragraph" w:styleId="ListNumber4">
    <w:name w:val="List Number 4"/>
    <w:basedOn w:val="Normal"/>
    <w:rsid w:val="008E4827"/>
    <w:pPr>
      <w:numPr>
        <w:numId w:val="4"/>
      </w:numPr>
      <w:tabs>
        <w:tab w:val="clear" w:pos="360"/>
        <w:tab w:val="num" w:pos="1209"/>
      </w:tabs>
      <w:ind w:left="1209"/>
    </w:pPr>
  </w:style>
  <w:style w:type="paragraph" w:styleId="ListNumber5">
    <w:name w:val="List Number 5"/>
    <w:basedOn w:val="Normal"/>
    <w:rsid w:val="008E4827"/>
    <w:pPr>
      <w:numPr>
        <w:numId w:val="5"/>
      </w:numPr>
      <w:tabs>
        <w:tab w:val="num" w:pos="1492"/>
      </w:tabs>
      <w:ind w:left="1492"/>
    </w:pPr>
  </w:style>
  <w:style w:type="paragraph" w:styleId="MessageHeader">
    <w:name w:val="Message Header"/>
    <w:basedOn w:val="Normal"/>
    <w:link w:val="MessageHeaderChar"/>
    <w:rsid w:val="008E48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8E4827"/>
    <w:rPr>
      <w:rFonts w:ascii="Arial" w:hAnsi="Arial" w:cs="Arial"/>
      <w:sz w:val="24"/>
      <w:szCs w:val="24"/>
      <w:shd w:val="pct20" w:color="auto" w:fill="auto"/>
      <w:lang w:eastAsia="en-US"/>
    </w:rPr>
  </w:style>
  <w:style w:type="paragraph" w:styleId="NormalWeb">
    <w:name w:val="Normal (Web)"/>
    <w:basedOn w:val="Normal"/>
    <w:rsid w:val="008E4827"/>
    <w:rPr>
      <w:sz w:val="24"/>
      <w:szCs w:val="24"/>
    </w:rPr>
  </w:style>
  <w:style w:type="paragraph" w:styleId="NormalIndent">
    <w:name w:val="Normal Indent"/>
    <w:basedOn w:val="Normal"/>
    <w:rsid w:val="008E4827"/>
    <w:pPr>
      <w:ind w:left="567"/>
    </w:pPr>
  </w:style>
  <w:style w:type="paragraph" w:styleId="NoteHeading">
    <w:name w:val="Note Heading"/>
    <w:basedOn w:val="Normal"/>
    <w:next w:val="Normal"/>
    <w:link w:val="NoteHeadingChar"/>
    <w:rsid w:val="008E4827"/>
  </w:style>
  <w:style w:type="character" w:customStyle="1" w:styleId="NoteHeadingChar">
    <w:name w:val="Note Heading Char"/>
    <w:basedOn w:val="DefaultParagraphFont"/>
    <w:link w:val="NoteHeading"/>
    <w:rsid w:val="008E4827"/>
    <w:rPr>
      <w:lang w:eastAsia="en-US"/>
    </w:rPr>
  </w:style>
  <w:style w:type="paragraph" w:styleId="Salutation">
    <w:name w:val="Salutation"/>
    <w:basedOn w:val="Normal"/>
    <w:next w:val="Normal"/>
    <w:link w:val="SalutationChar"/>
    <w:rsid w:val="008E4827"/>
  </w:style>
  <w:style w:type="character" w:customStyle="1" w:styleId="SalutationChar">
    <w:name w:val="Salutation Char"/>
    <w:basedOn w:val="DefaultParagraphFont"/>
    <w:link w:val="Salutation"/>
    <w:rsid w:val="008E4827"/>
    <w:rPr>
      <w:lang w:eastAsia="en-US"/>
    </w:rPr>
  </w:style>
  <w:style w:type="paragraph" w:styleId="Signature">
    <w:name w:val="Signature"/>
    <w:basedOn w:val="Normal"/>
    <w:link w:val="SignatureChar"/>
    <w:rsid w:val="008E4827"/>
    <w:pPr>
      <w:ind w:left="4252"/>
    </w:pPr>
  </w:style>
  <w:style w:type="character" w:customStyle="1" w:styleId="SignatureChar">
    <w:name w:val="Signature Char"/>
    <w:basedOn w:val="DefaultParagraphFont"/>
    <w:link w:val="Signature"/>
    <w:rsid w:val="008E4827"/>
    <w:rPr>
      <w:lang w:eastAsia="en-US"/>
    </w:rPr>
  </w:style>
  <w:style w:type="character" w:styleId="Strong">
    <w:name w:val="Strong"/>
    <w:basedOn w:val="DefaultParagraphFont"/>
    <w:qFormat/>
    <w:rsid w:val="008E4827"/>
    <w:rPr>
      <w:rFonts w:cs="Times New Roman"/>
      <w:b/>
    </w:rPr>
  </w:style>
  <w:style w:type="paragraph" w:styleId="Subtitle">
    <w:name w:val="Subtitle"/>
    <w:basedOn w:val="Normal"/>
    <w:link w:val="SubtitleChar"/>
    <w:qFormat/>
    <w:rsid w:val="008E482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8E4827"/>
    <w:rPr>
      <w:rFonts w:ascii="Arial" w:hAnsi="Arial" w:cs="Arial"/>
      <w:sz w:val="24"/>
      <w:szCs w:val="24"/>
      <w:lang w:eastAsia="en-US"/>
    </w:rPr>
  </w:style>
  <w:style w:type="table" w:styleId="Table3Deffects1">
    <w:name w:val="Table 3D effects 1"/>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8E4827"/>
    <w:pPr>
      <w:suppressAutoHyphens/>
      <w:spacing w:line="240" w:lineRule="atLeast"/>
    </w:pPr>
    <w:rPr>
      <w:lang w:val="fr-FR" w:eastAsia="fr-FR"/>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8E4827"/>
    <w:pPr>
      <w:suppressAutoHyphens/>
      <w:spacing w:line="240" w:lineRule="atLeast"/>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8E4827"/>
    <w:pPr>
      <w:suppressAutoHyphens/>
      <w:spacing w:line="240" w:lineRule="atLeast"/>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8E4827"/>
    <w:pPr>
      <w:suppressAutoHyphens/>
      <w:spacing w:line="240" w:lineRule="atLeast"/>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E4827"/>
    <w:pPr>
      <w:suppressAutoHyphens/>
      <w:spacing w:line="240" w:lineRule="atLeast"/>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E4827"/>
    <w:pPr>
      <w:suppressAutoHyphens/>
      <w:spacing w:line="240" w:lineRule="atLeast"/>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E4827"/>
    <w:pPr>
      <w:suppressAutoHyphens/>
      <w:spacing w:line="240" w:lineRule="atLeast"/>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8E4827"/>
    <w:pPr>
      <w:suppressAutoHyphens/>
      <w:spacing w:line="240" w:lineRule="atLeast"/>
    </w:pPr>
    <w:rPr>
      <w:b/>
      <w:bCs/>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8E4827"/>
    <w:pPr>
      <w:suppressAutoHyphens/>
      <w:spacing w:line="240" w:lineRule="atLeast"/>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8E4827"/>
    <w:pPr>
      <w:suppressAutoHyphens/>
      <w:spacing w:line="240" w:lineRule="atLeast"/>
    </w:pPr>
    <w:rPr>
      <w:lang w:val="fr-FR" w:eastAsia="fr-FR"/>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8E4827"/>
    <w:pPr>
      <w:suppressAutoHyphens/>
      <w:spacing w:line="240" w:lineRule="atLeast"/>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8E4827"/>
    <w:pPr>
      <w:suppressAutoHyphens/>
      <w:spacing w:line="240" w:lineRule="atLeast"/>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E4827"/>
    <w:pPr>
      <w:suppressAutoHyphens/>
      <w:spacing w:line="240" w:lineRule="atLeast"/>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8E4827"/>
    <w:pPr>
      <w:suppressAutoHyphens/>
      <w:spacing w:line="240" w:lineRule="atLeast"/>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8E4827"/>
    <w:pPr>
      <w:suppressAutoHyphens/>
      <w:spacing w:line="240" w:lineRule="atLeast"/>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8E4827"/>
    <w:pPr>
      <w:suppressAutoHyphens/>
      <w:spacing w:line="240" w:lineRule="atLeast"/>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8E4827"/>
    <w:pPr>
      <w:suppressAutoHyphens/>
      <w:spacing w:line="240" w:lineRule="atLeast"/>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8E4827"/>
    <w:pPr>
      <w:suppressAutoHyphens/>
      <w:spacing w:line="240" w:lineRule="atLeast"/>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8E4827"/>
    <w:pPr>
      <w:suppressAutoHyphens/>
      <w:spacing w:line="240" w:lineRule="atLeast"/>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8E4827"/>
    <w:pPr>
      <w:suppressAutoHyphens/>
      <w:spacing w:line="240" w:lineRule="atLeast"/>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8E4827"/>
    <w:pPr>
      <w:suppressAutoHyphens/>
      <w:spacing w:line="240" w:lineRule="atLeast"/>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8E4827"/>
    <w:pPr>
      <w:suppressAutoHyphens/>
      <w:spacing w:line="240" w:lineRule="atLeast"/>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8E4827"/>
    <w:pPr>
      <w:suppressAutoHyphens/>
      <w:spacing w:line="240" w:lineRule="atLeast"/>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E4827"/>
    <w:pPr>
      <w:suppressAutoHyphens/>
      <w:spacing w:line="240" w:lineRule="atLeast"/>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E4827"/>
    <w:pPr>
      <w:suppressAutoHyphens/>
      <w:spacing w:line="240" w:lineRule="atLeast"/>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E4827"/>
    <w:pPr>
      <w:suppressAutoHyphens/>
      <w:spacing w:line="240" w:lineRule="atLeast"/>
    </w:pPr>
    <w:rPr>
      <w:lang w:val="fr-FR" w:eastAsia="fr-FR"/>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E4827"/>
    <w:pPr>
      <w:suppressAutoHyphens/>
      <w:spacing w:line="240" w:lineRule="atLeast"/>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E4827"/>
    <w:pPr>
      <w:suppressAutoHyphens/>
      <w:spacing w:line="240" w:lineRule="atLeast"/>
    </w:pPr>
    <w:rPr>
      <w:lang w:val="fr-FR" w:eastAsia="fr-FR"/>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8E4827"/>
    <w:pPr>
      <w:suppressAutoHyphens/>
      <w:spacing w:line="240" w:lineRule="atLeast"/>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8E4827"/>
    <w:pPr>
      <w:suppressAutoHyphens/>
      <w:spacing w:line="240" w:lineRule="atLeast"/>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E4827"/>
    <w:pPr>
      <w:suppressAutoHyphens/>
      <w:spacing w:line="240" w:lineRule="atLeast"/>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8E4827"/>
    <w:pPr>
      <w:suppressAutoHyphens/>
      <w:spacing w:line="240" w:lineRule="atLeast"/>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8E4827"/>
    <w:pPr>
      <w:suppressAutoHyphens/>
      <w:spacing w:line="240" w:lineRule="atLeast"/>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8E482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4827"/>
    <w:rPr>
      <w:rFonts w:ascii="Arial" w:hAnsi="Arial" w:cs="Arial"/>
      <w:b/>
      <w:bCs/>
      <w:kern w:val="28"/>
      <w:sz w:val="32"/>
      <w:szCs w:val="32"/>
      <w:lang w:eastAsia="en-US"/>
    </w:rPr>
  </w:style>
  <w:style w:type="paragraph" w:styleId="EnvelopeAddress">
    <w:name w:val="envelope address"/>
    <w:basedOn w:val="Normal"/>
    <w:rsid w:val="008E4827"/>
    <w:pPr>
      <w:framePr w:w="7920" w:h="1980" w:hRule="exact" w:hSpace="180" w:wrap="auto" w:hAnchor="page" w:xAlign="center" w:yAlign="bottom"/>
      <w:ind w:left="2880"/>
    </w:pPr>
    <w:rPr>
      <w:rFonts w:ascii="Arial" w:hAnsi="Arial" w:cs="Arial"/>
      <w:sz w:val="24"/>
      <w:szCs w:val="24"/>
    </w:rPr>
  </w:style>
  <w:style w:type="character" w:customStyle="1" w:styleId="FooterChar">
    <w:name w:val="Footer Char"/>
    <w:aliases w:val="3_G Char"/>
    <w:basedOn w:val="DefaultParagraphFont"/>
    <w:link w:val="Footer"/>
    <w:uiPriority w:val="99"/>
    <w:locked/>
    <w:rsid w:val="008E4827"/>
    <w:rPr>
      <w:sz w:val="16"/>
      <w:lang w:eastAsia="en-US"/>
    </w:rPr>
  </w:style>
  <w:style w:type="character" w:customStyle="1" w:styleId="HeaderChar">
    <w:name w:val="Header Char"/>
    <w:aliases w:val="6_G Char"/>
    <w:basedOn w:val="DefaultParagraphFont"/>
    <w:link w:val="Header"/>
    <w:uiPriority w:val="99"/>
    <w:locked/>
    <w:rsid w:val="008E4827"/>
    <w:rPr>
      <w:b/>
      <w:sz w:val="18"/>
      <w:lang w:eastAsia="en-US"/>
    </w:rPr>
  </w:style>
  <w:style w:type="paragraph" w:styleId="BalloonText">
    <w:name w:val="Balloon Text"/>
    <w:basedOn w:val="Normal"/>
    <w:link w:val="BalloonTextChar"/>
    <w:rsid w:val="008E4827"/>
    <w:pPr>
      <w:spacing w:line="240" w:lineRule="auto"/>
    </w:pPr>
    <w:rPr>
      <w:rFonts w:ascii="Tahoma" w:hAnsi="Tahoma"/>
      <w:sz w:val="16"/>
      <w:szCs w:val="16"/>
      <w:lang w:val="fr-FR"/>
    </w:rPr>
  </w:style>
  <w:style w:type="character" w:customStyle="1" w:styleId="BalloonTextChar">
    <w:name w:val="Balloon Text Char"/>
    <w:basedOn w:val="DefaultParagraphFont"/>
    <w:link w:val="BalloonText"/>
    <w:rsid w:val="008E4827"/>
    <w:rPr>
      <w:rFonts w:ascii="Tahoma" w:hAnsi="Tahoma"/>
      <w:sz w:val="16"/>
      <w:szCs w:val="16"/>
      <w:lang w:val="fr-FR" w:eastAsia="en-US"/>
    </w:rPr>
  </w:style>
  <w:style w:type="character" w:customStyle="1" w:styleId="SingleTxtGCar">
    <w:name w:val="_ Single Txt_G Car"/>
    <w:uiPriority w:val="99"/>
    <w:rsid w:val="008E4827"/>
    <w:rPr>
      <w:lang w:val="en-GB" w:eastAsia="en-US"/>
    </w:rPr>
  </w:style>
  <w:style w:type="paragraph" w:customStyle="1" w:styleId="Default">
    <w:name w:val="Default"/>
    <w:rsid w:val="008E4827"/>
    <w:pPr>
      <w:autoSpaceDE w:val="0"/>
      <w:autoSpaceDN w:val="0"/>
      <w:adjustRightInd w:val="0"/>
    </w:pPr>
    <w:rPr>
      <w:color w:val="000000"/>
      <w:sz w:val="24"/>
      <w:szCs w:val="24"/>
      <w:lang w:val="fr-FR" w:eastAsia="fr-FR"/>
    </w:rPr>
  </w:style>
  <w:style w:type="paragraph" w:customStyle="1" w:styleId="H1">
    <w:name w:val="_ H_1"/>
    <w:basedOn w:val="Normal"/>
    <w:next w:val="SingleTxt"/>
    <w:uiPriority w:val="99"/>
    <w:rsid w:val="008E48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SimSun"/>
      <w:b/>
      <w:spacing w:val="4"/>
      <w:w w:val="103"/>
      <w:kern w:val="14"/>
      <w:sz w:val="24"/>
      <w:lang w:eastAsia="zh-CN"/>
    </w:rPr>
  </w:style>
  <w:style w:type="paragraph" w:customStyle="1" w:styleId="HCh">
    <w:name w:val="_ H _Ch"/>
    <w:basedOn w:val="H1"/>
    <w:next w:val="SingleTxt"/>
    <w:uiPriority w:val="99"/>
    <w:rsid w:val="008E4827"/>
    <w:pPr>
      <w:spacing w:line="300" w:lineRule="exact"/>
      <w:ind w:left="0" w:right="0" w:firstLine="0"/>
    </w:pPr>
    <w:rPr>
      <w:spacing w:val="-2"/>
      <w:sz w:val="28"/>
    </w:rPr>
  </w:style>
  <w:style w:type="paragraph" w:customStyle="1" w:styleId="SingleTxt">
    <w:name w:val="__Single Txt"/>
    <w:basedOn w:val="Normal"/>
    <w:uiPriority w:val="99"/>
    <w:rsid w:val="008E482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Bullet1">
    <w:name w:val="Bullet 1"/>
    <w:basedOn w:val="Normal"/>
    <w:uiPriority w:val="99"/>
    <w:rsid w:val="008E4827"/>
    <w:pPr>
      <w:numPr>
        <w:numId w:val="20"/>
      </w:numPr>
      <w:spacing w:after="120"/>
      <w:ind w:left="1743" w:right="1267" w:hanging="130"/>
      <w:jc w:val="both"/>
    </w:pPr>
    <w:rPr>
      <w:rFonts w:eastAsia="SimSun"/>
      <w:spacing w:val="4"/>
      <w:w w:val="103"/>
      <w:kern w:val="14"/>
      <w:lang w:eastAsia="zh-CN"/>
    </w:rPr>
  </w:style>
  <w:style w:type="numbering" w:styleId="ArticleSection">
    <w:name w:val="Outline List 3"/>
    <w:basedOn w:val="NoList"/>
    <w:unhideWhenUsed/>
    <w:rsid w:val="008E4827"/>
    <w:pPr>
      <w:numPr>
        <w:numId w:val="19"/>
      </w:numPr>
    </w:pPr>
  </w:style>
  <w:style w:type="numbering" w:styleId="1ai">
    <w:name w:val="Outline List 1"/>
    <w:basedOn w:val="NoList"/>
    <w:unhideWhenUsed/>
    <w:rsid w:val="008E4827"/>
    <w:pPr>
      <w:numPr>
        <w:numId w:val="18"/>
      </w:numPr>
    </w:pPr>
  </w:style>
  <w:style w:type="numbering" w:styleId="111111">
    <w:name w:val="Outline List 2"/>
    <w:basedOn w:val="NoList"/>
    <w:unhideWhenUsed/>
    <w:rsid w:val="008E4827"/>
    <w:pPr>
      <w:numPr>
        <w:numId w:val="17"/>
      </w:numPr>
    </w:pPr>
  </w:style>
  <w:style w:type="paragraph" w:styleId="ListParagraph">
    <w:name w:val="List Paragraph"/>
    <w:basedOn w:val="Normal"/>
    <w:uiPriority w:val="34"/>
    <w:qFormat/>
    <w:rsid w:val="008E4827"/>
    <w:pPr>
      <w:ind w:left="720"/>
      <w:contextualSpacing/>
    </w:pPr>
  </w:style>
  <w:style w:type="paragraph" w:styleId="DocumentMap">
    <w:name w:val="Document Map"/>
    <w:basedOn w:val="Normal"/>
    <w:link w:val="DocumentMapChar"/>
    <w:rsid w:val="008E4827"/>
    <w:rPr>
      <w:rFonts w:ascii="Tahoma" w:hAnsi="Tahoma" w:cs="Tahoma"/>
      <w:sz w:val="16"/>
      <w:szCs w:val="16"/>
    </w:rPr>
  </w:style>
  <w:style w:type="character" w:customStyle="1" w:styleId="DocumentMapChar">
    <w:name w:val="Document Map Char"/>
    <w:basedOn w:val="DefaultParagraphFont"/>
    <w:link w:val="DocumentMap"/>
    <w:rsid w:val="008E4827"/>
    <w:rPr>
      <w:rFonts w:ascii="Tahoma" w:hAnsi="Tahoma" w:cs="Tahoma"/>
      <w:sz w:val="16"/>
      <w:szCs w:val="16"/>
      <w:lang w:eastAsia="en-US"/>
    </w:rPr>
  </w:style>
  <w:style w:type="paragraph" w:customStyle="1" w:styleId="ISOParagraph">
    <w:name w:val="ISO_Paragraph"/>
    <w:basedOn w:val="Normal"/>
    <w:rsid w:val="008E4827"/>
    <w:pPr>
      <w:suppressAutoHyphens w:val="0"/>
      <w:spacing w:before="210" w:line="210" w:lineRule="exact"/>
    </w:pPr>
    <w:rPr>
      <w:rFonts w:ascii="Arial" w:hAnsi="Arial"/>
      <w:sz w:val="18"/>
    </w:rPr>
  </w:style>
  <w:style w:type="character" w:customStyle="1" w:styleId="RodapCarcter">
    <w:name w:val="Rodapé Carácter"/>
    <w:basedOn w:val="DefaultParagraphFont"/>
    <w:uiPriority w:val="99"/>
    <w:rsid w:val="000D638A"/>
    <w:rPr>
      <w:rFonts w:eastAsiaTheme="minorHAnsi"/>
      <w:sz w:val="21"/>
    </w:rPr>
  </w:style>
  <w:style w:type="paragraph" w:styleId="CommentSubject">
    <w:name w:val="annotation subject"/>
    <w:basedOn w:val="CommentText"/>
    <w:next w:val="CommentText"/>
    <w:link w:val="CommentSubjectChar"/>
    <w:rsid w:val="00532813"/>
    <w:pPr>
      <w:spacing w:line="240" w:lineRule="auto"/>
    </w:pPr>
    <w:rPr>
      <w:b/>
      <w:bCs/>
    </w:rPr>
  </w:style>
  <w:style w:type="character" w:customStyle="1" w:styleId="CommentSubjectChar">
    <w:name w:val="Comment Subject Char"/>
    <w:basedOn w:val="CommentTextChar"/>
    <w:link w:val="CommentSubject"/>
    <w:rsid w:val="005328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lley\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7B1C-38ED-46EE-8142-6C501C2B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51</TotalTime>
  <Pages>3</Pages>
  <Words>731</Words>
  <Characters>4167</Characters>
  <Application>Microsoft Office Word</Application>
  <DocSecurity>0</DocSecurity>
  <Lines>34</Lines>
  <Paragraphs>9</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CSD</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crp.3</dc:creator>
  <cp:lastModifiedBy>barrio-champeau</cp:lastModifiedBy>
  <cp:revision>5</cp:revision>
  <cp:lastPrinted>2016-09-16T06:50:00Z</cp:lastPrinted>
  <dcterms:created xsi:type="dcterms:W3CDTF">2016-09-16T06:56:00Z</dcterms:created>
  <dcterms:modified xsi:type="dcterms:W3CDTF">2016-09-16T07:48:00Z</dcterms:modified>
</cp:coreProperties>
</file>