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0788" w:rsidRDefault="00FF610A">
      <w:pPr>
        <w:spacing w:before="120" w:after="0" w:line="240" w:lineRule="atLeast"/>
        <w:rPr>
          <w:sz w:val="28"/>
          <w:szCs w:val="28"/>
        </w:rPr>
      </w:pPr>
      <w:r>
        <w:rPr>
          <w:b/>
          <w:sz w:val="28"/>
          <w:szCs w:val="28"/>
        </w:rPr>
        <w:t>Economic Commission for Europe</w:t>
      </w:r>
    </w:p>
    <w:p w:rsidR="00180788" w:rsidRDefault="00FF610A">
      <w:pPr>
        <w:spacing w:before="120" w:after="0" w:line="240" w:lineRule="atLeast"/>
        <w:rPr>
          <w:b/>
          <w:szCs w:val="24"/>
        </w:rPr>
      </w:pPr>
      <w:r>
        <w:rPr>
          <w:sz w:val="28"/>
          <w:szCs w:val="28"/>
        </w:rPr>
        <w:t>Inland Transport Committee</w:t>
      </w:r>
    </w:p>
    <w:p w:rsidR="00180788" w:rsidRDefault="00FF610A">
      <w:pPr>
        <w:tabs>
          <w:tab w:val="left" w:pos="7938"/>
        </w:tabs>
        <w:spacing w:before="120" w:after="0" w:line="240" w:lineRule="atLeast"/>
        <w:rPr>
          <w:b/>
        </w:rPr>
      </w:pPr>
      <w:r>
        <w:rPr>
          <w:b/>
          <w:szCs w:val="24"/>
        </w:rPr>
        <w:t>Working Party on the Transport of Dangerous Goods</w:t>
      </w:r>
      <w:r>
        <w:rPr>
          <w:b/>
          <w:szCs w:val="24"/>
        </w:rPr>
        <w:tab/>
      </w:r>
      <w:r w:rsidR="007C48C0">
        <w:rPr>
          <w:b/>
          <w:szCs w:val="24"/>
        </w:rPr>
        <w:t>1</w:t>
      </w:r>
      <w:r w:rsidR="00A67FFB">
        <w:rPr>
          <w:b/>
          <w:szCs w:val="24"/>
        </w:rPr>
        <w:t>5</w:t>
      </w:r>
      <w:bookmarkStart w:id="0" w:name="_GoBack"/>
      <w:bookmarkEnd w:id="0"/>
      <w:r w:rsidR="009373EF">
        <w:rPr>
          <w:b/>
          <w:szCs w:val="24"/>
        </w:rPr>
        <w:t xml:space="preserve"> September</w:t>
      </w:r>
      <w:r>
        <w:rPr>
          <w:b/>
        </w:rPr>
        <w:t xml:space="preserve"> 201</w:t>
      </w:r>
      <w:r w:rsidR="00C55E13">
        <w:rPr>
          <w:b/>
        </w:rPr>
        <w:t>6</w:t>
      </w:r>
    </w:p>
    <w:p w:rsidR="00180788" w:rsidRDefault="00FF610A">
      <w:pPr>
        <w:spacing w:before="120" w:after="120" w:line="240" w:lineRule="atLeast"/>
      </w:pPr>
      <w:r>
        <w:rPr>
          <w:b/>
        </w:rPr>
        <w:t xml:space="preserve">Joint Meeting of the RID Committee of Experts and the </w:t>
      </w:r>
      <w:r>
        <w:rPr>
          <w:b/>
        </w:rPr>
        <w:br/>
        <w:t>Working Party on the Transport of Dangerous Goods</w:t>
      </w:r>
    </w:p>
    <w:p w:rsidR="00180788" w:rsidRDefault="00FF610A" w:rsidP="00C55E13">
      <w:pPr>
        <w:spacing w:before="120" w:after="0" w:line="240" w:lineRule="atLeast"/>
        <w:rPr>
          <w:b/>
        </w:rPr>
      </w:pPr>
      <w:r>
        <w:t>Geneva, 1</w:t>
      </w:r>
      <w:r w:rsidR="00C55E13">
        <w:t>9</w:t>
      </w:r>
      <w:r>
        <w:t>–2</w:t>
      </w:r>
      <w:r w:rsidR="00C55E13">
        <w:t>3</w:t>
      </w:r>
      <w:r>
        <w:t xml:space="preserve"> September 201</w:t>
      </w:r>
      <w:r w:rsidR="00C55E13">
        <w:t>6</w:t>
      </w:r>
      <w:r w:rsidR="00C55E13">
        <w:br/>
        <w:t xml:space="preserve">Item </w:t>
      </w:r>
      <w:r w:rsidR="00E93FD7">
        <w:t>5 (b)</w:t>
      </w:r>
      <w:r>
        <w:t xml:space="preserve"> of the provisional agenda</w:t>
      </w:r>
    </w:p>
    <w:p w:rsidR="00E93FD7" w:rsidRPr="00E1493E" w:rsidRDefault="00E93FD7" w:rsidP="00E93FD7">
      <w:pPr>
        <w:spacing w:after="0"/>
        <w:rPr>
          <w:b/>
        </w:rPr>
      </w:pPr>
      <w:r w:rsidRPr="00E1493E">
        <w:rPr>
          <w:b/>
        </w:rPr>
        <w:t>Proposals for amendments to RID/ADR/ADN</w:t>
      </w:r>
      <w:r w:rsidR="007C48C0">
        <w:rPr>
          <w:b/>
        </w:rPr>
        <w:t>:</w:t>
      </w:r>
    </w:p>
    <w:p w:rsidR="00180788" w:rsidRDefault="00E93FD7" w:rsidP="00E93FD7">
      <w:pPr>
        <w:spacing w:after="120" w:line="240" w:lineRule="atLeast"/>
      </w:pPr>
      <w:proofErr w:type="gramStart"/>
      <w:r>
        <w:rPr>
          <w:b/>
        </w:rPr>
        <w:t>n</w:t>
      </w:r>
      <w:r w:rsidRPr="00E1493E">
        <w:rPr>
          <w:b/>
        </w:rPr>
        <w:t>ew</w:t>
      </w:r>
      <w:proofErr w:type="gramEnd"/>
      <w:r w:rsidRPr="00E1493E">
        <w:rPr>
          <w:b/>
        </w:rPr>
        <w:t xml:space="preserve"> proposals</w:t>
      </w:r>
    </w:p>
    <w:p w:rsidR="005C65A0" w:rsidRPr="0019654A" w:rsidRDefault="00FF610A" w:rsidP="0019654A">
      <w:pPr>
        <w:pStyle w:val="HChG"/>
        <w:rPr>
          <w:b w:val="0"/>
          <w:szCs w:val="28"/>
        </w:rPr>
      </w:pPr>
      <w:r w:rsidRPr="00E93FD7">
        <w:tab/>
      </w:r>
      <w:r w:rsidRPr="00E93FD7">
        <w:tab/>
      </w:r>
      <w:r w:rsidR="005C65A0" w:rsidRPr="0019654A">
        <w:rPr>
          <w:szCs w:val="28"/>
        </w:rPr>
        <w:t>Simplification of the packaging for transport - double use of waste collection containers</w:t>
      </w:r>
    </w:p>
    <w:p w:rsidR="005C65A0" w:rsidRPr="0019654A" w:rsidRDefault="009373EF" w:rsidP="0019654A">
      <w:pPr>
        <w:pStyle w:val="H1G"/>
        <w:rPr>
          <w:b w:val="0"/>
          <w:szCs w:val="24"/>
        </w:rPr>
      </w:pPr>
      <w:r w:rsidRPr="007C48C0">
        <w:rPr>
          <w:bCs/>
          <w:szCs w:val="24"/>
          <w:lang w:val="en-US"/>
        </w:rPr>
        <w:tab/>
      </w:r>
      <w:r w:rsidRPr="007C48C0">
        <w:rPr>
          <w:bCs/>
          <w:szCs w:val="24"/>
          <w:lang w:val="en-US"/>
        </w:rPr>
        <w:tab/>
      </w:r>
      <w:r w:rsidR="005C65A0" w:rsidRPr="0019654A">
        <w:rPr>
          <w:szCs w:val="24"/>
        </w:rPr>
        <w:t>Amendment by the FEAD, European Federation of Waste Management and Environmental Services</w:t>
      </w:r>
    </w:p>
    <w:p w:rsidR="005C65A0" w:rsidRPr="0019654A" w:rsidRDefault="009373EF" w:rsidP="0019654A">
      <w:pPr>
        <w:pStyle w:val="HChG"/>
        <w:rPr>
          <w:rStyle w:val="a"/>
          <w:bCs/>
          <w:lang w:val="en-US"/>
        </w:rPr>
      </w:pPr>
      <w:r>
        <w:rPr>
          <w:rStyle w:val="a"/>
          <w:bCs/>
          <w:lang w:val="en-US"/>
        </w:rPr>
        <w:tab/>
      </w:r>
      <w:r>
        <w:rPr>
          <w:rStyle w:val="a"/>
          <w:bCs/>
          <w:lang w:val="en-US"/>
        </w:rPr>
        <w:tab/>
      </w:r>
      <w:r w:rsidR="007B2462">
        <w:rPr>
          <w:rStyle w:val="a"/>
          <w:bCs/>
          <w:lang w:val="en-US"/>
        </w:rPr>
        <w:t>Background</w:t>
      </w:r>
    </w:p>
    <w:p w:rsidR="005C65A0" w:rsidRPr="0019654A" w:rsidRDefault="00E62B68" w:rsidP="0019654A">
      <w:pPr>
        <w:pStyle w:val="SingleTxtG"/>
        <w:rPr>
          <w:rStyle w:val="a"/>
          <w:lang w:val="en-US"/>
        </w:rPr>
      </w:pPr>
      <w:r>
        <w:rPr>
          <w:rStyle w:val="a"/>
          <w:lang w:val="en-US"/>
        </w:rPr>
        <w:t>1.</w:t>
      </w:r>
      <w:r>
        <w:rPr>
          <w:rStyle w:val="a"/>
          <w:lang w:val="en-US"/>
        </w:rPr>
        <w:tab/>
      </w:r>
      <w:r w:rsidR="005C65A0" w:rsidRPr="0019654A">
        <w:rPr>
          <w:rStyle w:val="a"/>
          <w:lang w:val="en-US"/>
        </w:rPr>
        <w:t>In accordance with the definitions in section 1.2.1 ADR, an intermediate bulk container (IBC) is a packaging, which is not mentioned in chapter 6.1 ADR. Chapter 6.1 rather specifies drums, cans, boxes, combinations and light gauge metal packaging, which are used as packaging approved for dangerous goods, as under the packing group I-III.</w:t>
      </w:r>
    </w:p>
    <w:p w:rsidR="005C65A0" w:rsidRPr="00237E13" w:rsidRDefault="00E62B68" w:rsidP="0019654A">
      <w:pPr>
        <w:pStyle w:val="SingleTxtG"/>
        <w:rPr>
          <w:rFonts w:ascii="Arial" w:hAnsi="Arial" w:cs="Arial"/>
          <w:sz w:val="22"/>
          <w:lang w:eastAsia="de-DE"/>
        </w:rPr>
      </w:pPr>
      <w:r>
        <w:rPr>
          <w:rStyle w:val="a"/>
          <w:lang w:val="en-US"/>
        </w:rPr>
        <w:t>2.</w:t>
      </w:r>
      <w:r>
        <w:rPr>
          <w:rStyle w:val="a"/>
          <w:lang w:val="en-US"/>
        </w:rPr>
        <w:tab/>
      </w:r>
      <w:r w:rsidR="005C65A0" w:rsidRPr="0019654A">
        <w:rPr>
          <w:rStyle w:val="a"/>
          <w:lang w:val="en-US"/>
        </w:rPr>
        <w:t xml:space="preserve">In recent years, manufacturers got </w:t>
      </w:r>
      <w:proofErr w:type="spellStart"/>
      <w:r w:rsidR="005C65A0" w:rsidRPr="0019654A">
        <w:rPr>
          <w:rStyle w:val="a"/>
          <w:lang w:val="en-US"/>
        </w:rPr>
        <w:t>packings</w:t>
      </w:r>
      <w:proofErr w:type="spellEnd"/>
      <w:r w:rsidR="005C65A0" w:rsidRPr="0019654A">
        <w:rPr>
          <w:rStyle w:val="a"/>
          <w:lang w:val="en-US"/>
        </w:rPr>
        <w:t>/transport packaging</w:t>
      </w:r>
      <w:r w:rsidR="005C65A0" w:rsidRPr="0019654A" w:rsidDel="00147B76">
        <w:rPr>
          <w:rStyle w:val="a"/>
          <w:lang w:val="en-US"/>
        </w:rPr>
        <w:t xml:space="preserve"> </w:t>
      </w:r>
      <w:r w:rsidR="005C65A0" w:rsidRPr="0019654A">
        <w:rPr>
          <w:rStyle w:val="a"/>
          <w:lang w:val="en-US"/>
        </w:rPr>
        <w:t>tested that have been manufactured to the same design and got them approved in each case as both box (4A) and IBC (11A) by the competent authorities. An identical container meeting both test requirements therefore complies with the requirements of the test specifications of the respective type approval in chapter 6.1 and 6.5 of the ADR. Thus such universally usable transport packaging can be considered suitable for both small receptacles and unpackaged solid substances. 500.000 units of those types of containers are currently being used throughout Europe</w:t>
      </w:r>
      <w:r w:rsidR="005C65A0" w:rsidRPr="00237E13">
        <w:rPr>
          <w:rFonts w:ascii="Arial" w:hAnsi="Arial"/>
          <w:sz w:val="22"/>
          <w:lang w:eastAsia="de-DE"/>
        </w:rPr>
        <w:t>.</w:t>
      </w:r>
    </w:p>
    <w:p w:rsidR="005C65A0" w:rsidRPr="00237E13" w:rsidRDefault="007B2462" w:rsidP="007B2462">
      <w:pPr>
        <w:pStyle w:val="HChG"/>
        <w:rPr>
          <w:rFonts w:ascii="Arial" w:hAnsi="Arial" w:cs="Arial"/>
          <w:b w:val="0"/>
          <w:sz w:val="22"/>
          <w:szCs w:val="22"/>
          <w:lang w:val="de-DE" w:eastAsia="de-DE"/>
        </w:rPr>
      </w:pPr>
      <w:r>
        <w:rPr>
          <w:rStyle w:val="a"/>
          <w:bCs/>
          <w:lang w:val="en-US"/>
        </w:rPr>
        <w:tab/>
      </w:r>
      <w:r>
        <w:rPr>
          <w:rStyle w:val="a"/>
          <w:bCs/>
          <w:lang w:val="en-US"/>
        </w:rPr>
        <w:tab/>
      </w:r>
      <w:r w:rsidR="005C65A0" w:rsidRPr="007B2462">
        <w:rPr>
          <w:rStyle w:val="a"/>
          <w:bCs/>
          <w:lang w:val="en-US"/>
        </w:rPr>
        <w:t>Discussion</w:t>
      </w:r>
    </w:p>
    <w:p w:rsidR="005C65A0" w:rsidRPr="007B2462" w:rsidRDefault="007B2462" w:rsidP="00E62B68">
      <w:pPr>
        <w:pStyle w:val="SingleTxtG"/>
        <w:rPr>
          <w:rStyle w:val="a"/>
          <w:lang w:val="en-US"/>
        </w:rPr>
      </w:pPr>
      <w:r>
        <w:rPr>
          <w:rStyle w:val="a"/>
          <w:lang w:val="en-US"/>
        </w:rPr>
        <w:t>3.</w:t>
      </w:r>
      <w:r>
        <w:rPr>
          <w:rStyle w:val="a"/>
          <w:lang w:val="en-US"/>
        </w:rPr>
        <w:tab/>
      </w:r>
      <w:r w:rsidR="005C65A0" w:rsidRPr="007B2462">
        <w:rPr>
          <w:rStyle w:val="a"/>
          <w:lang w:val="en-US"/>
        </w:rPr>
        <w:t xml:space="preserve">If the status quo is maintained, the following procedure is formally to be applied: </w:t>
      </w:r>
    </w:p>
    <w:p w:rsidR="005C65A0" w:rsidRPr="007B2462" w:rsidRDefault="007B2462" w:rsidP="007B2462">
      <w:pPr>
        <w:pStyle w:val="SingleTxtG"/>
        <w:ind w:firstLine="567"/>
        <w:rPr>
          <w:rStyle w:val="a"/>
          <w:lang w:val="en-US"/>
        </w:rPr>
      </w:pPr>
      <w:r>
        <w:rPr>
          <w:rStyle w:val="a"/>
          <w:lang w:val="en-US"/>
        </w:rPr>
        <w:t>(a)</w:t>
      </w:r>
      <w:r w:rsidR="005C65A0" w:rsidRPr="007B2462">
        <w:rPr>
          <w:rStyle w:val="a"/>
          <w:lang w:val="en-US"/>
        </w:rPr>
        <w:tab/>
      </w:r>
      <w:r w:rsidR="002C6C26">
        <w:rPr>
          <w:rStyle w:val="a"/>
          <w:lang w:val="en-US"/>
        </w:rPr>
        <w:t>P</w:t>
      </w:r>
      <w:r w:rsidR="005C65A0" w:rsidRPr="007B2462">
        <w:rPr>
          <w:rStyle w:val="a"/>
          <w:lang w:val="en-US"/>
        </w:rPr>
        <w:t xml:space="preserve">ackaged dangerous goods in small receptacles and unpackaged dangerous goods limited to a maximum net mass of 400 kg may be transported only in boxes meeting the test requirements of chapter 6.1 of the ADR. </w:t>
      </w:r>
    </w:p>
    <w:p w:rsidR="005C65A0" w:rsidRPr="007B2462" w:rsidRDefault="005C65A0" w:rsidP="002C6C26">
      <w:pPr>
        <w:pStyle w:val="SingleTxtG"/>
        <w:ind w:left="2268"/>
        <w:rPr>
          <w:rStyle w:val="a"/>
          <w:lang w:val="en-US"/>
        </w:rPr>
      </w:pPr>
      <w:r w:rsidRPr="007B2462">
        <w:rPr>
          <w:rStyle w:val="a"/>
          <w:lang w:val="en-US"/>
        </w:rPr>
        <w:t xml:space="preserve">Identical packaging, meeting the test requirements of chapter 6.5 of the ADR, can be used only for unpackaged dangerous goods. </w:t>
      </w:r>
    </w:p>
    <w:p w:rsidR="005C65A0" w:rsidRPr="00237E13" w:rsidRDefault="005C65A0" w:rsidP="002C6C26">
      <w:pPr>
        <w:pStyle w:val="SingleTxtG"/>
        <w:ind w:left="2268"/>
        <w:rPr>
          <w:rFonts w:ascii="Arial" w:hAnsi="Arial" w:cs="Arial"/>
          <w:sz w:val="22"/>
          <w:szCs w:val="22"/>
          <w:lang w:eastAsia="de-DE"/>
        </w:rPr>
      </w:pPr>
      <w:r w:rsidRPr="007B2462">
        <w:rPr>
          <w:rStyle w:val="a"/>
          <w:lang w:val="en-US"/>
        </w:rPr>
        <w:t>A double coding of identical containers and therefore a double use is prohibited</w:t>
      </w:r>
      <w:r w:rsidRPr="00237E13">
        <w:rPr>
          <w:rFonts w:ascii="Arial" w:hAnsi="Arial"/>
          <w:sz w:val="22"/>
          <w:lang w:eastAsia="de-DE"/>
        </w:rPr>
        <w:t>.</w:t>
      </w:r>
      <w:r w:rsidRPr="00237E13">
        <w:rPr>
          <w:rFonts w:ascii="Arial" w:hAnsi="Arial" w:cs="Arial"/>
          <w:sz w:val="22"/>
          <w:szCs w:val="22"/>
          <w:lang w:eastAsia="de-DE"/>
        </w:rPr>
        <w:t xml:space="preserve"> </w:t>
      </w:r>
    </w:p>
    <w:p w:rsidR="005C65A0" w:rsidRPr="008D5F41" w:rsidRDefault="002C6C26" w:rsidP="008D5F41">
      <w:pPr>
        <w:pStyle w:val="SingleTxtG"/>
        <w:ind w:firstLine="567"/>
        <w:rPr>
          <w:rStyle w:val="a"/>
          <w:lang w:val="en-US"/>
        </w:rPr>
      </w:pPr>
      <w:r>
        <w:rPr>
          <w:rStyle w:val="a"/>
          <w:lang w:val="en-US"/>
        </w:rPr>
        <w:t>(</w:t>
      </w:r>
      <w:r w:rsidR="008D5F41">
        <w:rPr>
          <w:rStyle w:val="a"/>
          <w:lang w:val="en-US"/>
        </w:rPr>
        <w:t>b)</w:t>
      </w:r>
      <w:r w:rsidR="005C65A0" w:rsidRPr="008D5F41">
        <w:rPr>
          <w:rStyle w:val="a"/>
          <w:lang w:val="en-US"/>
        </w:rPr>
        <w:tab/>
        <w:t xml:space="preserve">IBC, which </w:t>
      </w:r>
      <w:proofErr w:type="gramStart"/>
      <w:r w:rsidR="005C65A0" w:rsidRPr="008D5F41">
        <w:rPr>
          <w:rStyle w:val="a"/>
          <w:lang w:val="en-US"/>
        </w:rPr>
        <w:t>do</w:t>
      </w:r>
      <w:proofErr w:type="gramEnd"/>
      <w:r w:rsidR="005C65A0" w:rsidRPr="008D5F41">
        <w:rPr>
          <w:rStyle w:val="a"/>
          <w:lang w:val="en-US"/>
        </w:rPr>
        <w:t xml:space="preserve"> not meet the requirements under chapter 6.1 of the ADR would subsequently have to be tested under these requirements and to be transcoded accordingly. Thereafter, their use for unpackaged and packaged dangerous goods is permitted. However, in contrast to the use in accordance with chapter 6.5 of the ADR, the </w:t>
      </w:r>
      <w:r w:rsidR="005C65A0" w:rsidRPr="008D5F41">
        <w:rPr>
          <w:rStyle w:val="a"/>
          <w:lang w:val="en-US"/>
        </w:rPr>
        <w:lastRenderedPageBreak/>
        <w:t>use as a container in accordance with the requirements of chapter 6.1 of the ADR limits the maximum permissible net mass to 400kg.</w:t>
      </w:r>
    </w:p>
    <w:p w:rsidR="005C65A0" w:rsidRPr="008D5F41" w:rsidRDefault="008D5F41" w:rsidP="008D5F41">
      <w:pPr>
        <w:pStyle w:val="SingleTxtG"/>
        <w:rPr>
          <w:rStyle w:val="a"/>
          <w:lang w:val="en-US"/>
        </w:rPr>
      </w:pPr>
      <w:r>
        <w:rPr>
          <w:rStyle w:val="a"/>
          <w:lang w:val="en-US"/>
        </w:rPr>
        <w:t>4.</w:t>
      </w:r>
      <w:r>
        <w:rPr>
          <w:rStyle w:val="a"/>
          <w:lang w:val="en-US"/>
        </w:rPr>
        <w:tab/>
      </w:r>
      <w:r w:rsidR="005C65A0" w:rsidRPr="008D5F41">
        <w:rPr>
          <w:rStyle w:val="a"/>
          <w:lang w:val="en-US"/>
        </w:rPr>
        <w:t>The experiences in practice with transporting dangerous goods show that double use/double coding of identical containers does not lead to any problems or security incidents. In daily practice, the responsible packer can decide himself in what form he will use the container and documents this clearly in the relevant transport document. In this way, the type of application of the containers is transparent and comprehensible also for controlling authorities. The use as a box or an IBC is fundamentally documented in the transport document; the simultaneous use under both type approvals is excluded. The marking as IBC or box is adapted to the respective use and the labelling is made in unequivocal manner in accordance with the use.</w:t>
      </w:r>
    </w:p>
    <w:p w:rsidR="005C65A0" w:rsidRPr="008D5F41" w:rsidRDefault="008D5F41" w:rsidP="008D5F41">
      <w:pPr>
        <w:pStyle w:val="SingleTxtG"/>
        <w:rPr>
          <w:rStyle w:val="a"/>
          <w:lang w:val="en-US"/>
        </w:rPr>
      </w:pPr>
      <w:r>
        <w:rPr>
          <w:rStyle w:val="a"/>
          <w:lang w:val="en-US"/>
        </w:rPr>
        <w:t>5.</w:t>
      </w:r>
      <w:r>
        <w:rPr>
          <w:rStyle w:val="a"/>
          <w:lang w:val="en-US"/>
        </w:rPr>
        <w:tab/>
      </w:r>
      <w:r w:rsidR="005C65A0" w:rsidRPr="008D5F41">
        <w:rPr>
          <w:rStyle w:val="a"/>
          <w:lang w:val="en-US"/>
        </w:rPr>
        <w:t>Having both type approvals and meeting both test requirements, the container meets both the criteria of a box (4A) and those of an IBC (11A). The limitation to only one code would be a pure formality and bring no safety benefits in practice. Practice in the European waste management industry has proved that double use, which is linked to a clear marking in accordance with the respective use, makes sense and ensures the safety of dangerous goods transportation. Furthermore, due to the double approval, the steel box will be regularly tested every 2.5 years (although not required). Undoubtedly, the double use allows a flexible application for all users, adapted to the filling with small receptacles (4A) or solid unpackaged dangerous goods (11A). Both applications are standard in the waste management industry throughout Europe for decades.</w:t>
      </w:r>
    </w:p>
    <w:p w:rsidR="005C65A0" w:rsidRPr="008D5F41" w:rsidRDefault="008D5F41" w:rsidP="008D5F41">
      <w:pPr>
        <w:pStyle w:val="HChG"/>
        <w:rPr>
          <w:rStyle w:val="a"/>
          <w:bCs/>
          <w:lang w:val="en-US"/>
        </w:rPr>
      </w:pPr>
      <w:r>
        <w:rPr>
          <w:rStyle w:val="a"/>
          <w:bCs/>
          <w:lang w:val="en-US"/>
        </w:rPr>
        <w:tab/>
      </w:r>
      <w:r>
        <w:rPr>
          <w:rStyle w:val="a"/>
          <w:bCs/>
          <w:lang w:val="en-US"/>
        </w:rPr>
        <w:tab/>
      </w:r>
      <w:r w:rsidR="005C65A0" w:rsidRPr="008D5F41">
        <w:rPr>
          <w:rStyle w:val="a"/>
          <w:bCs/>
          <w:lang w:val="en-US"/>
        </w:rPr>
        <w:t>Amen</w:t>
      </w:r>
      <w:r>
        <w:rPr>
          <w:rStyle w:val="a"/>
          <w:bCs/>
          <w:lang w:val="en-US"/>
        </w:rPr>
        <w:t>dment</w:t>
      </w:r>
    </w:p>
    <w:p w:rsidR="005C65A0" w:rsidRPr="00237E13" w:rsidRDefault="008D5F41" w:rsidP="008D5F41">
      <w:pPr>
        <w:pStyle w:val="SingleTxtG"/>
        <w:rPr>
          <w:rFonts w:ascii="Arial" w:hAnsi="Arial" w:cs="Arial"/>
          <w:bCs/>
          <w:iCs/>
          <w:sz w:val="22"/>
          <w:szCs w:val="22"/>
          <w:lang w:eastAsia="de-DE"/>
        </w:rPr>
      </w:pPr>
      <w:r>
        <w:rPr>
          <w:rStyle w:val="a"/>
          <w:lang w:val="en-US"/>
        </w:rPr>
        <w:t>6.</w:t>
      </w:r>
      <w:r>
        <w:rPr>
          <w:rStyle w:val="a"/>
          <w:lang w:val="en-US"/>
        </w:rPr>
        <w:tab/>
      </w:r>
      <w:r w:rsidR="005C65A0" w:rsidRPr="008D5F41">
        <w:rPr>
          <w:rStyle w:val="a"/>
          <w:lang w:val="en-US"/>
        </w:rPr>
        <w:t>With regard to a practicable application of the ADR to the transport of small receptacles as well as to unpackaged substances in universally usable transport packaging, double coding and thus double use of the transport packaging must be realized</w:t>
      </w:r>
      <w:r w:rsidR="005C65A0" w:rsidRPr="00237E13">
        <w:rPr>
          <w:rFonts w:ascii="Arial" w:hAnsi="Arial"/>
          <w:sz w:val="22"/>
          <w:lang w:eastAsia="de-DE"/>
        </w:rPr>
        <w:t>.</w:t>
      </w:r>
    </w:p>
    <w:p w:rsidR="005C65A0" w:rsidRPr="008D5F41" w:rsidRDefault="008D5F41" w:rsidP="008D5F41">
      <w:pPr>
        <w:pStyle w:val="SingleTxtG"/>
        <w:rPr>
          <w:rStyle w:val="a"/>
          <w:lang w:val="en-US"/>
        </w:rPr>
      </w:pPr>
      <w:r>
        <w:rPr>
          <w:rStyle w:val="a"/>
          <w:lang w:val="en-US"/>
        </w:rPr>
        <w:t>7.</w:t>
      </w:r>
      <w:r>
        <w:rPr>
          <w:rStyle w:val="a"/>
          <w:lang w:val="en-US"/>
        </w:rPr>
        <w:tab/>
      </w:r>
      <w:r w:rsidR="005C65A0" w:rsidRPr="008D5F41">
        <w:rPr>
          <w:rStyle w:val="a"/>
          <w:lang w:val="en-US"/>
        </w:rPr>
        <w:t xml:space="preserve">The definition in chapter 1.2.1 of the ADR should be adapted as follows: “Intermediate bulk container" (IBC) means a rigid, or flexible portable packaging, </w:t>
      </w:r>
      <w:r w:rsidR="005C65A0" w:rsidRPr="008D5F41">
        <w:rPr>
          <w:rStyle w:val="a"/>
          <w:strike/>
          <w:lang w:val="en-US"/>
        </w:rPr>
        <w:t>other than those specified in chapter 6.1</w:t>
      </w:r>
      <w:r w:rsidR="005C65A0" w:rsidRPr="008D5F41">
        <w:rPr>
          <w:rStyle w:val="a"/>
          <w:lang w:val="en-US"/>
        </w:rPr>
        <w:t>, that</w:t>
      </w:r>
      <w:proofErr w:type="gramStart"/>
      <w:r w:rsidR="005C65A0" w:rsidRPr="008D5F41">
        <w:rPr>
          <w:rStyle w:val="a"/>
          <w:lang w:val="en-US"/>
        </w:rPr>
        <w:t>:...</w:t>
      </w:r>
      <w:proofErr w:type="gramEnd"/>
      <w:r w:rsidR="005C65A0" w:rsidRPr="008D5F41">
        <w:rPr>
          <w:rStyle w:val="a"/>
          <w:lang w:val="en-US"/>
        </w:rPr>
        <w:t xml:space="preserve">" </w:t>
      </w:r>
    </w:p>
    <w:p w:rsidR="005C65A0" w:rsidRPr="008D5F41" w:rsidRDefault="008D5F41" w:rsidP="008D5F41">
      <w:pPr>
        <w:pStyle w:val="SingleTxtG"/>
        <w:rPr>
          <w:rStyle w:val="a"/>
          <w:lang w:val="en-US"/>
        </w:rPr>
      </w:pPr>
      <w:r>
        <w:rPr>
          <w:rStyle w:val="a"/>
          <w:lang w:val="en-US"/>
        </w:rPr>
        <w:t>8.</w:t>
      </w:r>
      <w:r>
        <w:rPr>
          <w:rStyle w:val="a"/>
          <w:lang w:val="en-US"/>
        </w:rPr>
        <w:tab/>
      </w:r>
      <w:r w:rsidR="005C65A0" w:rsidRPr="008D5F41">
        <w:rPr>
          <w:rStyle w:val="a"/>
          <w:lang w:val="en-US"/>
        </w:rPr>
        <w:t>The definition intends to allow the possibility for a container meeting the test requirements of chapter 6.1 and 6.5 ADR to be used under the respective packing group.</w:t>
      </w:r>
    </w:p>
    <w:p w:rsidR="005C65A0" w:rsidRPr="008D5F41" w:rsidRDefault="008D5F41" w:rsidP="008D5F41">
      <w:pPr>
        <w:pStyle w:val="HChG"/>
        <w:rPr>
          <w:rStyle w:val="a"/>
          <w:lang w:val="en-US"/>
        </w:rPr>
      </w:pPr>
      <w:r>
        <w:rPr>
          <w:rStyle w:val="a"/>
          <w:bCs/>
          <w:lang w:val="en-US"/>
        </w:rPr>
        <w:tab/>
      </w:r>
      <w:r>
        <w:rPr>
          <w:rStyle w:val="a"/>
          <w:bCs/>
          <w:lang w:val="en-US"/>
        </w:rPr>
        <w:tab/>
      </w:r>
      <w:r w:rsidR="005C65A0" w:rsidRPr="008D5F41">
        <w:rPr>
          <w:rStyle w:val="a"/>
          <w:bCs/>
          <w:lang w:val="en-US"/>
        </w:rPr>
        <w:t>Justification:</w:t>
      </w:r>
    </w:p>
    <w:p w:rsidR="005C65A0" w:rsidRPr="008D5F41" w:rsidRDefault="008D5F41" w:rsidP="008D5F41">
      <w:pPr>
        <w:pStyle w:val="SingleTxtG"/>
        <w:rPr>
          <w:rStyle w:val="a"/>
          <w:lang w:val="en-US"/>
        </w:rPr>
      </w:pPr>
      <w:r>
        <w:rPr>
          <w:rStyle w:val="a"/>
          <w:lang w:val="en-US"/>
        </w:rPr>
        <w:t>9.</w:t>
      </w:r>
      <w:r>
        <w:rPr>
          <w:rStyle w:val="a"/>
          <w:lang w:val="en-US"/>
        </w:rPr>
        <w:tab/>
      </w:r>
      <w:r w:rsidR="005C65A0" w:rsidRPr="008D5F41">
        <w:rPr>
          <w:rStyle w:val="a"/>
          <w:lang w:val="en-US"/>
        </w:rPr>
        <w:t>For the transport of small receptacles, placed in transport packaging, a box (4A) is required as approved outer packaging. However, for the transport of unpackaged dangerous goods, which are filled into the container, an approval as IBC (11A) is required. Both applications are standard in European waste management industry. Practice has proved that double use makes sense and ensures the safety of dangerous goods transportation. In addition, the steel box will now be tested repeatedly after 2.5 years!</w:t>
      </w:r>
    </w:p>
    <w:p w:rsidR="005C65A0" w:rsidRPr="008D5F41" w:rsidRDefault="008D5F41" w:rsidP="008D5F41">
      <w:pPr>
        <w:pStyle w:val="SingleTxtG"/>
        <w:rPr>
          <w:rStyle w:val="a"/>
          <w:lang w:val="en-US"/>
        </w:rPr>
      </w:pPr>
      <w:r>
        <w:rPr>
          <w:rStyle w:val="a"/>
          <w:lang w:val="en-US"/>
        </w:rPr>
        <w:t>10.</w:t>
      </w:r>
      <w:r>
        <w:rPr>
          <w:rStyle w:val="a"/>
          <w:lang w:val="en-US"/>
        </w:rPr>
        <w:tab/>
      </w:r>
      <w:r w:rsidR="005C65A0" w:rsidRPr="008D5F41">
        <w:rPr>
          <w:rStyle w:val="a"/>
          <w:lang w:val="en-US"/>
        </w:rPr>
        <w:t>The proposed amendment adjusts the provision to the practicalities of transportation.</w:t>
      </w:r>
    </w:p>
    <w:p w:rsidR="005C65A0" w:rsidRPr="008D5F41" w:rsidRDefault="008D5F41" w:rsidP="008D5F41">
      <w:pPr>
        <w:pStyle w:val="SingleTxtG"/>
        <w:rPr>
          <w:rStyle w:val="a"/>
          <w:lang w:val="en-US"/>
        </w:rPr>
      </w:pPr>
      <w:r>
        <w:rPr>
          <w:rStyle w:val="a"/>
          <w:lang w:val="en-US"/>
        </w:rPr>
        <w:t>11.</w:t>
      </w:r>
      <w:r>
        <w:rPr>
          <w:rStyle w:val="a"/>
          <w:lang w:val="en-US"/>
        </w:rPr>
        <w:tab/>
      </w:r>
      <w:r w:rsidR="005C65A0" w:rsidRPr="008D5F41">
        <w:rPr>
          <w:rStyle w:val="a"/>
          <w:lang w:val="en-US"/>
        </w:rPr>
        <w:t>The practice has proved that double use, which is linked to a clear marking in accordance with the respective use, makes sense and ensures the safety of dangerous goods transportation.</w:t>
      </w:r>
    </w:p>
    <w:p w:rsidR="005C65A0" w:rsidRPr="008D5F41" w:rsidRDefault="008D5F41" w:rsidP="008D5F41">
      <w:pPr>
        <w:pStyle w:val="SingleTxtG"/>
        <w:rPr>
          <w:rStyle w:val="a"/>
          <w:lang w:val="en-US"/>
        </w:rPr>
      </w:pPr>
      <w:r>
        <w:rPr>
          <w:rStyle w:val="a"/>
          <w:lang w:val="en-US"/>
        </w:rPr>
        <w:t>12.</w:t>
      </w:r>
      <w:r>
        <w:rPr>
          <w:rStyle w:val="a"/>
          <w:lang w:val="en-US"/>
        </w:rPr>
        <w:tab/>
      </w:r>
      <w:r w:rsidR="005C65A0" w:rsidRPr="008D5F41">
        <w:rPr>
          <w:rStyle w:val="a"/>
          <w:lang w:val="en-US"/>
        </w:rPr>
        <w:t>Undoubtedly, the double use allows a flexible application for all users, adapted to the filling with small receptacles (4A) or solid unpackaged dangerous goods (11A). Both applications are standard in the waste management industry for decades in Europe.</w:t>
      </w:r>
    </w:p>
    <w:p w:rsidR="005C65A0" w:rsidRPr="008D5F41" w:rsidRDefault="005C65A0" w:rsidP="008D5F41">
      <w:pPr>
        <w:spacing w:before="120" w:after="120"/>
        <w:ind w:left="1134"/>
        <w:jc w:val="both"/>
        <w:rPr>
          <w:lang w:eastAsia="de-DE"/>
        </w:rPr>
      </w:pPr>
      <w:r w:rsidRPr="00E370F4">
        <w:rPr>
          <w:lang w:eastAsia="de-DE"/>
        </w:rPr>
        <w:t>Safety:</w:t>
      </w:r>
      <w:r w:rsidR="002C6C26">
        <w:rPr>
          <w:lang w:eastAsia="de-DE"/>
        </w:rPr>
        <w:tab/>
      </w:r>
      <w:r w:rsidR="002C6C26">
        <w:rPr>
          <w:lang w:eastAsia="de-DE"/>
        </w:rPr>
        <w:tab/>
      </w:r>
      <w:r w:rsidRPr="008D5F41">
        <w:rPr>
          <w:lang w:eastAsia="de-DE"/>
        </w:rPr>
        <w:t>No impact.</w:t>
      </w:r>
    </w:p>
    <w:p w:rsidR="005C65A0" w:rsidRPr="008D5F41" w:rsidRDefault="005C65A0" w:rsidP="008D5F41">
      <w:pPr>
        <w:spacing w:before="120" w:after="120"/>
        <w:ind w:left="1134"/>
        <w:jc w:val="both"/>
        <w:rPr>
          <w:lang w:eastAsia="de-DE"/>
        </w:rPr>
      </w:pPr>
      <w:r w:rsidRPr="00E370F4">
        <w:rPr>
          <w:lang w:eastAsia="de-DE"/>
        </w:rPr>
        <w:lastRenderedPageBreak/>
        <w:t>Feasibility:</w:t>
      </w:r>
      <w:r w:rsidR="002C6C26">
        <w:rPr>
          <w:lang w:eastAsia="de-DE"/>
        </w:rPr>
        <w:tab/>
      </w:r>
      <w:r w:rsidR="002C6C26">
        <w:rPr>
          <w:lang w:eastAsia="de-DE"/>
        </w:rPr>
        <w:tab/>
        <w:t>O</w:t>
      </w:r>
      <w:r w:rsidRPr="008D5F41">
        <w:rPr>
          <w:lang w:eastAsia="de-DE"/>
        </w:rPr>
        <w:t>ptimization.</w:t>
      </w:r>
    </w:p>
    <w:p w:rsidR="005C65A0" w:rsidRPr="00237E13" w:rsidRDefault="005C65A0" w:rsidP="008D5F41">
      <w:pPr>
        <w:spacing w:before="120" w:after="120"/>
        <w:ind w:left="1134"/>
        <w:jc w:val="both"/>
        <w:rPr>
          <w:rFonts w:ascii="Arial" w:hAnsi="Arial"/>
          <w:sz w:val="22"/>
          <w:lang w:val="de-DE" w:eastAsia="de-DE"/>
        </w:rPr>
      </w:pPr>
      <w:r w:rsidRPr="00E370F4">
        <w:rPr>
          <w:lang w:eastAsia="de-DE"/>
        </w:rPr>
        <w:t>Enforceability:</w:t>
      </w:r>
      <w:r w:rsidR="002C6C26">
        <w:rPr>
          <w:b/>
          <w:lang w:eastAsia="de-DE"/>
        </w:rPr>
        <w:tab/>
      </w:r>
      <w:r w:rsidR="002C6C26" w:rsidRPr="002C6C26">
        <w:rPr>
          <w:lang w:eastAsia="de-DE"/>
        </w:rPr>
        <w:t>I</w:t>
      </w:r>
      <w:r w:rsidRPr="008D5F41">
        <w:rPr>
          <w:lang w:eastAsia="de-DE"/>
        </w:rPr>
        <w:t>mmediately implementable</w:t>
      </w:r>
      <w:r w:rsidRPr="00237E13">
        <w:rPr>
          <w:rFonts w:ascii="Arial" w:hAnsi="Arial"/>
          <w:sz w:val="22"/>
          <w:lang w:eastAsia="de-DE"/>
        </w:rPr>
        <w:t>.</w:t>
      </w:r>
    </w:p>
    <w:p w:rsidR="005C65A0" w:rsidRDefault="002C6C26" w:rsidP="005C65A0">
      <w:pPr>
        <w:rPr>
          <w:rFonts w:ascii="Arial" w:hAnsi="Arial" w:cs="Arial"/>
          <w:color w:val="FF0000"/>
          <w:sz w:val="22"/>
          <w:szCs w:val="22"/>
        </w:rPr>
      </w:pPr>
      <w:r w:rsidRPr="002C6C26">
        <w:rPr>
          <w:rFonts w:ascii="Arial" w:hAnsi="Arial" w:cs="Arial"/>
          <w:noProof/>
          <w:color w:val="FF0000"/>
          <w:sz w:val="22"/>
          <w:szCs w:val="22"/>
          <w:lang w:eastAsia="en-GB"/>
        </w:rPr>
        <w:drawing>
          <wp:inline distT="0" distB="0" distL="0" distR="0">
            <wp:extent cx="6120130" cy="345065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50657"/>
                    </a:xfrm>
                    <a:prstGeom prst="rect">
                      <a:avLst/>
                    </a:prstGeom>
                    <a:noFill/>
                    <a:ln>
                      <a:noFill/>
                    </a:ln>
                  </pic:spPr>
                </pic:pic>
              </a:graphicData>
            </a:graphic>
          </wp:inline>
        </w:drawing>
      </w:r>
    </w:p>
    <w:p w:rsidR="005C65A0" w:rsidRDefault="005C65A0" w:rsidP="005C65A0">
      <w:pPr>
        <w:rPr>
          <w:rFonts w:ascii="Arial" w:hAnsi="Arial" w:cs="Arial"/>
          <w:color w:val="FF0000"/>
          <w:sz w:val="22"/>
          <w:szCs w:val="22"/>
        </w:rPr>
      </w:pPr>
    </w:p>
    <w:p w:rsidR="005C65A0" w:rsidRDefault="002C6C26" w:rsidP="005C65A0">
      <w:pPr>
        <w:rPr>
          <w:rFonts w:ascii="Arial" w:hAnsi="Arial" w:cs="Arial"/>
          <w:color w:val="FF0000"/>
          <w:sz w:val="22"/>
          <w:szCs w:val="22"/>
        </w:rPr>
      </w:pPr>
      <w:r w:rsidRPr="002C6C26">
        <w:rPr>
          <w:rFonts w:ascii="Arial" w:hAnsi="Arial" w:cs="Arial"/>
          <w:noProof/>
          <w:color w:val="FF0000"/>
          <w:sz w:val="22"/>
          <w:szCs w:val="22"/>
          <w:lang w:eastAsia="en-GB"/>
        </w:rPr>
        <w:lastRenderedPageBreak/>
        <w:drawing>
          <wp:inline distT="0" distB="0" distL="0" distR="0">
            <wp:extent cx="6120130" cy="424176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241769"/>
                    </a:xfrm>
                    <a:prstGeom prst="rect">
                      <a:avLst/>
                    </a:prstGeom>
                    <a:noFill/>
                    <a:ln>
                      <a:noFill/>
                    </a:ln>
                  </pic:spPr>
                </pic:pic>
              </a:graphicData>
            </a:graphic>
          </wp:inline>
        </w:drawing>
      </w:r>
    </w:p>
    <w:p w:rsidR="005C65A0" w:rsidRDefault="00043E2B" w:rsidP="005C65A0">
      <w:pPr>
        <w:rPr>
          <w:rFonts w:ascii="Arial" w:hAnsi="Arial" w:cs="Arial"/>
          <w:color w:val="FF0000"/>
          <w:sz w:val="22"/>
          <w:szCs w:val="22"/>
        </w:rPr>
      </w:pPr>
      <w:r w:rsidRPr="00043E2B">
        <w:rPr>
          <w:rFonts w:ascii="Arial" w:hAnsi="Arial" w:cs="Arial"/>
          <w:noProof/>
          <w:color w:val="FF0000"/>
          <w:sz w:val="22"/>
          <w:szCs w:val="22"/>
          <w:lang w:eastAsia="en-GB"/>
        </w:rPr>
        <w:lastRenderedPageBreak/>
        <w:drawing>
          <wp:inline distT="0" distB="0" distL="0" distR="0">
            <wp:extent cx="6120130" cy="451573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15730"/>
                    </a:xfrm>
                    <a:prstGeom prst="rect">
                      <a:avLst/>
                    </a:prstGeom>
                    <a:noFill/>
                    <a:ln>
                      <a:noFill/>
                    </a:ln>
                  </pic:spPr>
                </pic:pic>
              </a:graphicData>
            </a:graphic>
          </wp:inline>
        </w:drawing>
      </w:r>
    </w:p>
    <w:p w:rsidR="00E370F4" w:rsidRPr="00E370F4" w:rsidRDefault="00E370F4" w:rsidP="00E370F4">
      <w:pPr>
        <w:spacing w:before="240" w:after="0" w:line="240" w:lineRule="atLeast"/>
        <w:ind w:left="1134" w:right="1134"/>
        <w:jc w:val="center"/>
        <w:rPr>
          <w:rFonts w:ascii="Arial" w:hAnsi="Arial" w:cs="Arial"/>
          <w:sz w:val="22"/>
          <w:szCs w:val="22"/>
          <w:u w:val="single"/>
        </w:rPr>
      </w:pPr>
      <w:r w:rsidRPr="00E370F4">
        <w:rPr>
          <w:rFonts w:ascii="Arial" w:hAnsi="Arial" w:cs="Arial"/>
          <w:sz w:val="22"/>
          <w:szCs w:val="22"/>
          <w:u w:val="single"/>
        </w:rPr>
        <w:tab/>
      </w:r>
      <w:r w:rsidRPr="00E370F4">
        <w:rPr>
          <w:rFonts w:ascii="Arial" w:hAnsi="Arial" w:cs="Arial"/>
          <w:sz w:val="22"/>
          <w:szCs w:val="22"/>
          <w:u w:val="single"/>
        </w:rPr>
        <w:tab/>
      </w:r>
      <w:r w:rsidRPr="00E370F4">
        <w:rPr>
          <w:rFonts w:ascii="Arial" w:hAnsi="Arial" w:cs="Arial"/>
          <w:sz w:val="22"/>
          <w:szCs w:val="22"/>
          <w:u w:val="single"/>
        </w:rPr>
        <w:tab/>
      </w:r>
    </w:p>
    <w:sectPr w:rsidR="00E370F4" w:rsidRPr="00E370F4" w:rsidSect="00AC707B">
      <w:headerReference w:type="even" r:id="rId12"/>
      <w:headerReference w:type="default" r:id="rId13"/>
      <w:footerReference w:type="even" r:id="rId14"/>
      <w:headerReference w:type="first" r:id="rId15"/>
      <w:pgSz w:w="11906" w:h="16838" w:code="9"/>
      <w:pgMar w:top="1701" w:right="1134" w:bottom="2268" w:left="1134" w:header="1134" w:footer="1701" w:gutter="0"/>
      <w:cols w:space="720"/>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866" w:rsidRDefault="00F40866">
      <w:pPr>
        <w:spacing w:after="0"/>
      </w:pPr>
      <w:r>
        <w:separator/>
      </w:r>
    </w:p>
  </w:endnote>
  <w:endnote w:type="continuationSeparator" w:id="0">
    <w:p w:rsidR="00F40866" w:rsidRDefault="00F408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BD0FC3" w:rsidRDefault="0019654A">
    <w:pPr>
      <w:pStyle w:val="Footer"/>
      <w:rPr>
        <w:b/>
        <w:sz w:val="18"/>
        <w:szCs w:val="18"/>
      </w:rPr>
    </w:pPr>
    <w:r w:rsidRPr="00BD0FC3">
      <w:rPr>
        <w:b/>
        <w:sz w:val="18"/>
        <w:szCs w:val="18"/>
      </w:rPr>
      <w:fldChar w:fldCharType="begin"/>
    </w:r>
    <w:r w:rsidRPr="00BD0FC3">
      <w:rPr>
        <w:b/>
        <w:sz w:val="18"/>
        <w:szCs w:val="18"/>
      </w:rPr>
      <w:instrText xml:space="preserve"> PAGE   \* MERGEFORMAT </w:instrText>
    </w:r>
    <w:r w:rsidRPr="00BD0FC3">
      <w:rPr>
        <w:b/>
        <w:sz w:val="18"/>
        <w:szCs w:val="18"/>
      </w:rPr>
      <w:fldChar w:fldCharType="separate"/>
    </w:r>
    <w:r w:rsidR="00A67FFB">
      <w:rPr>
        <w:b/>
        <w:noProof/>
        <w:sz w:val="18"/>
        <w:szCs w:val="18"/>
      </w:rPr>
      <w:t>4</w:t>
    </w:r>
    <w:r w:rsidRPr="00BD0FC3">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866" w:rsidRDefault="00F40866">
      <w:pPr>
        <w:spacing w:after="0"/>
      </w:pPr>
      <w:r>
        <w:separator/>
      </w:r>
    </w:p>
  </w:footnote>
  <w:footnote w:type="continuationSeparator" w:id="0">
    <w:p w:rsidR="00F40866" w:rsidRDefault="00F408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02168D" w:rsidRDefault="0019654A" w:rsidP="0002168D">
    <w:pPr>
      <w:pStyle w:val="Header"/>
      <w:pBdr>
        <w:bottom w:val="single" w:sz="4" w:space="1" w:color="000000"/>
      </w:pBdr>
      <w:rPr>
        <w:szCs w:val="18"/>
      </w:rPr>
    </w:pPr>
    <w:r w:rsidRPr="0002168D">
      <w:rPr>
        <w:szCs w:val="18"/>
      </w:rPr>
      <w:t>INF.</w:t>
    </w:r>
    <w:r>
      <w:rPr>
        <w:szCs w:val="18"/>
      </w:rPr>
      <w:t>2</w:t>
    </w:r>
    <w:r w:rsidR="00043E2B">
      <w:rPr>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02168D" w:rsidRDefault="0019654A" w:rsidP="00336E0E">
    <w:pPr>
      <w:pStyle w:val="Header"/>
      <w:pBdr>
        <w:bottom w:val="single" w:sz="4" w:space="1" w:color="000000"/>
      </w:pBdr>
      <w:jc w:val="right"/>
      <w:rPr>
        <w:szCs w:val="18"/>
      </w:rPr>
    </w:pPr>
    <w:r w:rsidRPr="0002168D">
      <w:rPr>
        <w:szCs w:val="18"/>
      </w:rPr>
      <w:t>INF.</w:t>
    </w:r>
    <w:r>
      <w:rPr>
        <w:szCs w:val="18"/>
      </w:rPr>
      <w:t>2</w:t>
    </w:r>
    <w:r w:rsidR="00043E2B">
      <w:rPr>
        <w:szCs w:val="18"/>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02168D" w:rsidRDefault="0019654A" w:rsidP="00336E0E">
    <w:pPr>
      <w:pStyle w:val="Header"/>
      <w:jc w:val="right"/>
      <w:rPr>
        <w:sz w:val="28"/>
        <w:szCs w:val="28"/>
        <w:lang w:val="fr-CH"/>
      </w:rPr>
    </w:pPr>
    <w:r>
      <w:rPr>
        <w:sz w:val="28"/>
        <w:szCs w:val="28"/>
        <w:lang w:val="fr-CH"/>
      </w:rPr>
      <w:t>INF.24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1494"/>
        </w:tabs>
        <w:ind w:left="1494" w:hanging="360"/>
      </w:pPr>
      <w:rPr>
        <w:iCs/>
      </w:rPr>
    </w:lvl>
    <w:lvl w:ilvl="1">
      <w:start w:val="1"/>
      <w:numFmt w:val="decimal"/>
      <w:lvlText w:val="%2."/>
      <w:lvlJc w:val="left"/>
      <w:pPr>
        <w:tabs>
          <w:tab w:val="num" w:pos="1854"/>
        </w:tabs>
        <w:ind w:left="1854" w:hanging="360"/>
      </w:pPr>
    </w:lvl>
    <w:lvl w:ilvl="2">
      <w:start w:val="1"/>
      <w:numFmt w:val="decimal"/>
      <w:lvlText w:val="%3."/>
      <w:lvlJc w:val="left"/>
      <w:pPr>
        <w:tabs>
          <w:tab w:val="num" w:pos="2214"/>
        </w:tabs>
        <w:ind w:left="2214" w:hanging="360"/>
      </w:pPr>
    </w:lvl>
    <w:lvl w:ilvl="3">
      <w:start w:val="1"/>
      <w:numFmt w:val="decimal"/>
      <w:lvlText w:val="%4."/>
      <w:lvlJc w:val="left"/>
      <w:pPr>
        <w:tabs>
          <w:tab w:val="num" w:pos="2574"/>
        </w:tabs>
        <w:ind w:left="2574" w:hanging="360"/>
      </w:pPr>
    </w:lvl>
    <w:lvl w:ilvl="4">
      <w:start w:val="1"/>
      <w:numFmt w:val="decimal"/>
      <w:lvlText w:val="%5."/>
      <w:lvlJc w:val="left"/>
      <w:pPr>
        <w:tabs>
          <w:tab w:val="num" w:pos="2934"/>
        </w:tabs>
        <w:ind w:left="2934" w:hanging="360"/>
      </w:pPr>
    </w:lvl>
    <w:lvl w:ilvl="5">
      <w:start w:val="1"/>
      <w:numFmt w:val="decimal"/>
      <w:lvlText w:val="%6."/>
      <w:lvlJc w:val="left"/>
      <w:pPr>
        <w:tabs>
          <w:tab w:val="num" w:pos="3294"/>
        </w:tabs>
        <w:ind w:left="3294" w:hanging="360"/>
      </w:pPr>
    </w:lvl>
    <w:lvl w:ilvl="6">
      <w:start w:val="1"/>
      <w:numFmt w:val="decimal"/>
      <w:lvlText w:val="%7."/>
      <w:lvlJc w:val="left"/>
      <w:pPr>
        <w:tabs>
          <w:tab w:val="num" w:pos="3654"/>
        </w:tabs>
        <w:ind w:left="3654" w:hanging="360"/>
      </w:pPr>
    </w:lvl>
    <w:lvl w:ilvl="7">
      <w:start w:val="1"/>
      <w:numFmt w:val="decimal"/>
      <w:lvlText w:val="%8."/>
      <w:lvlJc w:val="left"/>
      <w:pPr>
        <w:tabs>
          <w:tab w:val="num" w:pos="4014"/>
        </w:tabs>
        <w:ind w:left="4014" w:hanging="360"/>
      </w:pPr>
    </w:lvl>
    <w:lvl w:ilvl="8">
      <w:start w:val="1"/>
      <w:numFmt w:val="decimal"/>
      <w:lvlText w:val="%9."/>
      <w:lvlJc w:val="left"/>
      <w:pPr>
        <w:tabs>
          <w:tab w:val="num" w:pos="4374"/>
        </w:tabs>
        <w:ind w:left="4374" w:hanging="360"/>
      </w:pPr>
    </w:lvl>
  </w:abstractNum>
  <w:abstractNum w:abstractNumId="2">
    <w:nsid w:val="00000003"/>
    <w:multiLevelType w:val="multilevel"/>
    <w:tmpl w:val="00000003"/>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2"/>
      <w:numFmt w:val="decimal"/>
      <w:lvlText w:val="%1.%2.%3.%4."/>
      <w:lvlJc w:val="left"/>
      <w:pPr>
        <w:tabs>
          <w:tab w:val="num" w:pos="1800"/>
        </w:tabs>
        <w:ind w:left="1800" w:hanging="360"/>
      </w:pPr>
    </w:lvl>
    <w:lvl w:ilvl="4">
      <w:start w:val="2"/>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6828160D"/>
    <w:multiLevelType w:val="hybridMultilevel"/>
    <w:tmpl w:val="AE06C45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57D59"/>
    <w:rsid w:val="00014088"/>
    <w:rsid w:val="0002168D"/>
    <w:rsid w:val="00043E2B"/>
    <w:rsid w:val="00180788"/>
    <w:rsid w:val="0019654A"/>
    <w:rsid w:val="002C6C26"/>
    <w:rsid w:val="00313EA4"/>
    <w:rsid w:val="00336E0E"/>
    <w:rsid w:val="003A0D92"/>
    <w:rsid w:val="003E0297"/>
    <w:rsid w:val="003F6BCD"/>
    <w:rsid w:val="00462158"/>
    <w:rsid w:val="004849D3"/>
    <w:rsid w:val="004C21B7"/>
    <w:rsid w:val="005363E1"/>
    <w:rsid w:val="005C65A0"/>
    <w:rsid w:val="00601B46"/>
    <w:rsid w:val="00682E6E"/>
    <w:rsid w:val="006B6907"/>
    <w:rsid w:val="00791D59"/>
    <w:rsid w:val="007B2462"/>
    <w:rsid w:val="007B6411"/>
    <w:rsid w:val="007C48C0"/>
    <w:rsid w:val="008077DA"/>
    <w:rsid w:val="00896302"/>
    <w:rsid w:val="008D5F41"/>
    <w:rsid w:val="009373EF"/>
    <w:rsid w:val="00980504"/>
    <w:rsid w:val="009E564B"/>
    <w:rsid w:val="00A67FFB"/>
    <w:rsid w:val="00AC08FE"/>
    <w:rsid w:val="00AC707B"/>
    <w:rsid w:val="00B57D59"/>
    <w:rsid w:val="00BD0FC3"/>
    <w:rsid w:val="00C27770"/>
    <w:rsid w:val="00C462AA"/>
    <w:rsid w:val="00C55E13"/>
    <w:rsid w:val="00DE0E3E"/>
    <w:rsid w:val="00E210AE"/>
    <w:rsid w:val="00E370F4"/>
    <w:rsid w:val="00E62B68"/>
    <w:rsid w:val="00E75B6B"/>
    <w:rsid w:val="00E87C01"/>
    <w:rsid w:val="00E93FD7"/>
    <w:rsid w:val="00F40866"/>
    <w:rsid w:val="00FF6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B6B"/>
    <w:pPr>
      <w:suppressAutoHyphens/>
      <w:spacing w:after="240"/>
    </w:pPr>
    <w:rPr>
      <w:lang w:val="en-GB" w:eastAsia="ar-SA"/>
    </w:rPr>
  </w:style>
  <w:style w:type="paragraph" w:styleId="Heading1">
    <w:name w:val="heading 1"/>
    <w:next w:val="BodyText"/>
    <w:qFormat/>
    <w:rsid w:val="00E75B6B"/>
    <w:pPr>
      <w:widowControl w:val="0"/>
      <w:numPr>
        <w:numId w:val="1"/>
      </w:numPr>
      <w:suppressAutoHyphens/>
      <w:ind w:left="0" w:firstLine="0"/>
      <w:outlineLvl w:val="0"/>
    </w:pPr>
    <w:rPr>
      <w:lang w:eastAsia="ar-SA"/>
    </w:rPr>
  </w:style>
  <w:style w:type="paragraph" w:styleId="Heading2">
    <w:name w:val="heading 2"/>
    <w:basedOn w:val="Normal"/>
    <w:next w:val="BodyText"/>
    <w:qFormat/>
    <w:rsid w:val="00E75B6B"/>
    <w:pPr>
      <w:numPr>
        <w:ilvl w:val="1"/>
        <w:numId w:val="1"/>
      </w:numPr>
      <w:outlineLvl w:val="1"/>
    </w:pPr>
  </w:style>
  <w:style w:type="paragraph" w:styleId="Heading3">
    <w:name w:val="heading 3"/>
    <w:basedOn w:val="Normal"/>
    <w:next w:val="BodyText"/>
    <w:qFormat/>
    <w:rsid w:val="00E75B6B"/>
    <w:pPr>
      <w:numPr>
        <w:ilvl w:val="2"/>
        <w:numId w:val="1"/>
      </w:numPr>
      <w:outlineLvl w:val="2"/>
    </w:pPr>
  </w:style>
  <w:style w:type="paragraph" w:styleId="Heading4">
    <w:name w:val="heading 4"/>
    <w:basedOn w:val="Normal"/>
    <w:next w:val="BodyText"/>
    <w:qFormat/>
    <w:rsid w:val="00E75B6B"/>
    <w:pPr>
      <w:numPr>
        <w:ilvl w:val="3"/>
        <w:numId w:val="1"/>
      </w:numPr>
      <w:outlineLvl w:val="3"/>
    </w:pPr>
  </w:style>
  <w:style w:type="paragraph" w:styleId="Heading5">
    <w:name w:val="heading 5"/>
    <w:basedOn w:val="Normal"/>
    <w:next w:val="BodyText"/>
    <w:qFormat/>
    <w:rsid w:val="00E75B6B"/>
    <w:pPr>
      <w:numPr>
        <w:ilvl w:val="4"/>
        <w:numId w:val="1"/>
      </w:numPr>
      <w:outlineLvl w:val="4"/>
    </w:pPr>
  </w:style>
  <w:style w:type="paragraph" w:styleId="Heading6">
    <w:name w:val="heading 6"/>
    <w:basedOn w:val="Normal"/>
    <w:next w:val="BodyText"/>
    <w:qFormat/>
    <w:rsid w:val="00E75B6B"/>
    <w:pPr>
      <w:numPr>
        <w:ilvl w:val="5"/>
        <w:numId w:val="1"/>
      </w:numPr>
      <w:outlineLvl w:val="5"/>
    </w:pPr>
  </w:style>
  <w:style w:type="paragraph" w:styleId="Heading7">
    <w:name w:val="heading 7"/>
    <w:basedOn w:val="Normal"/>
    <w:next w:val="BodyText"/>
    <w:qFormat/>
    <w:rsid w:val="00E75B6B"/>
    <w:pPr>
      <w:numPr>
        <w:ilvl w:val="6"/>
        <w:numId w:val="1"/>
      </w:numPr>
      <w:outlineLvl w:val="6"/>
    </w:pPr>
  </w:style>
  <w:style w:type="paragraph" w:styleId="Heading8">
    <w:name w:val="heading 8"/>
    <w:basedOn w:val="Normal"/>
    <w:next w:val="BodyText"/>
    <w:qFormat/>
    <w:rsid w:val="00E75B6B"/>
    <w:pPr>
      <w:numPr>
        <w:ilvl w:val="7"/>
        <w:numId w:val="1"/>
      </w:numPr>
      <w:outlineLvl w:val="7"/>
    </w:pPr>
  </w:style>
  <w:style w:type="paragraph" w:styleId="Heading9">
    <w:name w:val="heading 9"/>
    <w:basedOn w:val="Normal"/>
    <w:next w:val="BodyText"/>
    <w:qFormat/>
    <w:rsid w:val="00E75B6B"/>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E75B6B"/>
  </w:style>
  <w:style w:type="character" w:customStyle="1" w:styleId="WW8Num1z1">
    <w:name w:val="WW8Num1z1"/>
    <w:rsid w:val="00E75B6B"/>
  </w:style>
  <w:style w:type="character" w:customStyle="1" w:styleId="WW8Num1z2">
    <w:name w:val="WW8Num1z2"/>
    <w:rsid w:val="00E75B6B"/>
  </w:style>
  <w:style w:type="character" w:customStyle="1" w:styleId="WW8Num1z3">
    <w:name w:val="WW8Num1z3"/>
    <w:rsid w:val="00E75B6B"/>
  </w:style>
  <w:style w:type="character" w:customStyle="1" w:styleId="WW8Num1z4">
    <w:name w:val="WW8Num1z4"/>
    <w:rsid w:val="00E75B6B"/>
  </w:style>
  <w:style w:type="character" w:customStyle="1" w:styleId="WW8Num1z5">
    <w:name w:val="WW8Num1z5"/>
    <w:rsid w:val="00E75B6B"/>
  </w:style>
  <w:style w:type="character" w:customStyle="1" w:styleId="WW8Num1z6">
    <w:name w:val="WW8Num1z6"/>
    <w:rsid w:val="00E75B6B"/>
  </w:style>
  <w:style w:type="character" w:customStyle="1" w:styleId="WW8Num1z7">
    <w:name w:val="WW8Num1z7"/>
    <w:rsid w:val="00E75B6B"/>
  </w:style>
  <w:style w:type="character" w:customStyle="1" w:styleId="WW8Num1z8">
    <w:name w:val="WW8Num1z8"/>
    <w:rsid w:val="00E75B6B"/>
  </w:style>
  <w:style w:type="character" w:customStyle="1" w:styleId="WW8Num2z0">
    <w:name w:val="WW8Num2z0"/>
    <w:rsid w:val="00E75B6B"/>
    <w:rPr>
      <w:iCs/>
    </w:rPr>
  </w:style>
  <w:style w:type="character" w:customStyle="1" w:styleId="WW8Num2z1">
    <w:name w:val="WW8Num2z1"/>
    <w:rsid w:val="00E75B6B"/>
  </w:style>
  <w:style w:type="character" w:customStyle="1" w:styleId="WW8Num2z2">
    <w:name w:val="WW8Num2z2"/>
    <w:rsid w:val="00E75B6B"/>
  </w:style>
  <w:style w:type="character" w:customStyle="1" w:styleId="WW8Num2z3">
    <w:name w:val="WW8Num2z3"/>
    <w:rsid w:val="00E75B6B"/>
  </w:style>
  <w:style w:type="character" w:customStyle="1" w:styleId="WW8Num2z4">
    <w:name w:val="WW8Num2z4"/>
    <w:rsid w:val="00E75B6B"/>
  </w:style>
  <w:style w:type="character" w:customStyle="1" w:styleId="WW8Num2z5">
    <w:name w:val="WW8Num2z5"/>
    <w:rsid w:val="00E75B6B"/>
  </w:style>
  <w:style w:type="character" w:customStyle="1" w:styleId="WW8Num2z6">
    <w:name w:val="WW8Num2z6"/>
    <w:rsid w:val="00E75B6B"/>
  </w:style>
  <w:style w:type="character" w:customStyle="1" w:styleId="WW8Num2z7">
    <w:name w:val="WW8Num2z7"/>
    <w:rsid w:val="00E75B6B"/>
  </w:style>
  <w:style w:type="character" w:customStyle="1" w:styleId="WW8Num2z8">
    <w:name w:val="WW8Num2z8"/>
    <w:rsid w:val="00E75B6B"/>
  </w:style>
  <w:style w:type="character" w:customStyle="1" w:styleId="WW8Num3z0">
    <w:name w:val="WW8Num3z0"/>
    <w:rsid w:val="00E75B6B"/>
    <w:rPr>
      <w:rFonts w:hint="default"/>
    </w:rPr>
  </w:style>
  <w:style w:type="character" w:customStyle="1" w:styleId="WW8Num4z0">
    <w:name w:val="WW8Num4z0"/>
    <w:rsid w:val="00E75B6B"/>
  </w:style>
  <w:style w:type="character" w:customStyle="1" w:styleId="WW8Num4z1">
    <w:name w:val="WW8Num4z1"/>
    <w:rsid w:val="00E75B6B"/>
  </w:style>
  <w:style w:type="character" w:customStyle="1" w:styleId="WW8Num4z2">
    <w:name w:val="WW8Num4z2"/>
    <w:rsid w:val="00E75B6B"/>
  </w:style>
  <w:style w:type="character" w:customStyle="1" w:styleId="WW8Num4z3">
    <w:name w:val="WW8Num4z3"/>
    <w:rsid w:val="00E75B6B"/>
  </w:style>
  <w:style w:type="character" w:customStyle="1" w:styleId="WW8Num4z4">
    <w:name w:val="WW8Num4z4"/>
    <w:rsid w:val="00E75B6B"/>
  </w:style>
  <w:style w:type="character" w:customStyle="1" w:styleId="WW8Num4z5">
    <w:name w:val="WW8Num4z5"/>
    <w:rsid w:val="00E75B6B"/>
  </w:style>
  <w:style w:type="character" w:customStyle="1" w:styleId="WW8Num4z6">
    <w:name w:val="WW8Num4z6"/>
    <w:rsid w:val="00E75B6B"/>
  </w:style>
  <w:style w:type="character" w:customStyle="1" w:styleId="WW8Num4z7">
    <w:name w:val="WW8Num4z7"/>
    <w:rsid w:val="00E75B6B"/>
  </w:style>
  <w:style w:type="character" w:customStyle="1" w:styleId="WW8Num4z8">
    <w:name w:val="WW8Num4z8"/>
    <w:rsid w:val="00E75B6B"/>
  </w:style>
  <w:style w:type="character" w:customStyle="1" w:styleId="PageNumber1">
    <w:name w:val="Page Number1"/>
    <w:rsid w:val="00E75B6B"/>
    <w:rPr>
      <w:rFonts w:ascii="Times New Roman" w:hAnsi="Times New Roman" w:cs="Times New Roman"/>
      <w:b/>
      <w:sz w:val="18"/>
    </w:rPr>
  </w:style>
  <w:style w:type="character" w:customStyle="1" w:styleId="EndnoteReference1">
    <w:name w:val="Endnote Reference1"/>
    <w:rsid w:val="00E75B6B"/>
    <w:rPr>
      <w:rFonts w:ascii="Times New Roman" w:hAnsi="Times New Roman" w:cs="Times New Roman"/>
      <w:sz w:val="18"/>
      <w:vertAlign w:val="superscript"/>
    </w:rPr>
  </w:style>
  <w:style w:type="character" w:customStyle="1" w:styleId="FootnoteReference1">
    <w:name w:val="Footnote Reference1"/>
    <w:rsid w:val="00E75B6B"/>
    <w:rPr>
      <w:rFonts w:ascii="Times New Roman" w:hAnsi="Times New Roman" w:cs="Times New Roman"/>
      <w:sz w:val="18"/>
      <w:vertAlign w:val="superscript"/>
    </w:rPr>
  </w:style>
  <w:style w:type="character" w:styleId="Hyperlink">
    <w:name w:val="Hyperlink"/>
    <w:rsid w:val="00E75B6B"/>
    <w:rPr>
      <w:color w:val="00000A"/>
      <w:u w:val="none"/>
    </w:rPr>
  </w:style>
  <w:style w:type="character" w:customStyle="1" w:styleId="HeaderChar">
    <w:name w:val="Header Char"/>
    <w:rsid w:val="00E75B6B"/>
    <w:rPr>
      <w:b/>
      <w:sz w:val="18"/>
      <w:lang w:val="en-GB" w:eastAsia="ar-SA" w:bidi="ar-SA"/>
    </w:rPr>
  </w:style>
  <w:style w:type="character" w:styleId="FollowedHyperlink">
    <w:name w:val="FollowedHyperlink"/>
    <w:rsid w:val="00E75B6B"/>
    <w:rPr>
      <w:color w:val="00000A"/>
      <w:u w:val="none"/>
    </w:rPr>
  </w:style>
  <w:style w:type="character" w:customStyle="1" w:styleId="HChGChar">
    <w:name w:val="_ H _Ch_G Char"/>
    <w:rsid w:val="00E75B6B"/>
    <w:rPr>
      <w:b/>
      <w:sz w:val="28"/>
      <w:lang w:val="en-GB" w:eastAsia="ar-SA" w:bidi="ar-SA"/>
    </w:rPr>
  </w:style>
  <w:style w:type="character" w:customStyle="1" w:styleId="BalloonTextChar">
    <w:name w:val="Balloon Text Char"/>
    <w:rsid w:val="00E75B6B"/>
    <w:rPr>
      <w:rFonts w:ascii="Tahoma" w:hAnsi="Tahoma" w:cs="Tahoma"/>
      <w:sz w:val="16"/>
      <w:szCs w:val="16"/>
    </w:rPr>
  </w:style>
  <w:style w:type="character" w:customStyle="1" w:styleId="SingleTxtGCar">
    <w:name w:val="_ Single Txt_G Car"/>
    <w:rsid w:val="00E75B6B"/>
    <w:rPr>
      <w:lang w:val="en-GB"/>
    </w:rPr>
  </w:style>
  <w:style w:type="character" w:customStyle="1" w:styleId="SingleTxtGChar">
    <w:name w:val="_ Single Txt_G Char"/>
    <w:rsid w:val="00E75B6B"/>
  </w:style>
  <w:style w:type="character" w:customStyle="1" w:styleId="H1GChar">
    <w:name w:val="_ H_1_G Char"/>
    <w:rsid w:val="00E75B6B"/>
    <w:rPr>
      <w:b/>
      <w:sz w:val="24"/>
    </w:rPr>
  </w:style>
  <w:style w:type="character" w:customStyle="1" w:styleId="NormalListChar">
    <w:name w:val="Normal List Char"/>
    <w:basedOn w:val="DefaultParagraphFont"/>
    <w:rsid w:val="00E75B6B"/>
    <w:rPr>
      <w:rFonts w:ascii="Arial" w:hAnsi="Arial" w:cs="Arial"/>
      <w:color w:val="000000"/>
      <w:sz w:val="18"/>
      <w:lang w:val="en-GB"/>
    </w:rPr>
  </w:style>
  <w:style w:type="character" w:customStyle="1" w:styleId="ListLabel1">
    <w:name w:val="ListLabel 1"/>
    <w:rsid w:val="00E75B6B"/>
    <w:rPr>
      <w:rFonts w:cs="Times New Roman"/>
      <w:b w:val="0"/>
      <w:i w:val="0"/>
      <w:sz w:val="20"/>
    </w:rPr>
  </w:style>
  <w:style w:type="character" w:customStyle="1" w:styleId="ListLabel2">
    <w:name w:val="ListLabel 2"/>
    <w:rsid w:val="00E75B6B"/>
    <w:rPr>
      <w:rFonts w:cs="Times New Roman"/>
    </w:rPr>
  </w:style>
  <w:style w:type="character" w:customStyle="1" w:styleId="ListLabel3">
    <w:name w:val="ListLabel 3"/>
    <w:rsid w:val="00E75B6B"/>
    <w:rPr>
      <w:b w:val="0"/>
      <w:i w:val="0"/>
      <w:sz w:val="20"/>
    </w:rPr>
  </w:style>
  <w:style w:type="character" w:customStyle="1" w:styleId="ListLabel4">
    <w:name w:val="ListLabel 4"/>
    <w:rsid w:val="00E75B6B"/>
    <w:rPr>
      <w:rFonts w:eastAsia="Times New Roman" w:cs="Arial"/>
      <w:color w:val="00000A"/>
    </w:rPr>
  </w:style>
  <w:style w:type="character" w:customStyle="1" w:styleId="ListLabel5">
    <w:name w:val="ListLabel 5"/>
    <w:rsid w:val="00E75B6B"/>
    <w:rPr>
      <w:rFonts w:cs="Courier New"/>
    </w:rPr>
  </w:style>
  <w:style w:type="character" w:customStyle="1" w:styleId="EndnoteCharacters">
    <w:name w:val="Endnote Characters"/>
    <w:rsid w:val="00E75B6B"/>
  </w:style>
  <w:style w:type="character" w:customStyle="1" w:styleId="NumberingSymbols">
    <w:name w:val="Numbering Symbols"/>
    <w:rsid w:val="00E75B6B"/>
  </w:style>
  <w:style w:type="character" w:customStyle="1" w:styleId="WW8Num19z0">
    <w:name w:val="WW8Num19z0"/>
    <w:rsid w:val="00E75B6B"/>
    <w:rPr>
      <w:rFonts w:hint="default"/>
    </w:rPr>
  </w:style>
  <w:style w:type="character" w:customStyle="1" w:styleId="WW8Num19z1">
    <w:name w:val="WW8Num19z1"/>
    <w:rsid w:val="00E75B6B"/>
  </w:style>
  <w:style w:type="character" w:customStyle="1" w:styleId="WW8Num19z2">
    <w:name w:val="WW8Num19z2"/>
    <w:rsid w:val="00E75B6B"/>
  </w:style>
  <w:style w:type="character" w:customStyle="1" w:styleId="WW8Num19z3">
    <w:name w:val="WW8Num19z3"/>
    <w:rsid w:val="00E75B6B"/>
  </w:style>
  <w:style w:type="character" w:customStyle="1" w:styleId="WW8Num19z4">
    <w:name w:val="WW8Num19z4"/>
    <w:rsid w:val="00E75B6B"/>
  </w:style>
  <w:style w:type="character" w:customStyle="1" w:styleId="WW8Num19z5">
    <w:name w:val="WW8Num19z5"/>
    <w:rsid w:val="00E75B6B"/>
  </w:style>
  <w:style w:type="character" w:customStyle="1" w:styleId="WW8Num19z6">
    <w:name w:val="WW8Num19z6"/>
    <w:rsid w:val="00E75B6B"/>
  </w:style>
  <w:style w:type="character" w:customStyle="1" w:styleId="WW8Num19z7">
    <w:name w:val="WW8Num19z7"/>
    <w:rsid w:val="00E75B6B"/>
  </w:style>
  <w:style w:type="character" w:customStyle="1" w:styleId="WW8Num19z8">
    <w:name w:val="WW8Num19z8"/>
    <w:rsid w:val="00E75B6B"/>
  </w:style>
  <w:style w:type="character" w:customStyle="1" w:styleId="FootnoteCharacters">
    <w:name w:val="Footnote Characters"/>
    <w:rsid w:val="00E75B6B"/>
  </w:style>
  <w:style w:type="character" w:styleId="FootnoteReference">
    <w:name w:val="footnote reference"/>
    <w:aliases w:val="4_GR,4_G"/>
    <w:rsid w:val="00E75B6B"/>
    <w:rPr>
      <w:vertAlign w:val="superscript"/>
    </w:rPr>
  </w:style>
  <w:style w:type="character" w:styleId="EndnoteReference">
    <w:name w:val="endnote reference"/>
    <w:rsid w:val="00E75B6B"/>
    <w:rPr>
      <w:vertAlign w:val="superscript"/>
    </w:rPr>
  </w:style>
  <w:style w:type="paragraph" w:customStyle="1" w:styleId="Heading">
    <w:name w:val="Heading"/>
    <w:basedOn w:val="Normal"/>
    <w:next w:val="BodyText"/>
    <w:rsid w:val="00E75B6B"/>
    <w:pPr>
      <w:keepNext/>
      <w:spacing w:before="240" w:after="120"/>
    </w:pPr>
    <w:rPr>
      <w:rFonts w:ascii="Arial" w:eastAsia="Microsoft YaHei" w:hAnsi="Arial" w:cs="Mangal"/>
      <w:sz w:val="28"/>
      <w:szCs w:val="28"/>
    </w:rPr>
  </w:style>
  <w:style w:type="paragraph" w:styleId="BodyText">
    <w:name w:val="Body Text"/>
    <w:basedOn w:val="Normal"/>
    <w:rsid w:val="00E75B6B"/>
    <w:pPr>
      <w:spacing w:after="120"/>
    </w:pPr>
  </w:style>
  <w:style w:type="paragraph" w:styleId="List">
    <w:name w:val="List"/>
    <w:basedOn w:val="BodyText"/>
    <w:rsid w:val="00E75B6B"/>
    <w:rPr>
      <w:rFonts w:cs="Mangal"/>
    </w:rPr>
  </w:style>
  <w:style w:type="paragraph" w:styleId="Caption">
    <w:name w:val="caption"/>
    <w:basedOn w:val="Normal"/>
    <w:qFormat/>
    <w:rsid w:val="00E75B6B"/>
    <w:pPr>
      <w:suppressLineNumbers/>
      <w:spacing w:before="120" w:after="120"/>
    </w:pPr>
    <w:rPr>
      <w:rFonts w:cs="Mangal"/>
      <w:i/>
      <w:iCs/>
      <w:sz w:val="24"/>
      <w:szCs w:val="24"/>
    </w:rPr>
  </w:style>
  <w:style w:type="paragraph" w:customStyle="1" w:styleId="Index">
    <w:name w:val="Index"/>
    <w:basedOn w:val="Normal"/>
    <w:rsid w:val="00E75B6B"/>
    <w:pPr>
      <w:suppressLineNumbers/>
    </w:pPr>
    <w:rPr>
      <w:rFonts w:cs="Mangal"/>
    </w:rPr>
  </w:style>
  <w:style w:type="paragraph" w:customStyle="1" w:styleId="SingleTxtG">
    <w:name w:val="_ Single Txt_G"/>
    <w:basedOn w:val="Normal"/>
    <w:rsid w:val="00E75B6B"/>
    <w:pPr>
      <w:spacing w:after="120"/>
      <w:ind w:left="1134" w:right="1134"/>
      <w:jc w:val="both"/>
    </w:pPr>
  </w:style>
  <w:style w:type="paragraph" w:customStyle="1" w:styleId="HMG">
    <w:name w:val="_ H __M_G"/>
    <w:basedOn w:val="Normal"/>
    <w:rsid w:val="00E75B6B"/>
    <w:pPr>
      <w:keepNext/>
      <w:keepLines/>
      <w:tabs>
        <w:tab w:val="right" w:pos="851"/>
      </w:tabs>
      <w:spacing w:before="240" w:line="360" w:lineRule="exact"/>
      <w:ind w:left="1134" w:right="1134" w:hanging="1134"/>
    </w:pPr>
    <w:rPr>
      <w:b/>
      <w:sz w:val="34"/>
    </w:rPr>
  </w:style>
  <w:style w:type="paragraph" w:customStyle="1" w:styleId="HChG">
    <w:name w:val="_ H _Ch_G"/>
    <w:basedOn w:val="Normal"/>
    <w:qFormat/>
    <w:rsid w:val="00E75B6B"/>
    <w:pPr>
      <w:keepNext/>
      <w:keepLines/>
      <w:tabs>
        <w:tab w:val="right" w:pos="851"/>
      </w:tabs>
      <w:spacing w:before="360" w:line="300" w:lineRule="exact"/>
      <w:ind w:left="1134" w:right="1134" w:hanging="1134"/>
    </w:pPr>
    <w:rPr>
      <w:b/>
      <w:sz w:val="28"/>
    </w:rPr>
  </w:style>
  <w:style w:type="paragraph" w:customStyle="1" w:styleId="SMG">
    <w:name w:val="__S_M_G"/>
    <w:basedOn w:val="Normal"/>
    <w:rsid w:val="00E75B6B"/>
    <w:pPr>
      <w:keepNext/>
      <w:keepLines/>
      <w:spacing w:before="240" w:line="420" w:lineRule="exact"/>
      <w:ind w:left="1134" w:right="1134"/>
    </w:pPr>
    <w:rPr>
      <w:b/>
      <w:sz w:val="40"/>
    </w:rPr>
  </w:style>
  <w:style w:type="paragraph" w:customStyle="1" w:styleId="SLG">
    <w:name w:val="__S_L_G"/>
    <w:basedOn w:val="Normal"/>
    <w:rsid w:val="00E75B6B"/>
    <w:pPr>
      <w:keepNext/>
      <w:keepLines/>
      <w:spacing w:before="240" w:line="580" w:lineRule="exact"/>
      <w:ind w:left="1134" w:right="1134"/>
    </w:pPr>
    <w:rPr>
      <w:b/>
      <w:sz w:val="56"/>
    </w:rPr>
  </w:style>
  <w:style w:type="paragraph" w:customStyle="1" w:styleId="SSG">
    <w:name w:val="__S_S_G"/>
    <w:basedOn w:val="Normal"/>
    <w:rsid w:val="00E75B6B"/>
    <w:pPr>
      <w:keepNext/>
      <w:keepLines/>
      <w:spacing w:before="240" w:line="300" w:lineRule="exact"/>
      <w:ind w:left="1134" w:right="1134"/>
    </w:pPr>
    <w:rPr>
      <w:b/>
      <w:sz w:val="28"/>
    </w:rPr>
  </w:style>
  <w:style w:type="paragraph" w:customStyle="1" w:styleId="FootnoteText1">
    <w:name w:val="Footnote Text1"/>
    <w:basedOn w:val="Normal"/>
    <w:rsid w:val="00E75B6B"/>
    <w:pPr>
      <w:tabs>
        <w:tab w:val="right" w:pos="1021"/>
      </w:tabs>
      <w:spacing w:line="220" w:lineRule="exact"/>
      <w:ind w:left="1134" w:right="1134" w:hanging="1134"/>
    </w:pPr>
    <w:rPr>
      <w:sz w:val="18"/>
    </w:rPr>
  </w:style>
  <w:style w:type="paragraph" w:customStyle="1" w:styleId="XLargeG">
    <w:name w:val="__XLarge_G"/>
    <w:basedOn w:val="Normal"/>
    <w:rsid w:val="00E75B6B"/>
    <w:pPr>
      <w:keepNext/>
      <w:keepLines/>
      <w:spacing w:before="240" w:line="420" w:lineRule="exact"/>
      <w:ind w:left="1134" w:right="1134"/>
    </w:pPr>
    <w:rPr>
      <w:b/>
      <w:sz w:val="40"/>
    </w:rPr>
  </w:style>
  <w:style w:type="paragraph" w:customStyle="1" w:styleId="Bullet1G">
    <w:name w:val="_Bullet 1_G"/>
    <w:basedOn w:val="Normal"/>
    <w:rsid w:val="00E75B6B"/>
    <w:pPr>
      <w:spacing w:after="120"/>
      <w:ind w:right="1134"/>
      <w:jc w:val="both"/>
    </w:pPr>
  </w:style>
  <w:style w:type="paragraph" w:customStyle="1" w:styleId="EndnoteText1">
    <w:name w:val="Endnote Text1"/>
    <w:basedOn w:val="FootnoteText1"/>
    <w:rsid w:val="00E75B6B"/>
  </w:style>
  <w:style w:type="paragraph" w:customStyle="1" w:styleId="Bullet2G">
    <w:name w:val="_Bullet 2_G"/>
    <w:basedOn w:val="Normal"/>
    <w:rsid w:val="00E75B6B"/>
    <w:pPr>
      <w:spacing w:after="120"/>
      <w:ind w:right="1134"/>
      <w:jc w:val="both"/>
    </w:pPr>
  </w:style>
  <w:style w:type="paragraph" w:customStyle="1" w:styleId="H1G">
    <w:name w:val="_ H_1_G"/>
    <w:basedOn w:val="Normal"/>
    <w:rsid w:val="00E75B6B"/>
    <w:pPr>
      <w:keepNext/>
      <w:keepLines/>
      <w:tabs>
        <w:tab w:val="right" w:pos="851"/>
      </w:tabs>
      <w:spacing w:before="360" w:line="270" w:lineRule="exact"/>
      <w:ind w:left="1134" w:right="1134" w:hanging="1134"/>
    </w:pPr>
    <w:rPr>
      <w:b/>
      <w:sz w:val="24"/>
    </w:rPr>
  </w:style>
  <w:style w:type="paragraph" w:customStyle="1" w:styleId="H23G">
    <w:name w:val="_ H_2/3_G"/>
    <w:basedOn w:val="Normal"/>
    <w:rsid w:val="00E75B6B"/>
    <w:pPr>
      <w:keepNext/>
      <w:keepLines/>
      <w:tabs>
        <w:tab w:val="right" w:pos="851"/>
      </w:tabs>
      <w:spacing w:before="240" w:after="120" w:line="240" w:lineRule="exact"/>
      <w:ind w:left="1134" w:right="1134" w:hanging="1134"/>
    </w:pPr>
    <w:rPr>
      <w:b/>
    </w:rPr>
  </w:style>
  <w:style w:type="paragraph" w:customStyle="1" w:styleId="H4G">
    <w:name w:val="_ H_4_G"/>
    <w:basedOn w:val="Normal"/>
    <w:rsid w:val="00E75B6B"/>
    <w:pPr>
      <w:keepNext/>
      <w:keepLines/>
      <w:tabs>
        <w:tab w:val="right" w:pos="851"/>
      </w:tabs>
      <w:spacing w:before="240" w:after="120" w:line="240" w:lineRule="exact"/>
      <w:ind w:left="1134" w:right="1134" w:hanging="1134"/>
    </w:pPr>
    <w:rPr>
      <w:i/>
    </w:rPr>
  </w:style>
  <w:style w:type="paragraph" w:customStyle="1" w:styleId="H56G">
    <w:name w:val="_ H_5/6_G"/>
    <w:basedOn w:val="Normal"/>
    <w:rsid w:val="00E75B6B"/>
    <w:pPr>
      <w:keepNext/>
      <w:keepLines/>
      <w:tabs>
        <w:tab w:val="right" w:pos="851"/>
      </w:tabs>
      <w:spacing w:before="240" w:after="120" w:line="240" w:lineRule="exact"/>
      <w:ind w:left="1134" w:right="1134" w:hanging="1134"/>
    </w:pPr>
  </w:style>
  <w:style w:type="paragraph" w:styleId="Footer">
    <w:name w:val="footer"/>
    <w:basedOn w:val="Normal"/>
    <w:link w:val="FooterChar"/>
    <w:uiPriority w:val="99"/>
    <w:rsid w:val="00E75B6B"/>
    <w:pPr>
      <w:suppressLineNumbers/>
      <w:tabs>
        <w:tab w:val="center" w:pos="4986"/>
        <w:tab w:val="right" w:pos="9972"/>
      </w:tabs>
    </w:pPr>
    <w:rPr>
      <w:sz w:val="16"/>
    </w:rPr>
  </w:style>
  <w:style w:type="paragraph" w:styleId="Header">
    <w:name w:val="header"/>
    <w:basedOn w:val="Normal"/>
    <w:rsid w:val="00E75B6B"/>
    <w:pPr>
      <w:suppressLineNumbers/>
      <w:pBdr>
        <w:bottom w:val="single" w:sz="4" w:space="4" w:color="000000"/>
      </w:pBdr>
      <w:tabs>
        <w:tab w:val="center" w:pos="4986"/>
        <w:tab w:val="right" w:pos="9972"/>
      </w:tabs>
    </w:pPr>
    <w:rPr>
      <w:b/>
      <w:sz w:val="18"/>
    </w:rPr>
  </w:style>
  <w:style w:type="paragraph" w:customStyle="1" w:styleId="Standardowy">
    <w:name w:val="Standardowy"/>
    <w:rsid w:val="00E75B6B"/>
    <w:pPr>
      <w:suppressAutoHyphens/>
    </w:pPr>
    <w:rPr>
      <w:rFonts w:ascii="Arial" w:hAnsi="Arial"/>
      <w:sz w:val="24"/>
      <w:lang w:val="en-GB" w:eastAsia="ar-SA"/>
    </w:rPr>
  </w:style>
  <w:style w:type="paragraph" w:styleId="BalloonText">
    <w:name w:val="Balloon Text"/>
    <w:basedOn w:val="Normal"/>
    <w:rsid w:val="00E75B6B"/>
    <w:pPr>
      <w:spacing w:after="0"/>
    </w:pPr>
    <w:rPr>
      <w:rFonts w:ascii="Tahoma" w:hAnsi="Tahoma" w:cs="Tahoma"/>
      <w:sz w:val="16"/>
      <w:szCs w:val="16"/>
    </w:rPr>
  </w:style>
  <w:style w:type="paragraph" w:customStyle="1" w:styleId="Randnummer">
    <w:name w:val="Randnummer"/>
    <w:basedOn w:val="Normal"/>
    <w:rsid w:val="00E75B6B"/>
    <w:pPr>
      <w:tabs>
        <w:tab w:val="left" w:pos="425"/>
        <w:tab w:val="left" w:pos="580"/>
        <w:tab w:val="left" w:pos="851"/>
        <w:tab w:val="left" w:pos="1100"/>
        <w:tab w:val="left" w:pos="1276"/>
      </w:tabs>
      <w:spacing w:before="180" w:after="0"/>
      <w:ind w:left="1080" w:hanging="1080"/>
      <w:jc w:val="both"/>
    </w:pPr>
    <w:rPr>
      <w:rFonts w:ascii="Arial" w:hAnsi="Arial" w:cs="Arial"/>
      <w:color w:val="000000"/>
      <w:sz w:val="18"/>
    </w:rPr>
  </w:style>
  <w:style w:type="paragraph" w:customStyle="1" w:styleId="NormalList">
    <w:name w:val="Normal List"/>
    <w:basedOn w:val="Normal"/>
    <w:rsid w:val="00E75B6B"/>
    <w:pPr>
      <w:tabs>
        <w:tab w:val="left" w:pos="425"/>
        <w:tab w:val="left" w:pos="851"/>
        <w:tab w:val="left" w:pos="1276"/>
        <w:tab w:val="left" w:pos="1400"/>
      </w:tabs>
      <w:spacing w:before="60" w:after="0"/>
      <w:ind w:left="1380" w:hanging="300"/>
      <w:jc w:val="both"/>
    </w:pPr>
    <w:rPr>
      <w:rFonts w:ascii="Arial" w:hAnsi="Arial" w:cs="Arial"/>
      <w:color w:val="000000"/>
      <w:sz w:val="18"/>
    </w:rPr>
  </w:style>
  <w:style w:type="paragraph" w:styleId="FootnoteText">
    <w:name w:val="footnote text"/>
    <w:aliases w:val="5_GR,5_G"/>
    <w:basedOn w:val="Normal"/>
    <w:link w:val="FootnoteTextChar"/>
    <w:rsid w:val="00E75B6B"/>
    <w:pPr>
      <w:suppressLineNumbers/>
      <w:ind w:left="283" w:hanging="283"/>
    </w:pPr>
  </w:style>
  <w:style w:type="character" w:customStyle="1" w:styleId="FooterChar">
    <w:name w:val="Footer Char"/>
    <w:basedOn w:val="DefaultParagraphFont"/>
    <w:link w:val="Footer"/>
    <w:uiPriority w:val="99"/>
    <w:rsid w:val="00BD0FC3"/>
    <w:rPr>
      <w:sz w:val="16"/>
      <w:lang w:eastAsia="ar-SA"/>
    </w:rPr>
  </w:style>
  <w:style w:type="character" w:customStyle="1" w:styleId="FootnoteTextChar">
    <w:name w:val="Footnote Text Char"/>
    <w:aliases w:val="5_GR Char,5_G Char"/>
    <w:basedOn w:val="DefaultParagraphFont"/>
    <w:link w:val="FootnoteText"/>
    <w:rsid w:val="00E93FD7"/>
    <w:rPr>
      <w:lang w:eastAsia="ar-SA"/>
    </w:rPr>
  </w:style>
  <w:style w:type="paragraph" w:customStyle="1" w:styleId="russian">
    <w:name w:val="russian"/>
    <w:link w:val="russian0"/>
    <w:autoRedefine/>
    <w:rsid w:val="00E93FD7"/>
    <w:pPr>
      <w:tabs>
        <w:tab w:val="left" w:pos="993"/>
        <w:tab w:val="left" w:pos="1140"/>
      </w:tabs>
      <w:ind w:left="993" w:hanging="993"/>
      <w:jc w:val="center"/>
    </w:pPr>
    <w:rPr>
      <w:bCs/>
      <w:lang w:val="ru-RU" w:eastAsia="en-US"/>
    </w:rPr>
  </w:style>
  <w:style w:type="paragraph" w:customStyle="1" w:styleId="magyind">
    <w:name w:val="magy_ind"/>
    <w:basedOn w:val="russian"/>
    <w:autoRedefine/>
    <w:rsid w:val="00E93FD7"/>
    <w:pPr>
      <w:tabs>
        <w:tab w:val="clear" w:pos="993"/>
        <w:tab w:val="clear" w:pos="1140"/>
        <w:tab w:val="left" w:pos="1134"/>
      </w:tabs>
    </w:pPr>
    <w:rPr>
      <w:lang w:val="et-EE"/>
    </w:rPr>
  </w:style>
  <w:style w:type="paragraph" w:customStyle="1" w:styleId="H1GR">
    <w:name w:val="_ H_1_GR"/>
    <w:basedOn w:val="Normal"/>
    <w:next w:val="Normal"/>
    <w:rsid w:val="00E93FD7"/>
    <w:pPr>
      <w:keepNext/>
      <w:keepLines/>
      <w:tabs>
        <w:tab w:val="right" w:pos="851"/>
      </w:tabs>
      <w:spacing w:before="360" w:line="270" w:lineRule="exact"/>
      <w:ind w:left="1134" w:right="1134" w:hanging="1134"/>
    </w:pPr>
    <w:rPr>
      <w:b/>
      <w:spacing w:val="4"/>
      <w:w w:val="103"/>
      <w:kern w:val="14"/>
      <w:sz w:val="24"/>
      <w:lang w:val="ru-RU" w:eastAsia="ru-RU"/>
    </w:rPr>
  </w:style>
  <w:style w:type="paragraph" w:customStyle="1" w:styleId="HChGR">
    <w:name w:val="_ H _Ch_GR"/>
    <w:basedOn w:val="Normal"/>
    <w:next w:val="Normal"/>
    <w:rsid w:val="00E93FD7"/>
    <w:pPr>
      <w:keepNext/>
      <w:keepLines/>
      <w:tabs>
        <w:tab w:val="right" w:pos="851"/>
      </w:tabs>
      <w:spacing w:before="360" w:line="300" w:lineRule="exact"/>
      <w:ind w:left="1134" w:right="1134" w:hanging="1134"/>
    </w:pPr>
    <w:rPr>
      <w:b/>
      <w:spacing w:val="4"/>
      <w:w w:val="103"/>
      <w:kern w:val="14"/>
      <w:sz w:val="28"/>
      <w:lang w:val="ru-RU" w:eastAsia="ru-RU"/>
    </w:rPr>
  </w:style>
  <w:style w:type="paragraph" w:customStyle="1" w:styleId="SingleTxtGR">
    <w:name w:val="_ Single Txt_GR"/>
    <w:basedOn w:val="Normal"/>
    <w:rsid w:val="00E93FD7"/>
    <w:pPr>
      <w:tabs>
        <w:tab w:val="left" w:pos="1701"/>
        <w:tab w:val="left" w:pos="2268"/>
        <w:tab w:val="left" w:pos="2835"/>
        <w:tab w:val="left" w:pos="3402"/>
        <w:tab w:val="left" w:pos="3969"/>
      </w:tabs>
      <w:suppressAutoHyphens w:val="0"/>
      <w:spacing w:after="120" w:line="240" w:lineRule="atLeast"/>
      <w:ind w:left="1134" w:right="1134"/>
      <w:jc w:val="both"/>
    </w:pPr>
    <w:rPr>
      <w:spacing w:val="4"/>
      <w:w w:val="103"/>
      <w:kern w:val="14"/>
      <w:lang w:val="ru-RU" w:eastAsia="en-US"/>
    </w:rPr>
  </w:style>
  <w:style w:type="character" w:customStyle="1" w:styleId="russian0">
    <w:name w:val="russian Знак"/>
    <w:link w:val="russian"/>
    <w:locked/>
    <w:rsid w:val="00E93FD7"/>
    <w:rPr>
      <w:bCs/>
      <w:lang w:val="ru-RU" w:eastAsia="en-US" w:bidi="ar-SA"/>
    </w:rPr>
  </w:style>
  <w:style w:type="character" w:customStyle="1" w:styleId="a">
    <w:name w:val="Нет"/>
    <w:rsid w:val="00937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68742-B6D1-47F2-A399-7789E49A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881</Words>
  <Characters>5026</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INF</vt:lpstr>
      <vt:lpstr>INF</vt:lpstr>
    </vt:vector>
  </TitlesOfParts>
  <Company>ECE-ISU</Company>
  <LinksUpToDate>false</LinksUpToDate>
  <CharactersWithSpaces>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dc:title>
  <dc:creator>Berthet</dc:creator>
  <cp:lastModifiedBy>barrio-champeau</cp:lastModifiedBy>
  <cp:revision>7</cp:revision>
  <cp:lastPrinted>2016-09-05T13:48:00Z</cp:lastPrinted>
  <dcterms:created xsi:type="dcterms:W3CDTF">2016-09-14T12:52:00Z</dcterms:created>
  <dcterms:modified xsi:type="dcterms:W3CDTF">2016-09-15T14:34:00Z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UNECE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