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4" w:rsidRPr="00A728D1" w:rsidRDefault="00A37F24" w:rsidP="00A37F24">
      <w:pPr>
        <w:spacing w:line="60" w:lineRule="exact"/>
        <w:rPr>
          <w:color w:val="010000"/>
          <w:sz w:val="6"/>
        </w:rPr>
        <w:sectPr w:rsidR="00A37F24" w:rsidRPr="00A728D1" w:rsidSect="00A37F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A728D1" w:rsidRPr="00A728D1" w:rsidRDefault="00A728D1" w:rsidP="00A728D1">
      <w:pPr>
        <w:rPr>
          <w:b/>
          <w:bCs/>
          <w:sz w:val="28"/>
          <w:szCs w:val="28"/>
        </w:rPr>
      </w:pPr>
      <w:r w:rsidRPr="00A728D1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A728D1" w:rsidRPr="00A728D1" w:rsidRDefault="00A728D1" w:rsidP="00A728D1">
      <w:pPr>
        <w:spacing w:line="120" w:lineRule="exact"/>
        <w:rPr>
          <w:sz w:val="10"/>
          <w:szCs w:val="28"/>
        </w:rPr>
      </w:pPr>
    </w:p>
    <w:p w:rsidR="00A728D1" w:rsidRPr="00A728D1" w:rsidRDefault="00A728D1" w:rsidP="00A728D1">
      <w:pPr>
        <w:rPr>
          <w:sz w:val="28"/>
          <w:szCs w:val="28"/>
        </w:rPr>
      </w:pPr>
      <w:r w:rsidRPr="00A728D1">
        <w:rPr>
          <w:sz w:val="28"/>
          <w:szCs w:val="28"/>
        </w:rPr>
        <w:t>Комитет по внутреннему транспорту</w:t>
      </w:r>
    </w:p>
    <w:p w:rsidR="00A728D1" w:rsidRPr="00A728D1" w:rsidRDefault="00A728D1" w:rsidP="00A728D1">
      <w:pPr>
        <w:spacing w:line="120" w:lineRule="exact"/>
        <w:rPr>
          <w:b/>
          <w:bCs/>
          <w:sz w:val="10"/>
          <w:szCs w:val="24"/>
        </w:rPr>
      </w:pPr>
    </w:p>
    <w:p w:rsidR="00A728D1" w:rsidRPr="00A728D1" w:rsidRDefault="00A728D1" w:rsidP="00A728D1">
      <w:pPr>
        <w:rPr>
          <w:b/>
          <w:bCs/>
          <w:sz w:val="24"/>
          <w:szCs w:val="24"/>
        </w:rPr>
      </w:pPr>
      <w:r w:rsidRPr="00A728D1">
        <w:rPr>
          <w:b/>
          <w:bCs/>
          <w:sz w:val="24"/>
          <w:szCs w:val="24"/>
        </w:rPr>
        <w:t>Рабочая группа по перевозкам опасных грузов</w:t>
      </w:r>
    </w:p>
    <w:p w:rsidR="00A728D1" w:rsidRPr="00A728D1" w:rsidRDefault="00A728D1" w:rsidP="00A728D1">
      <w:pPr>
        <w:spacing w:line="120" w:lineRule="exact"/>
        <w:rPr>
          <w:sz w:val="10"/>
        </w:rPr>
      </w:pPr>
    </w:p>
    <w:p w:rsidR="00A728D1" w:rsidRPr="00A728D1" w:rsidRDefault="00A728D1" w:rsidP="00A728D1">
      <w:pPr>
        <w:rPr>
          <w:b/>
          <w:bCs/>
        </w:rPr>
      </w:pPr>
      <w:r w:rsidRPr="00A728D1">
        <w:rPr>
          <w:b/>
          <w:bCs/>
        </w:rPr>
        <w:t>Совместное совещание Комиссии экспертов МПОГ</w:t>
      </w:r>
    </w:p>
    <w:p w:rsidR="00A728D1" w:rsidRPr="00A728D1" w:rsidRDefault="00A728D1" w:rsidP="00A728D1">
      <w:pPr>
        <w:rPr>
          <w:b/>
          <w:bCs/>
        </w:rPr>
      </w:pPr>
      <w:r w:rsidRPr="00A728D1">
        <w:rPr>
          <w:b/>
          <w:bCs/>
        </w:rPr>
        <w:t>и Рабочей группы по перевозкам опасных грузов</w:t>
      </w:r>
    </w:p>
    <w:p w:rsidR="00A728D1" w:rsidRPr="00A728D1" w:rsidRDefault="00A728D1" w:rsidP="00A728D1">
      <w:r w:rsidRPr="00A728D1">
        <w:t>Берн, 14−18 марта 2016 года</w:t>
      </w:r>
    </w:p>
    <w:p w:rsidR="00A728D1" w:rsidRPr="00A728D1" w:rsidRDefault="00A728D1" w:rsidP="00A728D1">
      <w:r w:rsidRPr="00A728D1">
        <w:t>Пункт 5 b) предварительной повестки дня</w:t>
      </w:r>
    </w:p>
    <w:p w:rsidR="00A728D1" w:rsidRPr="00A728D1" w:rsidRDefault="00A728D1" w:rsidP="00A728D1">
      <w:pPr>
        <w:rPr>
          <w:b/>
          <w:bCs/>
        </w:rPr>
      </w:pPr>
      <w:r w:rsidRPr="00A728D1">
        <w:rPr>
          <w:b/>
          <w:bCs/>
        </w:rPr>
        <w:t xml:space="preserve">Предложения о внесении поправок </w:t>
      </w:r>
      <w:r w:rsidRPr="00A728D1">
        <w:rPr>
          <w:b/>
          <w:bCs/>
        </w:rPr>
        <w:br/>
        <w:t>в МПОГ/ДОПОГ/ВОПОГ:</w:t>
      </w:r>
    </w:p>
    <w:p w:rsidR="00A728D1" w:rsidRPr="00A728D1" w:rsidRDefault="00A728D1" w:rsidP="00A728D1">
      <w:pPr>
        <w:rPr>
          <w:b/>
          <w:bCs/>
        </w:rPr>
      </w:pPr>
      <w:r w:rsidRPr="00A728D1">
        <w:rPr>
          <w:b/>
          <w:bCs/>
        </w:rPr>
        <w:t>новые предложения</w:t>
      </w:r>
    </w:p>
    <w:p w:rsidR="00A728D1" w:rsidRPr="00A728D1" w:rsidRDefault="00A728D1" w:rsidP="00A728D1">
      <w:pPr>
        <w:pStyle w:val="SingleTxt"/>
        <w:spacing w:after="0" w:line="120" w:lineRule="exact"/>
        <w:rPr>
          <w:sz w:val="10"/>
        </w:rPr>
      </w:pPr>
    </w:p>
    <w:p w:rsidR="00A728D1" w:rsidRPr="00A728D1" w:rsidRDefault="00A728D1" w:rsidP="00A728D1">
      <w:pPr>
        <w:pStyle w:val="SingleTxt"/>
        <w:spacing w:after="0" w:line="120" w:lineRule="exact"/>
        <w:rPr>
          <w:sz w:val="10"/>
        </w:rPr>
      </w:pPr>
    </w:p>
    <w:p w:rsidR="00A728D1" w:rsidRPr="00A728D1" w:rsidRDefault="00A728D1" w:rsidP="00A728D1">
      <w:pPr>
        <w:pStyle w:val="SingleTxt"/>
        <w:spacing w:after="0" w:line="120" w:lineRule="exact"/>
        <w:rPr>
          <w:sz w:val="10"/>
        </w:rPr>
      </w:pPr>
    </w:p>
    <w:p w:rsidR="00A728D1" w:rsidRPr="00A728D1" w:rsidRDefault="00A728D1" w:rsidP="00A728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728D1">
        <w:tab/>
      </w:r>
      <w:r w:rsidRPr="005C5E8A">
        <w:tab/>
      </w:r>
      <w:r w:rsidRPr="00A728D1">
        <w:t xml:space="preserve">Поправка к пункту 4.1.1.17, касающаяся сосудов </w:t>
      </w:r>
      <w:r w:rsidRPr="00A728D1">
        <w:br/>
        <w:t>под давлением</w:t>
      </w:r>
    </w:p>
    <w:p w:rsidR="00A728D1" w:rsidRPr="00A728D1" w:rsidRDefault="00A728D1" w:rsidP="00A728D1">
      <w:pPr>
        <w:pStyle w:val="SingleTxt"/>
        <w:spacing w:after="0" w:line="120" w:lineRule="exact"/>
        <w:rPr>
          <w:b/>
          <w:bCs/>
          <w:sz w:val="10"/>
        </w:rPr>
      </w:pPr>
    </w:p>
    <w:p w:rsidR="00A728D1" w:rsidRPr="00A728D1" w:rsidRDefault="00A728D1" w:rsidP="00A728D1">
      <w:pPr>
        <w:pStyle w:val="SingleTxt"/>
        <w:spacing w:after="0" w:line="120" w:lineRule="exact"/>
        <w:rPr>
          <w:b/>
          <w:bCs/>
          <w:sz w:val="10"/>
        </w:rPr>
      </w:pPr>
    </w:p>
    <w:p w:rsidR="00A728D1" w:rsidRPr="00A728D1" w:rsidRDefault="00A728D1" w:rsidP="00A728D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C5E8A">
        <w:tab/>
      </w:r>
      <w:r w:rsidRPr="00A728D1">
        <w:tab/>
        <w:t xml:space="preserve">Передано Европейской ассоциацией по промышленным </w:t>
      </w:r>
      <w:r w:rsidRPr="00A728D1">
        <w:br/>
        <w:t>газам (ЕАПГ)</w:t>
      </w:r>
      <w:r w:rsidRPr="00A728D1">
        <w:rPr>
          <w:rStyle w:val="Appelnotedebasdep"/>
          <w:b w:val="0"/>
          <w:sz w:val="20"/>
        </w:rPr>
        <w:footnoteReference w:id="2"/>
      </w:r>
      <w:r w:rsidRPr="00A728D1">
        <w:rPr>
          <w:b w:val="0"/>
          <w:bCs/>
          <w:vertAlign w:val="superscript"/>
        </w:rPr>
        <w:t>,</w:t>
      </w:r>
      <w:r>
        <w:rPr>
          <w:b w:val="0"/>
          <w:bCs/>
        </w:rPr>
        <w:t xml:space="preserve"> </w:t>
      </w:r>
      <w:r w:rsidRPr="00A728D1">
        <w:rPr>
          <w:rStyle w:val="Appelnotedebasdep"/>
          <w:b w:val="0"/>
          <w:bCs/>
          <w:sz w:val="20"/>
          <w:szCs w:val="20"/>
        </w:rPr>
        <w:footnoteReference w:id="3"/>
      </w:r>
    </w:p>
    <w:p w:rsidR="00A728D1" w:rsidRPr="00A728D1" w:rsidRDefault="00A728D1" w:rsidP="00A728D1">
      <w:pPr>
        <w:pStyle w:val="SingleTxt"/>
        <w:spacing w:after="0" w:line="120" w:lineRule="exact"/>
        <w:rPr>
          <w:sz w:val="10"/>
        </w:rPr>
      </w:pPr>
    </w:p>
    <w:p w:rsidR="00A728D1" w:rsidRPr="00A728D1" w:rsidRDefault="00A728D1" w:rsidP="00A728D1">
      <w:pPr>
        <w:pStyle w:val="SingleTxt"/>
        <w:spacing w:after="0" w:line="120" w:lineRule="exact"/>
        <w:rPr>
          <w:sz w:val="10"/>
        </w:rPr>
      </w:pPr>
    </w:p>
    <w:p w:rsidR="00A728D1" w:rsidRPr="00A728D1" w:rsidRDefault="00A728D1" w:rsidP="00A728D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728D1">
        <w:tab/>
      </w:r>
      <w:r w:rsidRPr="00A728D1">
        <w:tab/>
        <w:t>Введение</w:t>
      </w:r>
    </w:p>
    <w:p w:rsidR="00A728D1" w:rsidRPr="00A728D1" w:rsidRDefault="00A728D1" w:rsidP="00A728D1">
      <w:pPr>
        <w:pStyle w:val="SingleTxt"/>
        <w:spacing w:after="0" w:line="120" w:lineRule="exact"/>
        <w:rPr>
          <w:sz w:val="10"/>
        </w:rPr>
      </w:pPr>
    </w:p>
    <w:p w:rsidR="00A728D1" w:rsidRPr="00A728D1" w:rsidRDefault="00A728D1" w:rsidP="00A728D1">
      <w:pPr>
        <w:pStyle w:val="SingleTxt"/>
        <w:spacing w:after="0" w:line="120" w:lineRule="exact"/>
        <w:rPr>
          <w:sz w:val="10"/>
        </w:rPr>
      </w:pPr>
    </w:p>
    <w:p w:rsidR="00A728D1" w:rsidRPr="00A728D1" w:rsidRDefault="00A728D1" w:rsidP="00A728D1">
      <w:pPr>
        <w:pStyle w:val="SingleTxt"/>
      </w:pPr>
      <w:r w:rsidRPr="00A728D1">
        <w:t>1.</w:t>
      </w:r>
      <w:r w:rsidRPr="00A728D1">
        <w:tab/>
        <w:t>В ходе сорок восьмой сессии Подкомитета экспертов по перевозке опасных грузов, состоявшейся в декабре 2015 года, неофициальная рабочая группа по всеобщему признанию сосудов под давлением с маркировкой ООН и сосудов под давлением без маркировки ООН провела совещание, с тем чтобы продолжить рассмотрение препятствий для взаимного признания. Анализируя ситуацию в Европе, рабочая группа обнаружила несовместимость текста пункта</w:t>
      </w:r>
      <w:r>
        <w:t> </w:t>
      </w:r>
      <w:r w:rsidRPr="00A728D1">
        <w:t>4.1.1.17 МПОГ/ДОПОГ и примечания в начале раздела 4.1.1.</w:t>
      </w:r>
    </w:p>
    <w:p w:rsidR="00A728D1" w:rsidRPr="00A728D1" w:rsidRDefault="00A728D1" w:rsidP="00A728D1">
      <w:pPr>
        <w:pStyle w:val="SingleTxt"/>
      </w:pPr>
      <w:r w:rsidRPr="00A728D1">
        <w:t>2.</w:t>
      </w:r>
      <w:r w:rsidRPr="00A728D1">
        <w:tab/>
        <w:t>Пункт 4.1.1.17 имеет очень важное значение для международного признания, поскольку он гарантирует, что сосуды под давлением, имеющие маркировочные знаки ООН, могут перевозиться даже тогда, когда они утверждены в государстве, не являющемся ни Договаривающимся государством МПОГ, ни Договаривающейся стороной ДОПОГ. Однако примечание, приведенное под заголовком раздела 4.1.1, не применяется к классу 2 и поэтому сводит на нет значимость положений пункта 4.1.1.17 для сосудов под давлением, содержащих газы.</w:t>
      </w:r>
    </w:p>
    <w:p w:rsidR="00A728D1" w:rsidRPr="00A728D1" w:rsidRDefault="00A728D1" w:rsidP="00A728D1">
      <w:pPr>
        <w:pStyle w:val="SingleTxt"/>
      </w:pPr>
      <w:r w:rsidRPr="00A728D1">
        <w:lastRenderedPageBreak/>
        <w:tab/>
        <w:t>3.</w:t>
      </w:r>
      <w:r w:rsidRPr="00A728D1">
        <w:tab/>
        <w:t>Для справки указанное примечание воспроизводится ниже.</w:t>
      </w:r>
    </w:p>
    <w:p w:rsidR="00A728D1" w:rsidRPr="00A728D1" w:rsidRDefault="00A728D1" w:rsidP="009173A1">
      <w:pPr>
        <w:pStyle w:val="SingleTxt"/>
        <w:ind w:left="2218" w:hanging="951"/>
        <w:rPr>
          <w:b/>
        </w:rPr>
      </w:pPr>
      <w:r w:rsidRPr="00A728D1">
        <w:rPr>
          <w:b/>
        </w:rPr>
        <w:t>4.1.1</w:t>
      </w:r>
      <w:r w:rsidRPr="00A728D1">
        <w:rPr>
          <w:b/>
        </w:rPr>
        <w:tab/>
      </w:r>
      <w:r w:rsidR="009173A1">
        <w:tab/>
      </w:r>
      <w:r w:rsidRPr="00A728D1">
        <w:rPr>
          <w:b/>
        </w:rPr>
        <w:t>Общие положения по упаковке опасных грузов в тару, включая КСГМГ и крупногабаритную тару</w:t>
      </w:r>
    </w:p>
    <w:p w:rsidR="00263C53" w:rsidRPr="00263C53" w:rsidRDefault="00263C53" w:rsidP="00263C53">
      <w:pPr>
        <w:pStyle w:val="SingleTxt"/>
        <w:spacing w:after="0" w:line="120" w:lineRule="exact"/>
        <w:rPr>
          <w:b/>
          <w:i/>
          <w:sz w:val="10"/>
        </w:rPr>
      </w:pPr>
    </w:p>
    <w:p w:rsidR="00A728D1" w:rsidRPr="00A728D1" w:rsidRDefault="00A728D1" w:rsidP="00A728D1">
      <w:pPr>
        <w:pStyle w:val="SingleTxt"/>
      </w:pPr>
      <w:r w:rsidRPr="00A728D1">
        <w:rPr>
          <w:b/>
          <w:i/>
        </w:rPr>
        <w:t>ПРИМЕЧАНИЕ:</w:t>
      </w:r>
      <w:r w:rsidRPr="00A728D1">
        <w:t xml:space="preserve"> </w:t>
      </w:r>
      <w:r w:rsidRPr="00A728D1">
        <w:rPr>
          <w:i/>
          <w:iCs/>
        </w:rPr>
        <w:t xml:space="preserve">В случае упаковки грузов классов 2, 6.2 и 7 общие положения настоящего раздела применяются только в соответствии с условиями, указанными в пунктах 4.1.8.2 (класс 6.2), 4.1.9.1.5 (класс 7) и в применимых инструкциях по упаковке, изложенных в разделе 4.1.4 (Р201 и </w:t>
      </w:r>
      <w:r w:rsidRPr="00A728D1">
        <w:rPr>
          <w:i/>
          <w:iCs/>
          <w:lang w:val="en-US"/>
        </w:rPr>
        <w:t>L</w:t>
      </w:r>
      <w:r w:rsidRPr="00A728D1">
        <w:rPr>
          <w:i/>
          <w:iCs/>
        </w:rPr>
        <w:t xml:space="preserve">Р02 для класса 2 и </w:t>
      </w:r>
      <w:r w:rsidRPr="00A728D1">
        <w:rPr>
          <w:i/>
          <w:iCs/>
          <w:lang w:val="en-US"/>
        </w:rPr>
        <w:t>P</w:t>
      </w:r>
      <w:r w:rsidRPr="00A728D1">
        <w:rPr>
          <w:i/>
          <w:iCs/>
        </w:rPr>
        <w:t xml:space="preserve">620, Р621, </w:t>
      </w:r>
      <w:r w:rsidRPr="00A728D1">
        <w:rPr>
          <w:i/>
          <w:iCs/>
          <w:lang w:val="en-US"/>
        </w:rPr>
        <w:t>IBC</w:t>
      </w:r>
      <w:r w:rsidRPr="00A728D1">
        <w:rPr>
          <w:i/>
          <w:iCs/>
        </w:rPr>
        <w:t xml:space="preserve">620 и </w:t>
      </w:r>
      <w:r w:rsidRPr="00A728D1">
        <w:rPr>
          <w:i/>
          <w:iCs/>
          <w:lang w:val="en-US"/>
        </w:rPr>
        <w:t>LP</w:t>
      </w:r>
      <w:r w:rsidRPr="00A728D1">
        <w:rPr>
          <w:i/>
          <w:iCs/>
        </w:rPr>
        <w:t>621 для класса 6.2).</w:t>
      </w:r>
    </w:p>
    <w:p w:rsidR="00263C53" w:rsidRPr="00263C53" w:rsidRDefault="00263C53" w:rsidP="00263C53">
      <w:pPr>
        <w:pStyle w:val="SingleTxt"/>
        <w:spacing w:after="0" w:line="120" w:lineRule="exact"/>
        <w:rPr>
          <w:b/>
          <w:bCs/>
          <w:sz w:val="10"/>
        </w:rPr>
      </w:pPr>
    </w:p>
    <w:p w:rsidR="00263C53" w:rsidRPr="00263C53" w:rsidRDefault="00263C53" w:rsidP="00263C53">
      <w:pPr>
        <w:pStyle w:val="SingleTxt"/>
        <w:spacing w:after="0" w:line="120" w:lineRule="exact"/>
        <w:rPr>
          <w:b/>
          <w:bCs/>
          <w:sz w:val="10"/>
        </w:rPr>
      </w:pPr>
    </w:p>
    <w:p w:rsidR="00A728D1" w:rsidRPr="00A728D1" w:rsidRDefault="00263C53" w:rsidP="00263C5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728D1" w:rsidRPr="00A728D1">
        <w:t>Предложение 1</w:t>
      </w:r>
    </w:p>
    <w:p w:rsidR="00A728D1" w:rsidRPr="00263C53" w:rsidRDefault="00A728D1" w:rsidP="00263C53">
      <w:pPr>
        <w:pStyle w:val="SingleTxt"/>
        <w:spacing w:after="0" w:line="120" w:lineRule="exact"/>
        <w:rPr>
          <w:sz w:val="10"/>
        </w:rPr>
      </w:pPr>
    </w:p>
    <w:p w:rsidR="00263C53" w:rsidRPr="00263C53" w:rsidRDefault="00263C53" w:rsidP="00263C53">
      <w:pPr>
        <w:pStyle w:val="SingleTxt"/>
        <w:spacing w:after="0" w:line="120" w:lineRule="exact"/>
        <w:rPr>
          <w:sz w:val="10"/>
        </w:rPr>
      </w:pPr>
    </w:p>
    <w:p w:rsidR="00A728D1" w:rsidRPr="00A728D1" w:rsidRDefault="00A728D1" w:rsidP="00A728D1">
      <w:pPr>
        <w:pStyle w:val="SingleTxt"/>
      </w:pPr>
      <w:r w:rsidRPr="00A728D1">
        <w:t>4.</w:t>
      </w:r>
      <w:r w:rsidRPr="00A728D1">
        <w:tab/>
        <w:t>Предлагается внести поправку в пункт 4.1.1.17, с тем чтобы пояснить, что приведенное выше примечание не применяется. Новый текст подчеркнут.</w:t>
      </w:r>
    </w:p>
    <w:p w:rsidR="00A728D1" w:rsidRPr="00A728D1" w:rsidRDefault="00A728D1" w:rsidP="00263C53">
      <w:pPr>
        <w:pStyle w:val="SingleTxt"/>
        <w:ind w:left="2218" w:hanging="951"/>
      </w:pPr>
      <w:r w:rsidRPr="00A728D1">
        <w:t>4.1.1.17</w:t>
      </w:r>
      <w:r w:rsidRPr="00A728D1">
        <w:tab/>
      </w:r>
      <w:r w:rsidRPr="00A728D1">
        <w:rPr>
          <w:u w:val="single"/>
        </w:rPr>
        <w:t>Несмотря на примечание, приведенное под заголовком раздела 4.1.1,</w:t>
      </w:r>
      <w:r w:rsidRPr="00A728D1">
        <w:t xml:space="preserve"> тара, включая КСГМГ и крупногабаритную тару, имеющая маркировку, соответствующую требованиям разделов/пунктов 6.1.3, 6.2.2.7, 6.2.2.8, 6.3.1, 6.5.2 или</w:t>
      </w:r>
      <w:r w:rsidR="009173A1">
        <w:t xml:space="preserve"> </w:t>
      </w:r>
      <w:r w:rsidRPr="00A728D1">
        <w:t>6.6.3, но утвержденная в государстве, не являющемся Договаривающимся государством МПОГ/Договаривающейся стороной ДОПОГ, может, тем не менее, использоваться для перевозки в соответствии с МПОГ/ДОПОГ.</w:t>
      </w:r>
    </w:p>
    <w:p w:rsidR="00263C53" w:rsidRPr="00263C53" w:rsidRDefault="00263C53" w:rsidP="00263C53">
      <w:pPr>
        <w:pStyle w:val="SingleTxt"/>
        <w:spacing w:after="0" w:line="120" w:lineRule="exact"/>
        <w:rPr>
          <w:b/>
          <w:bCs/>
          <w:sz w:val="10"/>
        </w:rPr>
      </w:pPr>
    </w:p>
    <w:p w:rsidR="00263C53" w:rsidRPr="00263C53" w:rsidRDefault="00263C53" w:rsidP="00263C53">
      <w:pPr>
        <w:pStyle w:val="SingleTxt"/>
        <w:spacing w:after="0" w:line="120" w:lineRule="exact"/>
        <w:rPr>
          <w:b/>
          <w:bCs/>
          <w:sz w:val="10"/>
        </w:rPr>
      </w:pPr>
    </w:p>
    <w:p w:rsidR="00A728D1" w:rsidRPr="00A728D1" w:rsidRDefault="00263C53" w:rsidP="00263C5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728D1" w:rsidRPr="00A728D1">
        <w:t>Предложение 2</w:t>
      </w:r>
    </w:p>
    <w:p w:rsidR="00A728D1" w:rsidRPr="00263C53" w:rsidRDefault="00A728D1" w:rsidP="00263C53">
      <w:pPr>
        <w:pStyle w:val="SingleTxt"/>
        <w:spacing w:after="0" w:line="120" w:lineRule="exact"/>
        <w:rPr>
          <w:sz w:val="10"/>
        </w:rPr>
      </w:pPr>
    </w:p>
    <w:p w:rsidR="00263C53" w:rsidRPr="00263C53" w:rsidRDefault="00263C53" w:rsidP="00263C53">
      <w:pPr>
        <w:pStyle w:val="SingleTxt"/>
        <w:spacing w:after="0" w:line="120" w:lineRule="exact"/>
        <w:rPr>
          <w:sz w:val="10"/>
        </w:rPr>
      </w:pPr>
    </w:p>
    <w:p w:rsidR="00A728D1" w:rsidRPr="00A728D1" w:rsidRDefault="00A728D1" w:rsidP="00A728D1">
      <w:pPr>
        <w:pStyle w:val="SingleTxt"/>
      </w:pPr>
      <w:r w:rsidRPr="00A728D1">
        <w:t>5.</w:t>
      </w:r>
      <w:r w:rsidRPr="00A728D1">
        <w:tab/>
        <w:t>В качестве альтернативы можно было бы внести поправку в примечание.</w:t>
      </w:r>
    </w:p>
    <w:p w:rsidR="00A37F24" w:rsidRDefault="00A728D1" w:rsidP="00A728D1">
      <w:pPr>
        <w:pStyle w:val="SingleTxt"/>
        <w:rPr>
          <w:i/>
          <w:iCs/>
          <w:u w:val="single"/>
        </w:rPr>
      </w:pPr>
      <w:r w:rsidRPr="00A728D1">
        <w:rPr>
          <w:b/>
          <w:i/>
        </w:rPr>
        <w:t>ПРИМЕЧАНИЕ:</w:t>
      </w:r>
      <w:r w:rsidRPr="00A728D1">
        <w:t xml:space="preserve"> </w:t>
      </w:r>
      <w:r w:rsidRPr="00A728D1">
        <w:rPr>
          <w:i/>
          <w:iCs/>
        </w:rPr>
        <w:t xml:space="preserve">В случае упаковки грузов классов 2, 6.2 и 7 общие положения настоящего раздела применяются только в соответствии с условиями, указанными в пунктах 4.1.8.2 (класс 6.2), 4.1.9.1.5 (класс 7) и в применимых инструкциях по упаковке, изложенных в разделе 4.1.4 (Р201 и </w:t>
      </w:r>
      <w:r w:rsidRPr="00A728D1">
        <w:rPr>
          <w:i/>
          <w:iCs/>
          <w:lang w:val="en-US"/>
        </w:rPr>
        <w:t>L</w:t>
      </w:r>
      <w:r w:rsidRPr="00A728D1">
        <w:rPr>
          <w:i/>
          <w:iCs/>
        </w:rPr>
        <w:t xml:space="preserve">Р02 для класса 2 и </w:t>
      </w:r>
      <w:r w:rsidRPr="00A728D1">
        <w:rPr>
          <w:i/>
          <w:iCs/>
          <w:lang w:val="en-US"/>
        </w:rPr>
        <w:t>P</w:t>
      </w:r>
      <w:r w:rsidRPr="00A728D1">
        <w:rPr>
          <w:i/>
          <w:iCs/>
        </w:rPr>
        <w:t xml:space="preserve">620, Р621, </w:t>
      </w:r>
      <w:r w:rsidRPr="00A728D1">
        <w:rPr>
          <w:i/>
          <w:iCs/>
          <w:lang w:val="en-US"/>
        </w:rPr>
        <w:t>IBC</w:t>
      </w:r>
      <w:r w:rsidRPr="00A728D1">
        <w:rPr>
          <w:i/>
          <w:iCs/>
        </w:rPr>
        <w:t xml:space="preserve">620 и </w:t>
      </w:r>
      <w:r w:rsidRPr="00A728D1">
        <w:rPr>
          <w:i/>
          <w:iCs/>
          <w:lang w:val="en-US"/>
        </w:rPr>
        <w:t>LP</w:t>
      </w:r>
      <w:r w:rsidRPr="00A728D1">
        <w:rPr>
          <w:i/>
          <w:iCs/>
        </w:rPr>
        <w:t xml:space="preserve">621 для класса 6.2). </w:t>
      </w:r>
      <w:r w:rsidRPr="00A728D1">
        <w:rPr>
          <w:i/>
          <w:iCs/>
          <w:u w:val="single"/>
        </w:rPr>
        <w:t>Тем не менее пункт 4.1.1.17 применяется к классу 2.</w:t>
      </w:r>
    </w:p>
    <w:p w:rsidR="00263C53" w:rsidRPr="00263C53" w:rsidRDefault="00302CD2" w:rsidP="00263C53">
      <w:pPr>
        <w:pStyle w:val="SingleTxt"/>
        <w:spacing w:after="0" w:line="240" w:lineRule="auto"/>
      </w:pPr>
      <w:bookmarkStart w:id="0" w:name="_GoBack"/>
      <w:bookmarkEnd w:id="0"/>
      <w:r w:rsidRPr="00302CD2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263C53" w:rsidRPr="00263C53" w:rsidSect="00A37F24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2FC" w:rsidRDefault="006A32FC" w:rsidP="008A1A7A">
      <w:pPr>
        <w:spacing w:line="240" w:lineRule="auto"/>
      </w:pPr>
      <w:r>
        <w:separator/>
      </w:r>
    </w:p>
  </w:endnote>
  <w:endnote w:type="continuationSeparator" w:id="0">
    <w:p w:rsidR="006A32FC" w:rsidRDefault="006A32F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A37F24" w:rsidTr="00A37F2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37F24" w:rsidRPr="00A37F24" w:rsidRDefault="00302CD2" w:rsidP="00A37F24">
          <w:pPr>
            <w:pStyle w:val="Pieddepage"/>
            <w:rPr>
              <w:color w:val="000000"/>
            </w:rPr>
          </w:pPr>
          <w:r>
            <w:fldChar w:fldCharType="begin"/>
          </w:r>
          <w:r w:rsidR="00A37F24">
            <w:instrText xml:space="preserve"> PAGE  \* Arabic  \* MERGEFORMAT </w:instrText>
          </w:r>
          <w:r>
            <w:fldChar w:fldCharType="separate"/>
          </w:r>
          <w:r w:rsidR="005C5E8A">
            <w:rPr>
              <w:noProof/>
            </w:rPr>
            <w:t>2</w:t>
          </w:r>
          <w:r>
            <w:fldChar w:fldCharType="end"/>
          </w:r>
          <w:r w:rsidR="00A37F24">
            <w:t>/</w:t>
          </w:r>
          <w:fldSimple w:instr=" NUMPAGES  \* Arabic  \* MERGEFORMAT ">
            <w:r w:rsidR="005C5E8A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37F24" w:rsidRPr="00A37F24" w:rsidRDefault="00302CD2" w:rsidP="00A37F24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A37F24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C5E8A">
            <w:rPr>
              <w:b w:val="0"/>
              <w:color w:val="000000"/>
              <w:sz w:val="14"/>
            </w:rPr>
            <w:t>GE.15-22667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A37F24" w:rsidRPr="00A37F24" w:rsidRDefault="00A37F24" w:rsidP="00A37F2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A37F24" w:rsidTr="00A37F24">
      <w:trPr>
        <w:jc w:val="center"/>
      </w:trPr>
      <w:tc>
        <w:tcPr>
          <w:tcW w:w="5126" w:type="dxa"/>
          <w:shd w:val="clear" w:color="auto" w:fill="auto"/>
          <w:vAlign w:val="bottom"/>
        </w:tcPr>
        <w:p w:rsidR="00A37F24" w:rsidRPr="00A37F24" w:rsidRDefault="00302CD2" w:rsidP="00A37F24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A37F24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5C5E8A">
            <w:rPr>
              <w:b w:val="0"/>
              <w:color w:val="000000"/>
              <w:sz w:val="14"/>
            </w:rPr>
            <w:t>GE.15-22667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A37F24" w:rsidRPr="00A37F24" w:rsidRDefault="00302CD2" w:rsidP="00A37F24">
          <w:pPr>
            <w:pStyle w:val="Pieddepage"/>
            <w:jc w:val="right"/>
          </w:pPr>
          <w:r>
            <w:fldChar w:fldCharType="begin"/>
          </w:r>
          <w:r w:rsidR="00A37F24">
            <w:instrText xml:space="preserve"> PAGE  \* Arabic  \* MERGEFORMAT </w:instrText>
          </w:r>
          <w:r>
            <w:fldChar w:fldCharType="separate"/>
          </w:r>
          <w:r w:rsidR="00676289">
            <w:rPr>
              <w:noProof/>
            </w:rPr>
            <w:t>2</w:t>
          </w:r>
          <w:r>
            <w:fldChar w:fldCharType="end"/>
          </w:r>
          <w:r w:rsidR="00A37F24">
            <w:t>/</w:t>
          </w:r>
          <w:fldSimple w:instr=" NUMPAGES  \* Arabic  \* MERGEFORMAT ">
            <w:r w:rsidR="005C5E8A">
              <w:rPr>
                <w:noProof/>
              </w:rPr>
              <w:t>2</w:t>
            </w:r>
          </w:fldSimple>
        </w:p>
      </w:tc>
    </w:tr>
  </w:tbl>
  <w:p w:rsidR="00A37F24" w:rsidRPr="00A37F24" w:rsidRDefault="00A37F24" w:rsidP="00A37F2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A37F24" w:rsidTr="00A37F24">
      <w:tc>
        <w:tcPr>
          <w:tcW w:w="3873" w:type="dxa"/>
        </w:tcPr>
        <w:p w:rsidR="00A37F24" w:rsidRDefault="00A37F24" w:rsidP="00A728D1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GE.15-22667 (R)</w:t>
          </w:r>
          <w:r>
            <w:rPr>
              <w:color w:val="010000"/>
            </w:rPr>
            <w:t xml:space="preserve">    1</w:t>
          </w:r>
          <w:r w:rsidR="00A728D1">
            <w:rPr>
              <w:color w:val="010000"/>
            </w:rPr>
            <w:t>3</w:t>
          </w:r>
          <w:r>
            <w:rPr>
              <w:color w:val="010000"/>
            </w:rPr>
            <w:t>0116    140116</w:t>
          </w:r>
        </w:p>
        <w:p w:rsidR="00A37F24" w:rsidRPr="00A37F24" w:rsidRDefault="00A37F24" w:rsidP="00A37F24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*1522667*</w:t>
          </w:r>
        </w:p>
      </w:tc>
      <w:tc>
        <w:tcPr>
          <w:tcW w:w="5127" w:type="dxa"/>
        </w:tcPr>
        <w:p w:rsidR="00A37F24" w:rsidRDefault="00A37F24" w:rsidP="00A37F24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37F24" w:rsidRPr="00A37F24" w:rsidRDefault="00A37F24" w:rsidP="00A37F24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2FC" w:rsidRPr="00A728D1" w:rsidRDefault="006A32FC" w:rsidP="00A728D1">
      <w:pPr>
        <w:pStyle w:val="Pieddepage"/>
        <w:spacing w:after="80"/>
        <w:ind w:left="792"/>
        <w:rPr>
          <w:sz w:val="16"/>
        </w:rPr>
      </w:pPr>
      <w:r w:rsidRPr="00A728D1">
        <w:rPr>
          <w:sz w:val="16"/>
        </w:rPr>
        <w:t>__________________</w:t>
      </w:r>
    </w:p>
  </w:footnote>
  <w:footnote w:type="continuationSeparator" w:id="0">
    <w:p w:rsidR="006A32FC" w:rsidRPr="00A728D1" w:rsidRDefault="006A32FC" w:rsidP="00A728D1">
      <w:pPr>
        <w:pStyle w:val="Pieddepage"/>
        <w:spacing w:after="80"/>
        <w:ind w:left="792"/>
        <w:rPr>
          <w:sz w:val="16"/>
        </w:rPr>
      </w:pPr>
      <w:r w:rsidRPr="00A728D1">
        <w:rPr>
          <w:sz w:val="16"/>
        </w:rPr>
        <w:t>__________________</w:t>
      </w:r>
    </w:p>
  </w:footnote>
  <w:footnote w:type="continuationNotice" w:id="1">
    <w:p w:rsidR="006A32FC" w:rsidRPr="00A728D1" w:rsidRDefault="006A32FC" w:rsidP="00A728D1">
      <w:pPr>
        <w:pStyle w:val="Pieddepage"/>
      </w:pPr>
    </w:p>
  </w:footnote>
  <w:footnote w:id="2">
    <w:p w:rsidR="00A728D1" w:rsidRPr="00A728D1" w:rsidRDefault="00A728D1" w:rsidP="00A728D1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Cs w:val="17"/>
        </w:rPr>
      </w:pPr>
      <w:r>
        <w:rPr>
          <w:lang w:val="en-US"/>
        </w:rPr>
        <w:tab/>
      </w:r>
      <w:r w:rsidRPr="00A728D1">
        <w:rPr>
          <w:rStyle w:val="Appelnotedebasdep"/>
          <w:rFonts w:cstheme="minorBidi"/>
        </w:rPr>
        <w:footnoteRef/>
      </w:r>
      <w:r w:rsidRPr="00A728D1">
        <w:tab/>
      </w:r>
      <w:r w:rsidRPr="00A728D1">
        <w:rPr>
          <w:szCs w:val="17"/>
        </w:rPr>
        <w:t xml:space="preserve">В соответствии с проектом программы </w:t>
      </w:r>
      <w:r w:rsidRPr="00A728D1">
        <w:rPr>
          <w:rFonts w:cstheme="minorBidi"/>
        </w:rPr>
        <w:t>работы</w:t>
      </w:r>
      <w:r w:rsidRPr="00A728D1">
        <w:rPr>
          <w:szCs w:val="17"/>
        </w:rPr>
        <w:t xml:space="preserve"> Комитета по внутреннему транспорту </w:t>
      </w:r>
      <w:r>
        <w:rPr>
          <w:szCs w:val="17"/>
        </w:rPr>
        <w:br/>
      </w:r>
      <w:r w:rsidRPr="00A728D1">
        <w:rPr>
          <w:szCs w:val="17"/>
        </w:rPr>
        <w:t>на 2016−2017 годы (ECE/TRANS/WP.15/2015/19 (9.2)).</w:t>
      </w:r>
    </w:p>
  </w:footnote>
  <w:footnote w:id="3">
    <w:p w:rsidR="00A728D1" w:rsidRDefault="00A728D1" w:rsidP="00A728D1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Appelnotedebasdep"/>
        </w:rPr>
        <w:footnoteRef/>
      </w:r>
      <w:r>
        <w:tab/>
      </w:r>
      <w:r w:rsidRPr="00A728D1">
        <w:t xml:space="preserve">Распространено </w:t>
      </w:r>
      <w:r w:rsidRPr="00A728D1">
        <w:rPr>
          <w:szCs w:val="17"/>
        </w:rPr>
        <w:t>Межправительственной</w:t>
      </w:r>
      <w:r w:rsidRPr="00A728D1">
        <w:t xml:space="preserve"> организацией по международным</w:t>
      </w:r>
      <w:r>
        <w:t xml:space="preserve"> </w:t>
      </w:r>
      <w:r w:rsidRPr="00A728D1">
        <w:t>железнодорожным перевозкам (ОТИФ) под условным обозначением</w:t>
      </w:r>
      <w:r>
        <w:t xml:space="preserve"> </w:t>
      </w:r>
      <w:r w:rsidRPr="00A728D1">
        <w:t>OTIF/RID/RC/2016/7.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A37F24" w:rsidTr="00A37F2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37F24" w:rsidRPr="00A37F24" w:rsidRDefault="00302CD2" w:rsidP="00A37F24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5C5E8A">
              <w:rPr>
                <w:b/>
              </w:rPr>
              <w:t>ECE/TRANS/WP.15/AC.1/2016/7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A37F24" w:rsidRDefault="00A37F24" w:rsidP="00A37F24">
          <w:pPr>
            <w:pStyle w:val="En-tte"/>
          </w:pPr>
        </w:p>
      </w:tc>
    </w:tr>
  </w:tbl>
  <w:p w:rsidR="00A37F24" w:rsidRPr="00A37F24" w:rsidRDefault="00A37F24" w:rsidP="00A37F2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A37F24" w:rsidTr="00A37F24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A37F24" w:rsidRDefault="00A37F24" w:rsidP="00A37F24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A37F24" w:rsidRPr="00A37F24" w:rsidRDefault="00302CD2" w:rsidP="00A37F24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A37F24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5C5E8A">
            <w:rPr>
              <w:b/>
            </w:rPr>
            <w:t>ECE/TRANS/WP.15/AC.1/2016/7</w:t>
          </w:r>
          <w:r>
            <w:rPr>
              <w:b/>
            </w:rPr>
            <w:fldChar w:fldCharType="end"/>
          </w:r>
        </w:p>
      </w:tc>
    </w:tr>
  </w:tbl>
  <w:p w:rsidR="00A37F24" w:rsidRPr="00A37F24" w:rsidRDefault="00A37F24" w:rsidP="00A37F2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A37F24" w:rsidTr="00A37F24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A37F24" w:rsidRPr="00A37F24" w:rsidRDefault="00A37F24" w:rsidP="00A37F24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 xml:space="preserve">Организация </w:t>
          </w:r>
          <w:r>
            <w:rPr>
              <w:b w:val="0"/>
              <w:spacing w:val="2"/>
              <w:w w:val="96"/>
            </w:rPr>
            <w:t>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37F24" w:rsidRDefault="00A37F24" w:rsidP="00A37F24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A37F24" w:rsidRPr="00A37F24" w:rsidRDefault="00A37F24" w:rsidP="00A37F24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/TRANS/WP.15/AC.1/2016/7</w:t>
          </w:r>
        </w:p>
      </w:tc>
    </w:tr>
    <w:tr w:rsidR="00A37F24" w:rsidRPr="00A728D1" w:rsidTr="00A37F24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7F24" w:rsidRPr="00A37F24" w:rsidRDefault="00A37F24" w:rsidP="00A37F24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7F24" w:rsidRPr="00A37F24" w:rsidRDefault="00A37F24" w:rsidP="00A37F24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7F24" w:rsidRPr="00A37F24" w:rsidRDefault="00A37F24" w:rsidP="00A37F24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37F24" w:rsidRPr="00A728D1" w:rsidRDefault="00A37F24" w:rsidP="00A37F24">
          <w:pPr>
            <w:pStyle w:val="Distribution"/>
            <w:rPr>
              <w:color w:val="000000"/>
              <w:lang w:val="en-US"/>
            </w:rPr>
          </w:pPr>
          <w:r w:rsidRPr="00A728D1">
            <w:rPr>
              <w:color w:val="000000"/>
              <w:lang w:val="en-US"/>
            </w:rPr>
            <w:t>Distr.: General</w:t>
          </w:r>
        </w:p>
        <w:p w:rsidR="00A37F24" w:rsidRPr="00A728D1" w:rsidRDefault="00A37F24" w:rsidP="00A728D1">
          <w:pPr>
            <w:pStyle w:val="Publication"/>
            <w:rPr>
              <w:color w:val="000000"/>
              <w:lang w:val="en-US"/>
            </w:rPr>
          </w:pPr>
          <w:r w:rsidRPr="00A728D1">
            <w:rPr>
              <w:color w:val="000000"/>
              <w:lang w:val="en-US"/>
            </w:rPr>
            <w:t>22 December 2015</w:t>
          </w:r>
        </w:p>
        <w:p w:rsidR="00A37F24" w:rsidRPr="00A728D1" w:rsidRDefault="00A37F24" w:rsidP="00A37F24">
          <w:pPr>
            <w:rPr>
              <w:color w:val="000000"/>
              <w:lang w:val="en-US"/>
            </w:rPr>
          </w:pPr>
          <w:r w:rsidRPr="00A728D1">
            <w:rPr>
              <w:color w:val="000000"/>
              <w:lang w:val="en-US"/>
            </w:rPr>
            <w:t>Russian</w:t>
          </w:r>
        </w:p>
        <w:p w:rsidR="00A37F24" w:rsidRPr="00A728D1" w:rsidRDefault="00A37F24" w:rsidP="00A37F24">
          <w:pPr>
            <w:pStyle w:val="Original"/>
            <w:rPr>
              <w:color w:val="000000"/>
              <w:lang w:val="en-US"/>
            </w:rPr>
          </w:pPr>
          <w:r w:rsidRPr="00A728D1">
            <w:rPr>
              <w:color w:val="000000"/>
              <w:lang w:val="en-US"/>
            </w:rPr>
            <w:t>Original: English</w:t>
          </w:r>
        </w:p>
        <w:p w:rsidR="00A37F24" w:rsidRPr="00A728D1" w:rsidRDefault="00A37F24" w:rsidP="00A37F24">
          <w:pPr>
            <w:rPr>
              <w:lang w:val="en-US"/>
            </w:rPr>
          </w:pPr>
        </w:p>
      </w:tc>
    </w:tr>
  </w:tbl>
  <w:p w:rsidR="00A37F24" w:rsidRPr="00A728D1" w:rsidRDefault="00A37F24" w:rsidP="00A37F24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22667*"/>
    <w:docVar w:name="CreationDt" w:val="1/14/2016 2:08: PM"/>
    <w:docVar w:name="DocCategory" w:val="Doc"/>
    <w:docVar w:name="DocType" w:val="Final"/>
    <w:docVar w:name="DutyStation" w:val="Geneva"/>
    <w:docVar w:name="FooterJN" w:val="GE.15-22667"/>
    <w:docVar w:name="jobn" w:val="GE.15-22667 (R)"/>
    <w:docVar w:name="jobnDT" w:val="GE.15-22667 (R)   140116"/>
    <w:docVar w:name="jobnDTDT" w:val="GE.15-22667 (R)   140116   140116"/>
    <w:docVar w:name="JobNo" w:val="GE.1522667R"/>
    <w:docVar w:name="JobNo2" w:val="1528924R"/>
    <w:docVar w:name="LocalDrive" w:val="0"/>
    <w:docVar w:name="OandT" w:val=" "/>
    <w:docVar w:name="PaperSize" w:val="A4"/>
    <w:docVar w:name="sss1" w:val="ECE/TRANS/WP.15/AC.1/2016/7"/>
    <w:docVar w:name="sss2" w:val="-"/>
    <w:docVar w:name="Symbol1" w:val="ECE/TRANS/WP.15/AC.1/2016/7"/>
    <w:docVar w:name="Symbol2" w:val="-"/>
  </w:docVars>
  <w:rsids>
    <w:rsidRoot w:val="00E832C8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1C9E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3C53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2CD2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024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C5E8A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76289"/>
    <w:rsid w:val="006816AA"/>
    <w:rsid w:val="00682A27"/>
    <w:rsid w:val="00684FCA"/>
    <w:rsid w:val="0069689E"/>
    <w:rsid w:val="006A1698"/>
    <w:rsid w:val="006A1D06"/>
    <w:rsid w:val="006A32FC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173A1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1C69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37F24"/>
    <w:rsid w:val="00A452CF"/>
    <w:rsid w:val="00A46574"/>
    <w:rsid w:val="00A471A3"/>
    <w:rsid w:val="00A47B1B"/>
    <w:rsid w:val="00A5253A"/>
    <w:rsid w:val="00A63339"/>
    <w:rsid w:val="00A728D1"/>
    <w:rsid w:val="00A74A9B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81D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0BF0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32C8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Appeldenotedefin">
    <w:name w:val="endnote reference"/>
    <w:basedOn w:val="Policepardfau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Marquedecommentaire">
    <w:name w:val="annotation reference"/>
    <w:basedOn w:val="Policepardfaut"/>
    <w:uiPriority w:val="1"/>
    <w:semiHidden/>
    <w:unhideWhenUsed/>
    <w:rsid w:val="00A37F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7F2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7F2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7F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7F2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C69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A3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F2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F24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F24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366D-B33A-4007-BC51-D3D48CCB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Maison</cp:lastModifiedBy>
  <cp:revision>2</cp:revision>
  <cp:lastPrinted>2016-02-25T12:19:00Z</cp:lastPrinted>
  <dcterms:created xsi:type="dcterms:W3CDTF">2016-02-25T12:19:00Z</dcterms:created>
  <dcterms:modified xsi:type="dcterms:W3CDTF">2016-02-25T12:19:00Z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1522667R</vt:lpwstr>
  </property>
  <property fmtid="{D5CDD505-2E9C-101B-9397-08002B2CF9AE}" pid="3" name="ODSRefJobNo">
    <vt:lpwstr>1528924R</vt:lpwstr>
  </property>
  <property fmtid="{D5CDD505-2E9C-101B-9397-08002B2CF9AE}" pid="4" name="Symbol1">
    <vt:lpwstr>ECE/TRANS/WP.15/AC.1/2016/7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140116</vt:lpwstr>
  </property>
</Properties>
</file>